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95" w:rsidRPr="009A75F7" w:rsidRDefault="00DE5AFE" w:rsidP="007A616C">
      <w:pPr>
        <w:pStyle w:val="ListParagraph"/>
        <w:numPr>
          <w:ilvl w:val="0"/>
          <w:numId w:val="13"/>
        </w:numPr>
        <w:rPr>
          <w:b/>
          <w:i/>
        </w:rPr>
      </w:pPr>
      <w:r>
        <w:rPr>
          <w:b/>
          <w:i/>
          <w:sz w:val="28"/>
        </w:rPr>
        <w:t xml:space="preserve"> </w:t>
      </w:r>
      <w:r w:rsidR="009A75F7" w:rsidRPr="0078429A">
        <w:rPr>
          <w:b/>
          <w:i/>
          <w:sz w:val="28"/>
        </w:rPr>
        <w:t>FAQs</w:t>
      </w:r>
      <w:r>
        <w:rPr>
          <w:b/>
          <w:i/>
          <w:sz w:val="28"/>
        </w:rPr>
        <w:t xml:space="preserve"> </w:t>
      </w:r>
      <w:r w:rsidR="009A75F7" w:rsidRPr="0078429A">
        <w:rPr>
          <w:b/>
          <w:i/>
          <w:sz w:val="28"/>
        </w:rPr>
        <w:t xml:space="preserve"> WITH</w:t>
      </w:r>
      <w:r>
        <w:rPr>
          <w:b/>
          <w:i/>
          <w:sz w:val="28"/>
        </w:rPr>
        <w:t xml:space="preserve"> </w:t>
      </w:r>
      <w:r w:rsidR="009A75F7" w:rsidRPr="0078429A">
        <w:rPr>
          <w:b/>
          <w:i/>
          <w:sz w:val="28"/>
        </w:rPr>
        <w:t xml:space="preserve"> </w:t>
      </w:r>
      <w:bookmarkStart w:id="0" w:name="_GoBack"/>
      <w:bookmarkEnd w:id="0"/>
      <w:r w:rsidR="009A75F7" w:rsidRPr="0078429A">
        <w:rPr>
          <w:b/>
          <w:i/>
          <w:sz w:val="28"/>
        </w:rPr>
        <w:t>CASE</w:t>
      </w:r>
      <w:r>
        <w:rPr>
          <w:b/>
          <w:i/>
          <w:sz w:val="28"/>
        </w:rPr>
        <w:t xml:space="preserve"> </w:t>
      </w:r>
      <w:r w:rsidR="009A75F7" w:rsidRPr="0078429A">
        <w:rPr>
          <w:b/>
          <w:i/>
          <w:sz w:val="28"/>
        </w:rPr>
        <w:t xml:space="preserve"> LAWS</w:t>
      </w:r>
      <w:r>
        <w:rPr>
          <w:b/>
          <w:i/>
          <w:sz w:val="28"/>
        </w:rPr>
        <w:t xml:space="preserve"> </w:t>
      </w:r>
      <w:r w:rsidR="009A75F7" w:rsidRPr="0078429A">
        <w:rPr>
          <w:b/>
          <w:i/>
          <w:sz w:val="28"/>
        </w:rPr>
        <w:t xml:space="preserve"> FROM</w:t>
      </w:r>
      <w:r>
        <w:rPr>
          <w:b/>
          <w:i/>
          <w:sz w:val="28"/>
        </w:rPr>
        <w:t xml:space="preserve"> </w:t>
      </w:r>
      <w:r w:rsidR="00997DED" w:rsidRPr="00997DED">
        <w:rPr>
          <w:b/>
          <w:i/>
          <w:sz w:val="28"/>
          <w:u w:val="single"/>
        </w:rPr>
        <w:t>CHARITABLE OR RELIGIOUS TRUSTS AND INSTITUTIONS</w:t>
      </w:r>
      <w:r w:rsidR="00997DED">
        <w:rPr>
          <w:b/>
          <w:i/>
          <w:sz w:val="28"/>
        </w:rPr>
        <w:t xml:space="preserve"> </w:t>
      </w:r>
      <w:r w:rsidR="009A75F7" w:rsidRPr="009A75F7">
        <w:rPr>
          <w:b/>
          <w:i/>
        </w:rPr>
        <w:t>:-</w:t>
      </w:r>
    </w:p>
    <w:p w:rsidR="00CB19F4" w:rsidRPr="000A326A" w:rsidRDefault="00CB19F4" w:rsidP="00CB19F4">
      <w:pPr>
        <w:pStyle w:val="ListParagraph"/>
        <w:ind w:left="360"/>
      </w:pP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1. Whether the Tribunal was right in negating the assessee’</w:t>
      </w:r>
      <w:r>
        <w:rPr>
          <w:rFonts w:ascii="ArialNarrow-Bold" w:hAnsi="ArialNarrow-Bold" w:cs="ArialNarrow-Bold"/>
          <w:b/>
          <w:bCs/>
        </w:rPr>
        <w:t xml:space="preserve">s claim for accumulation of </w:t>
      </w:r>
      <w:r>
        <w:rPr>
          <w:rFonts w:ascii="ArialNarrow-Bold" w:hAnsi="ArialNarrow-Bold" w:cs="ArialNarrow-Bold"/>
          <w:b/>
          <w:bCs/>
        </w:rPr>
        <w:t>unspent income?</w:t>
      </w: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>
        <w:rPr>
          <w:rFonts w:ascii="ArialNarrow-BoldItalic" w:hAnsi="ArialNarrow-BoldItalic" w:cs="ArialNarrow-BoldItalic"/>
          <w:b/>
          <w:bCs/>
          <w:i/>
          <w:iCs/>
        </w:rPr>
        <w:t>Bharat Krishak Samaj v</w:t>
      </w:r>
      <w:r>
        <w:rPr>
          <w:rFonts w:ascii="ArialNarrow-BoldItalic" w:hAnsi="ArialNarrow-BoldItalic" w:cs="ArialNarrow-BoldItalic"/>
          <w:b/>
          <w:bCs/>
          <w:i/>
          <w:iCs/>
        </w:rPr>
        <w:t xml:space="preserve">. Deputy Director of Income-tax (Exemption) (2008) 306 ITR 153 </w:t>
      </w:r>
      <w:r>
        <w:rPr>
          <w:rFonts w:ascii="ArialNarrow-BoldItalic" w:hAnsi="ArialNarrow-BoldItalic" w:cs="ArialNarrow-BoldItalic"/>
          <w:b/>
          <w:bCs/>
          <w:i/>
          <w:iCs/>
        </w:rPr>
        <w:t>(Del)</w:t>
      </w: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997DED" w:rsidRDefault="00D04BDB" w:rsidP="00997DED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 xml:space="preserve">Relevant Section - </w:t>
      </w:r>
      <w:r w:rsidR="00997DED">
        <w:rPr>
          <w:rFonts w:ascii="ArialNarrow-Bold" w:hAnsi="ArialNarrow-Bold" w:cs="ArialNarrow-Bold"/>
          <w:b/>
          <w:bCs/>
        </w:rPr>
        <w:t>11</w:t>
      </w: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997DED" w:rsidRDefault="00997DED" w:rsidP="00997DE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The assessee, a society registered under section 12A of the Income-tax Act, 1961, filled in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Form No. 10 provided under the Income-tax Rules, 1962, and submitted it to the Assessing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Officer along with its resolution, seeking permission to accumulate unspent funds under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 xml:space="preserve">section 11(2) of the Act for the objects of the trust. </w:t>
      </w:r>
    </w:p>
    <w:p w:rsidR="00997DED" w:rsidRDefault="00997DED" w:rsidP="00997DE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997DED" w:rsidRPr="00997DED" w:rsidRDefault="00997DED" w:rsidP="00997DE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The Assessing Officer was of the view that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the objects for which accumulation was sought were not particularised inasmuch as they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covered the entire range of objects of the trust. On this basis, the Assessing Officer denied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the benefit of accumulation to the assessee. This was upheld by the Tribunal.</w:t>
      </w:r>
    </w:p>
    <w:p w:rsidR="00997DED" w:rsidRDefault="00997DED" w:rsidP="00997DE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997DED" w:rsidRDefault="00997DED" w:rsidP="00997DE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The High Court held that it is not necessary for a charitable trust to particularise each and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every object for which accumulation is sought. It is enough if the assessee seeks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 xml:space="preserve">accumulation for the objects of the trust. </w:t>
      </w:r>
    </w:p>
    <w:p w:rsidR="00997DED" w:rsidRPr="00997DED" w:rsidRDefault="00997DED" w:rsidP="00997DED">
      <w:pPr>
        <w:pStyle w:val="ListParagraph"/>
        <w:rPr>
          <w:rFonts w:ascii="ArialNarrow" w:hAnsi="ArialNarrow" w:cs="ArialNarrow"/>
        </w:rPr>
      </w:pPr>
    </w:p>
    <w:p w:rsidR="00997DED" w:rsidRPr="00997DED" w:rsidRDefault="00997DED" w:rsidP="00997DE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Hence, the assessee had sought to accumulate the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sum for purposes of the trust and had specified such objects. It was therefore, entitled to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 xml:space="preserve">accumulate the sum under section </w:t>
      </w:r>
      <w:r w:rsidRPr="00997DED">
        <w:rPr>
          <w:rFonts w:ascii="ArialMT" w:hAnsi="ArialMT" w:cs="ArialMT"/>
          <w:sz w:val="20"/>
          <w:szCs w:val="20"/>
        </w:rPr>
        <w:t>11.</w:t>
      </w:r>
    </w:p>
    <w:p w:rsidR="0011529D" w:rsidRDefault="0011529D" w:rsidP="00997DED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997DED" w:rsidRDefault="00997DE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2. Whether repayment of borrowed funds utilised</w:t>
      </w:r>
      <w:r>
        <w:rPr>
          <w:rFonts w:ascii="ArialNarrow-Bold" w:hAnsi="ArialNarrow-Bold" w:cs="ArialNarrow-Bold"/>
          <w:b/>
          <w:bCs/>
        </w:rPr>
        <w:t xml:space="preserve"> for construction of commercial </w:t>
      </w:r>
      <w:r>
        <w:rPr>
          <w:rFonts w:ascii="ArialNarrow-Bold" w:hAnsi="ArialNarrow-Bold" w:cs="ArialNarrow-Bold"/>
          <w:b/>
          <w:bCs/>
        </w:rPr>
        <w:t>complex augmenting income of trust and amoun</w:t>
      </w:r>
      <w:r>
        <w:rPr>
          <w:rFonts w:ascii="ArialNarrow-Bold" w:hAnsi="ArialNarrow-Bold" w:cs="ArialNarrow-Bold"/>
          <w:b/>
          <w:bCs/>
        </w:rPr>
        <w:t xml:space="preserve">ts to application of income for </w:t>
      </w:r>
      <w:r>
        <w:rPr>
          <w:rFonts w:ascii="ArialNarrow-Bold" w:hAnsi="ArialNarrow-Bold" w:cs="ArialNarrow-Bold"/>
          <w:b/>
          <w:bCs/>
        </w:rPr>
        <w:t>charitable purpose eligible for exemption under section 11?</w:t>
      </w: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Laws - </w:t>
      </w:r>
      <w:r>
        <w:rPr>
          <w:rFonts w:ascii="ArialNarrow-BoldItalic" w:hAnsi="ArialNarrow-BoldItalic" w:cs="ArialNarrow-BoldItalic"/>
          <w:b/>
          <w:bCs/>
          <w:i/>
          <w:iCs/>
        </w:rPr>
        <w:t>Director of Income-tax (Exemption) v. Govindu Naicker Estate (2009) 315 ITR 237 (Mad.)</w:t>
      </w: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997DED" w:rsidRDefault="00D04BDB" w:rsidP="00997DED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Relevant Section -</w:t>
      </w:r>
      <w:r w:rsidR="00997DED">
        <w:rPr>
          <w:rFonts w:ascii="ArialNarrow-Bold" w:hAnsi="ArialNarrow-Bold" w:cs="ArialNarrow-Bold"/>
          <w:b/>
          <w:bCs/>
        </w:rPr>
        <w:t xml:space="preserve"> 11</w:t>
      </w: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997DED" w:rsidRDefault="00997DED" w:rsidP="00997D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During the assessment under section 143(3) of the Act, the Assessing Officer noted that, the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trust had made part repayment of a loan taken from the bank for constructing a multi-storied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 xml:space="preserve">building. </w:t>
      </w:r>
    </w:p>
    <w:p w:rsidR="00997DED" w:rsidRDefault="00997DED" w:rsidP="00997DE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997DED" w:rsidRDefault="00997DED" w:rsidP="00997D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The Assessing Officer opined that the multi-storied commercial complex was not one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of the objects of the trust and the expenditure incurred for the construction of the building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could not be treated as charitable in nature, that the repayment of loan could not be regarded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as application of income towards the charitable objects of the trust and rejected the claim of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 xml:space="preserve">the assessee. </w:t>
      </w:r>
    </w:p>
    <w:p w:rsidR="00997DED" w:rsidRPr="00997DED" w:rsidRDefault="00997DED" w:rsidP="00997DED">
      <w:pPr>
        <w:pStyle w:val="ListParagraph"/>
        <w:rPr>
          <w:rFonts w:ascii="ArialNarrow" w:hAnsi="ArialNarrow" w:cs="ArialNarrow"/>
        </w:rPr>
      </w:pPr>
    </w:p>
    <w:p w:rsidR="00997DED" w:rsidRDefault="00997DED" w:rsidP="00997D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The Commissioner (Appeals) allowed the appeal on the ground that the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property of the trust was in a dilapidated condition and fresh construction had to be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 xml:space="preserve">undertaken by obtaining a loan. </w:t>
      </w:r>
    </w:p>
    <w:p w:rsidR="00997DED" w:rsidRPr="00997DED" w:rsidRDefault="00997DED" w:rsidP="00997DED">
      <w:pPr>
        <w:pStyle w:val="ListParagraph"/>
        <w:rPr>
          <w:rFonts w:ascii="ArialNarrow" w:hAnsi="ArialNarrow" w:cs="ArialNarrow"/>
        </w:rPr>
      </w:pPr>
    </w:p>
    <w:p w:rsidR="00997DED" w:rsidRPr="00997DED" w:rsidRDefault="00997DED" w:rsidP="00997D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The subsequent letting out of the property was connected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with the carrying out of the objects of the trust and hence, the repayment of loan ought to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have been treated as eligible application. The finding of the Commissioner (Appeals) was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confirmed by the Tribunal.</w:t>
      </w:r>
    </w:p>
    <w:p w:rsidR="00997DED" w:rsidRDefault="00997DED" w:rsidP="00997DE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997DED" w:rsidRDefault="00997DED" w:rsidP="00997D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The High Court held that the Tribunal was right in holding that the repayment of loan taken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from the bank for construction of commercial complex was application of income for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charitable purposes and the assessee-trust was eligible for exemption under section 11 of the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 xml:space="preserve">Act. </w:t>
      </w:r>
    </w:p>
    <w:p w:rsidR="00997DED" w:rsidRPr="00997DED" w:rsidRDefault="00997DED" w:rsidP="00997DED">
      <w:pPr>
        <w:pStyle w:val="ListParagraph"/>
        <w:rPr>
          <w:rFonts w:ascii="ArialNarrow" w:hAnsi="ArialNarrow" w:cs="ArialNarrow"/>
        </w:rPr>
      </w:pPr>
    </w:p>
    <w:p w:rsidR="00997DED" w:rsidRDefault="00997DED" w:rsidP="00997D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Even though the expenditure incurred is capital in nature, if the expenditure is incurred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for the purpose of promoting the object of the trust, it could be considered as application of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 xml:space="preserve">the income for the purpose of the trust. </w:t>
      </w:r>
    </w:p>
    <w:p w:rsidR="00997DED" w:rsidRPr="00997DED" w:rsidRDefault="00997DED" w:rsidP="00997DED">
      <w:pPr>
        <w:pStyle w:val="ListParagraph"/>
        <w:rPr>
          <w:rFonts w:ascii="ArialNarrow" w:hAnsi="ArialNarrow" w:cs="ArialNarrow"/>
        </w:rPr>
      </w:pPr>
    </w:p>
    <w:p w:rsidR="00997DED" w:rsidRDefault="00997DED" w:rsidP="00997DE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If the application of the income resulted in the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maintenance of the property held under trust for charitable purpose, is for the purpose of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augmenting income in order to pursue the objects of the trust that would amount to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application of income for the purpose of the trust.</w:t>
      </w:r>
    </w:p>
    <w:p w:rsidR="00997DED" w:rsidRPr="00997DED" w:rsidRDefault="00997DED" w:rsidP="00997DED">
      <w:pPr>
        <w:pStyle w:val="ListParagraph"/>
        <w:rPr>
          <w:rFonts w:ascii="ArialNarrow" w:hAnsi="ArialNarrow" w:cs="ArialNarrow"/>
        </w:rPr>
      </w:pP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3. Whether the Tribunal has erred in law in holding that t</w:t>
      </w:r>
      <w:r>
        <w:rPr>
          <w:rFonts w:ascii="ArialNarrow-Bold" w:hAnsi="ArialNarrow-Bold" w:cs="ArialNarrow-Bold"/>
          <w:b/>
          <w:bCs/>
        </w:rPr>
        <w:t xml:space="preserve">he assessee carried on activity </w:t>
      </w:r>
      <w:r>
        <w:rPr>
          <w:rFonts w:ascii="ArialNarrow-Bold" w:hAnsi="ArialNarrow-Bold" w:cs="ArialNarrow-Bold"/>
          <w:b/>
          <w:bCs/>
        </w:rPr>
        <w:t>for charitable purpose in terms of section 2(15) an</w:t>
      </w:r>
      <w:r>
        <w:rPr>
          <w:rFonts w:ascii="ArialNarrow-Bold" w:hAnsi="ArialNarrow-Bold" w:cs="ArialNarrow-Bold"/>
          <w:b/>
          <w:bCs/>
        </w:rPr>
        <w:t xml:space="preserve">d directing the Commissioner of </w:t>
      </w:r>
      <w:r>
        <w:rPr>
          <w:rFonts w:ascii="ArialNarrow-Bold" w:hAnsi="ArialNarrow-Bold" w:cs="ArialNarrow-Bold"/>
          <w:b/>
          <w:bCs/>
        </w:rPr>
        <w:t>Income-tax to grant registration under section 12AA of the Act to the assesseesociety?</w:t>
      </w: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>
        <w:rPr>
          <w:rFonts w:ascii="ArialNarrow-BoldItalic" w:hAnsi="ArialNarrow-BoldItalic" w:cs="ArialNarrow-BoldItalic"/>
          <w:b/>
          <w:bCs/>
          <w:i/>
          <w:iCs/>
        </w:rPr>
        <w:t xml:space="preserve">CIT v National Institute of Aeronautical Engineering </w:t>
      </w:r>
      <w:r>
        <w:rPr>
          <w:rFonts w:ascii="ArialNarrow-BoldItalic" w:hAnsi="ArialNarrow-BoldItalic" w:cs="ArialNarrow-BoldItalic"/>
          <w:b/>
          <w:bCs/>
          <w:i/>
          <w:iCs/>
        </w:rPr>
        <w:t xml:space="preserve">Educational Socieity (2009) 315 </w:t>
      </w:r>
      <w:r>
        <w:rPr>
          <w:rFonts w:ascii="ArialNarrow-BoldItalic" w:hAnsi="ArialNarrow-BoldItalic" w:cs="ArialNarrow-BoldItalic"/>
          <w:b/>
          <w:bCs/>
          <w:i/>
          <w:iCs/>
        </w:rPr>
        <w:t>ITR 428 (Uttarakand)</w:t>
      </w: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Relevant Se</w:t>
      </w:r>
      <w:r>
        <w:rPr>
          <w:rFonts w:ascii="ArialNarrow-Bold" w:hAnsi="ArialNarrow-Bold" w:cs="ArialNarrow-Bold"/>
          <w:b/>
          <w:bCs/>
        </w:rPr>
        <w:t>ction -</w:t>
      </w:r>
      <w:r>
        <w:rPr>
          <w:rFonts w:ascii="ArialNarrow-Bold" w:hAnsi="ArialNarrow-Bold" w:cs="ArialNarrow-Bold"/>
          <w:b/>
          <w:bCs/>
        </w:rPr>
        <w:t xml:space="preserve"> 12AA</w:t>
      </w:r>
    </w:p>
    <w:p w:rsidR="00997DED" w:rsidRDefault="00997DED" w:rsidP="00997DE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605FFC" w:rsidRDefault="00997DED" w:rsidP="00997D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997DED">
        <w:rPr>
          <w:rFonts w:ascii="ArialNarrow" w:hAnsi="ArialNarrow" w:cs="ArialNarrow"/>
        </w:rPr>
        <w:t>The assessee, a registered society, moved an application before the Commissioner for grant</w:t>
      </w:r>
      <w:r>
        <w:rPr>
          <w:rFonts w:ascii="ArialNarrow" w:hAnsi="ArialNarrow" w:cs="ArialNarrow"/>
        </w:rPr>
        <w:t xml:space="preserve"> </w:t>
      </w:r>
      <w:r w:rsidRPr="00997DED">
        <w:rPr>
          <w:rFonts w:ascii="ArialNarrow" w:hAnsi="ArialNarrow" w:cs="ArialNarrow"/>
        </w:rPr>
        <w:t>of registration under section 12AA(1)(b)(i) of the Act, in Form 10A. The Commissioner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examined the papers including the income and expenditure of the assessee for the previous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years and concluded that the assessee was not carrying on any charitable activity within the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 xml:space="preserve">meaning of section 2(15) of the Act, as it was in a profit making business. </w:t>
      </w:r>
    </w:p>
    <w:p w:rsidR="00605FFC" w:rsidRDefault="00605FFC" w:rsidP="00605FFC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997DED" w:rsidRPr="00605FFC" w:rsidRDefault="00997DED" w:rsidP="00997D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05FFC">
        <w:rPr>
          <w:rFonts w:ascii="ArialNarrow" w:hAnsi="ArialNarrow" w:cs="ArialNarrow"/>
        </w:rPr>
        <w:t>Consequently, he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rejected the application for registration under section 12AA of the Act. The assessee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preferred an appeal before the Appellate Tribunal, which was allowed.</w:t>
      </w:r>
    </w:p>
    <w:p w:rsidR="00605FFC" w:rsidRDefault="00605FFC" w:rsidP="00997DE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605FFC" w:rsidRDefault="00997DED" w:rsidP="00997D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05FFC">
        <w:rPr>
          <w:rFonts w:ascii="ArialNarrow" w:hAnsi="ArialNarrow" w:cs="ArialNarrow"/>
        </w:rPr>
        <w:t>The High Court held that section 12AA of the Act provides the procedure for registration.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Clause (a) of sub-section (1) of section 12AA empowers the Commissioner to call for such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documents or information from the trust or institution as he thinks necessary in order to satisfy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himself about the genuineness of the activities of the trust or institution and he may also make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 xml:space="preserve">such inquiries, as he may deem necessary in this behalf. </w:t>
      </w:r>
    </w:p>
    <w:p w:rsidR="00605FFC" w:rsidRPr="00605FFC" w:rsidRDefault="00605FFC" w:rsidP="00605FFC">
      <w:pPr>
        <w:pStyle w:val="ListParagraph"/>
        <w:rPr>
          <w:rFonts w:ascii="ArialNarrow" w:hAnsi="ArialNarrow" w:cs="ArialNarrow"/>
        </w:rPr>
      </w:pPr>
    </w:p>
    <w:p w:rsidR="00997DED" w:rsidRPr="00605FFC" w:rsidRDefault="00997DED" w:rsidP="00997D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05FFC">
        <w:rPr>
          <w:rFonts w:ascii="ArialNarrow" w:hAnsi="ArialNarrow" w:cs="ArialNarrow"/>
        </w:rPr>
        <w:t>The Commissioner is not supposed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to allow registration with blind eyes. The Commissioner had considered the relevant papers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before him, which included the income and expenditure accounts of the previous years after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the assessee society got registered with the Assistant Registrar of Firms, Societies and Chits.</w:t>
      </w:r>
    </w:p>
    <w:p w:rsidR="00997DED" w:rsidRPr="00605FFC" w:rsidRDefault="00997DED" w:rsidP="00997DE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05FFC">
        <w:rPr>
          <w:rFonts w:ascii="ArialNarrow" w:hAnsi="ArialNarrow" w:cs="ArialNarrow"/>
        </w:rPr>
        <w:lastRenderedPageBreak/>
        <w:t>The Commissioner observed that the society was charging substantial fees from the students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and making huge profits. Merely imparting education for the primary purpose of earning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profits could not be said to be a charitable activity. In the expression "charitable purpose",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"charity" is the soul of the expression. Mere trade or commerce in the name of education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cannot be said to be a charitable purpose and the Commissioner has to satisfy itself as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provided under section 12AA of the Act before allowing the registration. The order of the</w:t>
      </w:r>
      <w:r w:rsidR="00605FFC">
        <w:rPr>
          <w:rFonts w:ascii="ArialNarrow" w:hAnsi="ArialNarrow" w:cs="ArialNarrow"/>
        </w:rPr>
        <w:t xml:space="preserve"> </w:t>
      </w:r>
      <w:r w:rsidRPr="00605FFC">
        <w:rPr>
          <w:rFonts w:ascii="ArialNarrow" w:hAnsi="ArialNarrow" w:cs="ArialNarrow"/>
        </w:rPr>
        <w:t>Commissioner was justified</w:t>
      </w:r>
      <w:r w:rsidR="00605FFC">
        <w:rPr>
          <w:rFonts w:ascii="ArialNarrow" w:hAnsi="ArialNarrow" w:cs="ArialNarrow"/>
        </w:rPr>
        <w:t>.</w:t>
      </w:r>
    </w:p>
    <w:p w:rsidR="00997DED" w:rsidRDefault="00997DE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1529D" w:rsidRPr="00605FFC" w:rsidRDefault="00605FFC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  <w:r w:rsidRPr="00605FFC">
        <w:rPr>
          <w:rFonts w:cs="ArialNarrow"/>
          <w:b/>
        </w:rPr>
        <w:t>Thanks For Your Patience.</w:t>
      </w:r>
    </w:p>
    <w:p w:rsidR="0011529D" w:rsidRPr="00605FFC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</w:p>
    <w:p w:rsidR="0011529D" w:rsidRPr="00605FFC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  <w:r w:rsidRPr="00605FFC">
        <w:rPr>
          <w:rFonts w:cs="ArialNarrow"/>
          <w:b/>
        </w:rPr>
        <w:t>Happy Reading.</w:t>
      </w:r>
    </w:p>
    <w:p w:rsidR="0011529D" w:rsidRPr="00605FFC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</w:p>
    <w:p w:rsidR="0011529D" w:rsidRPr="00605FFC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  <w:r w:rsidRPr="00605FFC">
        <w:rPr>
          <w:rFonts w:cs="ArialNarrow"/>
          <w:b/>
        </w:rPr>
        <w:t xml:space="preserve">For More </w:t>
      </w:r>
      <w:r w:rsidR="00605FFC">
        <w:rPr>
          <w:rFonts w:cs="ArialNarrow"/>
          <w:b/>
        </w:rPr>
        <w:t>Updates , Read My Next Article , Suggestions are always Welcomed .</w:t>
      </w:r>
    </w:p>
    <w:p w:rsidR="0011529D" w:rsidRPr="00605FFC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605FFC">
        <w:rPr>
          <w:rFonts w:cs="ArialNarrow"/>
          <w:b/>
        </w:rPr>
        <w:t xml:space="preserve">For Queries – Mail Me – </w:t>
      </w:r>
      <w:hyperlink r:id="rId9" w:history="1">
        <w:r w:rsidRPr="00605FFC">
          <w:rPr>
            <w:rStyle w:val="Hyperlink"/>
            <w:rFonts w:cs="ArialNarrow"/>
            <w:b/>
          </w:rPr>
          <w:t>yashshah299@gmail.com</w:t>
        </w:r>
      </w:hyperlink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1529D" w:rsidRP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  <w:sz w:val="28"/>
        </w:rPr>
      </w:pPr>
      <w:r w:rsidRPr="0011529D">
        <w:rPr>
          <w:rFonts w:cs="ArialNarrow"/>
          <w:b/>
          <w:sz w:val="28"/>
        </w:rPr>
        <w:t>THOUGHT FOREVER :-</w:t>
      </w:r>
    </w:p>
    <w:p w:rsidR="0011529D" w:rsidRP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  <w:sz w:val="28"/>
        </w:rPr>
      </w:pPr>
    </w:p>
    <w:p w:rsidR="0011529D" w:rsidRP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  <w:sz w:val="28"/>
        </w:rPr>
      </w:pPr>
      <w:r w:rsidRPr="0011529D">
        <w:rPr>
          <w:rFonts w:cs="ArialNarrow"/>
          <w:b/>
          <w:sz w:val="28"/>
        </w:rPr>
        <w:t>“GAINING KNOWLEDGE IS THE FIRST STEP TOWARDS WISDOM ,</w:t>
      </w:r>
    </w:p>
    <w:p w:rsidR="00767CB2" w:rsidRPr="00BA605E" w:rsidRDefault="0011529D" w:rsidP="00BA605E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 w:rsidRPr="0011529D">
        <w:rPr>
          <w:rFonts w:cs="ArialNarrow"/>
          <w:b/>
          <w:sz w:val="28"/>
        </w:rPr>
        <w:tab/>
      </w:r>
      <w:r w:rsidRPr="0011529D">
        <w:rPr>
          <w:rFonts w:cs="ArialNarrow"/>
          <w:b/>
          <w:sz w:val="28"/>
        </w:rPr>
        <w:tab/>
      </w:r>
      <w:r>
        <w:rPr>
          <w:rFonts w:cs="ArialNarrow"/>
          <w:b/>
          <w:sz w:val="28"/>
        </w:rPr>
        <w:tab/>
      </w:r>
      <w:r w:rsidRPr="0011529D">
        <w:rPr>
          <w:rFonts w:cs="ArialNarrow"/>
          <w:b/>
          <w:sz w:val="28"/>
        </w:rPr>
        <w:t>SHARING IT IS THE FIRST STEP TOWARDS HUMANITY.”</w:t>
      </w:r>
      <w:r w:rsidR="00CB19F4" w:rsidRPr="0011529D">
        <w:rPr>
          <w:rFonts w:cs="ArialNarrow"/>
          <w:b/>
          <w:sz w:val="28"/>
        </w:rPr>
        <w:t xml:space="preserve">                                                                                                                                                         </w:t>
      </w:r>
    </w:p>
    <w:sectPr w:rsidR="00767CB2" w:rsidRPr="00BA605E" w:rsidSect="000762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406" w:rsidRDefault="00471406" w:rsidP="001B550C">
      <w:pPr>
        <w:spacing w:after="0" w:line="240" w:lineRule="auto"/>
      </w:pPr>
      <w:r>
        <w:separator/>
      </w:r>
    </w:p>
  </w:endnote>
  <w:endnote w:type="continuationSeparator" w:id="0">
    <w:p w:rsidR="00471406" w:rsidRDefault="00471406" w:rsidP="001B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406" w:rsidRDefault="00471406" w:rsidP="001B550C">
      <w:pPr>
        <w:spacing w:after="0" w:line="240" w:lineRule="auto"/>
      </w:pPr>
      <w:r>
        <w:separator/>
      </w:r>
    </w:p>
  </w:footnote>
  <w:footnote w:type="continuationSeparator" w:id="0">
    <w:p w:rsidR="00471406" w:rsidRDefault="00471406" w:rsidP="001B5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004444"/>
      <w:docPartObj>
        <w:docPartGallery w:val="Watermarks"/>
        <w:docPartUnique/>
      </w:docPartObj>
    </w:sdtPr>
    <w:sdtEndPr/>
    <w:sdtContent>
      <w:p w:rsidR="001B550C" w:rsidRDefault="00471406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19401783" o:spid="_x0000_s2049" type="#_x0000_t136" style="position:absolute;margin-left:0;margin-top:0;width:559.8pt;height:76.3pt;rotation:315;z-index:-251658752;mso-position-horizontal:center;mso-position-horizontal-relative:margin;mso-position-vertical:center;mso-position-vertical-relative:margin" o:allowincell="f" fillcolor="silver" stroked="f">
              <v:textpath style="font-family:&quot;Calibri&quot;;font-size:1pt" string="yashshah299@gmail.com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D3D"/>
    <w:multiLevelType w:val="hybridMultilevel"/>
    <w:tmpl w:val="FC9C76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D2950"/>
    <w:multiLevelType w:val="hybridMultilevel"/>
    <w:tmpl w:val="C854C2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E4CFD"/>
    <w:multiLevelType w:val="hybridMultilevel"/>
    <w:tmpl w:val="0BCA9D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248F3"/>
    <w:multiLevelType w:val="hybridMultilevel"/>
    <w:tmpl w:val="0BF4EB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3576F"/>
    <w:multiLevelType w:val="hybridMultilevel"/>
    <w:tmpl w:val="1D5EE4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F49CF"/>
    <w:multiLevelType w:val="hybridMultilevel"/>
    <w:tmpl w:val="8A1AA8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47E75"/>
    <w:multiLevelType w:val="hybridMultilevel"/>
    <w:tmpl w:val="CCB260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D2CE6"/>
    <w:multiLevelType w:val="hybridMultilevel"/>
    <w:tmpl w:val="7B8065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D7BDB"/>
    <w:multiLevelType w:val="hybridMultilevel"/>
    <w:tmpl w:val="353A6C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50C45"/>
    <w:multiLevelType w:val="hybridMultilevel"/>
    <w:tmpl w:val="D9CE4D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C13CC"/>
    <w:multiLevelType w:val="hybridMultilevel"/>
    <w:tmpl w:val="CC9C07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1D5834"/>
    <w:multiLevelType w:val="hybridMultilevel"/>
    <w:tmpl w:val="05747F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22632"/>
    <w:multiLevelType w:val="hybridMultilevel"/>
    <w:tmpl w:val="617899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D5525"/>
    <w:multiLevelType w:val="hybridMultilevel"/>
    <w:tmpl w:val="051658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97DBC"/>
    <w:multiLevelType w:val="hybridMultilevel"/>
    <w:tmpl w:val="379E16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C1413"/>
    <w:multiLevelType w:val="hybridMultilevel"/>
    <w:tmpl w:val="A956F7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132CC0"/>
    <w:multiLevelType w:val="hybridMultilevel"/>
    <w:tmpl w:val="0A6670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85484E"/>
    <w:multiLevelType w:val="hybridMultilevel"/>
    <w:tmpl w:val="2CF652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4765C7"/>
    <w:multiLevelType w:val="hybridMultilevel"/>
    <w:tmpl w:val="4BFC80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4C7D66"/>
    <w:multiLevelType w:val="hybridMultilevel"/>
    <w:tmpl w:val="AC3CEE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93E89"/>
    <w:multiLevelType w:val="hybridMultilevel"/>
    <w:tmpl w:val="C17656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5227EB"/>
    <w:multiLevelType w:val="hybridMultilevel"/>
    <w:tmpl w:val="715661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075B72"/>
    <w:multiLevelType w:val="hybridMultilevel"/>
    <w:tmpl w:val="DC0435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0A2E64"/>
    <w:multiLevelType w:val="hybridMultilevel"/>
    <w:tmpl w:val="48E4C2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6B4295"/>
    <w:multiLevelType w:val="hybridMultilevel"/>
    <w:tmpl w:val="ED161ADC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4814A00"/>
    <w:multiLevelType w:val="hybridMultilevel"/>
    <w:tmpl w:val="0DF60D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B27BB9"/>
    <w:multiLevelType w:val="hybridMultilevel"/>
    <w:tmpl w:val="812281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572DA"/>
    <w:multiLevelType w:val="hybridMultilevel"/>
    <w:tmpl w:val="82DCB9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6F2AEB"/>
    <w:multiLevelType w:val="hybridMultilevel"/>
    <w:tmpl w:val="B73628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AE7B80"/>
    <w:multiLevelType w:val="hybridMultilevel"/>
    <w:tmpl w:val="A7FA9F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2"/>
  </w:num>
  <w:num w:numId="4">
    <w:abstractNumId w:val="1"/>
  </w:num>
  <w:num w:numId="5">
    <w:abstractNumId w:val="27"/>
  </w:num>
  <w:num w:numId="6">
    <w:abstractNumId w:val="5"/>
  </w:num>
  <w:num w:numId="7">
    <w:abstractNumId w:val="14"/>
  </w:num>
  <w:num w:numId="8">
    <w:abstractNumId w:val="9"/>
  </w:num>
  <w:num w:numId="9">
    <w:abstractNumId w:val="12"/>
  </w:num>
  <w:num w:numId="10">
    <w:abstractNumId w:val="21"/>
  </w:num>
  <w:num w:numId="11">
    <w:abstractNumId w:val="6"/>
  </w:num>
  <w:num w:numId="12">
    <w:abstractNumId w:val="19"/>
  </w:num>
  <w:num w:numId="13">
    <w:abstractNumId w:val="24"/>
  </w:num>
  <w:num w:numId="14">
    <w:abstractNumId w:val="7"/>
  </w:num>
  <w:num w:numId="15">
    <w:abstractNumId w:val="4"/>
  </w:num>
  <w:num w:numId="16">
    <w:abstractNumId w:val="28"/>
  </w:num>
  <w:num w:numId="17">
    <w:abstractNumId w:val="20"/>
  </w:num>
  <w:num w:numId="18">
    <w:abstractNumId w:val="15"/>
  </w:num>
  <w:num w:numId="19">
    <w:abstractNumId w:val="29"/>
  </w:num>
  <w:num w:numId="20">
    <w:abstractNumId w:val="0"/>
  </w:num>
  <w:num w:numId="21">
    <w:abstractNumId w:val="13"/>
  </w:num>
  <w:num w:numId="22">
    <w:abstractNumId w:val="10"/>
  </w:num>
  <w:num w:numId="23">
    <w:abstractNumId w:val="17"/>
  </w:num>
  <w:num w:numId="24">
    <w:abstractNumId w:val="11"/>
  </w:num>
  <w:num w:numId="25">
    <w:abstractNumId w:val="18"/>
  </w:num>
  <w:num w:numId="26">
    <w:abstractNumId w:val="16"/>
  </w:num>
  <w:num w:numId="27">
    <w:abstractNumId w:val="23"/>
  </w:num>
  <w:num w:numId="28">
    <w:abstractNumId w:val="22"/>
  </w:num>
  <w:num w:numId="29">
    <w:abstractNumId w:val="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cumentProtection w:edit="readOnly" w:formatting="1" w:enforcement="1" w:cryptProviderType="rsaFull" w:cryptAlgorithmClass="hash" w:cryptAlgorithmType="typeAny" w:cryptAlgorithmSid="4" w:cryptSpinCount="100000" w:hash="CZVPSnsbAbyXzHUHqV2+A9raJ8o=" w:salt="y5DjR666h6eHI6mC9A6UUQ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6A"/>
    <w:rsid w:val="00003110"/>
    <w:rsid w:val="00076297"/>
    <w:rsid w:val="00080BE7"/>
    <w:rsid w:val="000A326A"/>
    <w:rsid w:val="0011529D"/>
    <w:rsid w:val="0014406A"/>
    <w:rsid w:val="00177CEF"/>
    <w:rsid w:val="001B550C"/>
    <w:rsid w:val="00255D14"/>
    <w:rsid w:val="00282248"/>
    <w:rsid w:val="002F05FF"/>
    <w:rsid w:val="00350EB4"/>
    <w:rsid w:val="00410AE2"/>
    <w:rsid w:val="00471406"/>
    <w:rsid w:val="00605FFC"/>
    <w:rsid w:val="00607FB1"/>
    <w:rsid w:val="00646AC7"/>
    <w:rsid w:val="00726FDF"/>
    <w:rsid w:val="00767CB2"/>
    <w:rsid w:val="0078429A"/>
    <w:rsid w:val="007A616C"/>
    <w:rsid w:val="008B41B9"/>
    <w:rsid w:val="008E7E0F"/>
    <w:rsid w:val="009676EB"/>
    <w:rsid w:val="00997DED"/>
    <w:rsid w:val="009A75F7"/>
    <w:rsid w:val="00A20E8F"/>
    <w:rsid w:val="00A5093C"/>
    <w:rsid w:val="00A51995"/>
    <w:rsid w:val="00A54161"/>
    <w:rsid w:val="00A86780"/>
    <w:rsid w:val="00BA605E"/>
    <w:rsid w:val="00CB19F4"/>
    <w:rsid w:val="00D04BDB"/>
    <w:rsid w:val="00DB1215"/>
    <w:rsid w:val="00DE5AFE"/>
    <w:rsid w:val="00EF6F26"/>
    <w:rsid w:val="00F41724"/>
    <w:rsid w:val="00F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D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50C"/>
  </w:style>
  <w:style w:type="paragraph" w:styleId="Footer">
    <w:name w:val="footer"/>
    <w:basedOn w:val="Normal"/>
    <w:link w:val="Foot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50C"/>
  </w:style>
  <w:style w:type="character" w:styleId="Hyperlink">
    <w:name w:val="Hyperlink"/>
    <w:basedOn w:val="DefaultParagraphFont"/>
    <w:uiPriority w:val="99"/>
    <w:unhideWhenUsed/>
    <w:rsid w:val="00767C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D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50C"/>
  </w:style>
  <w:style w:type="paragraph" w:styleId="Footer">
    <w:name w:val="footer"/>
    <w:basedOn w:val="Normal"/>
    <w:link w:val="Foot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50C"/>
  </w:style>
  <w:style w:type="character" w:styleId="Hyperlink">
    <w:name w:val="Hyperlink"/>
    <w:basedOn w:val="DefaultParagraphFont"/>
    <w:uiPriority w:val="99"/>
    <w:unhideWhenUsed/>
    <w:rsid w:val="00767C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yashshah299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0E73-64FB-4288-9097-6F9F4A49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946</Words>
  <Characters>5398</Characters>
  <Application>Microsoft Office Word</Application>
  <DocSecurity>8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User;yashshah299@gmail.com</dc:creator>
  <cp:lastModifiedBy>User</cp:lastModifiedBy>
  <cp:revision>5</cp:revision>
  <dcterms:created xsi:type="dcterms:W3CDTF">2015-05-01T03:15:00Z</dcterms:created>
  <dcterms:modified xsi:type="dcterms:W3CDTF">2015-05-01T03:29:00Z</dcterms:modified>
</cp:coreProperties>
</file>