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995" w:rsidRPr="000A326A" w:rsidRDefault="000A326A" w:rsidP="007A616C">
      <w:pPr>
        <w:pStyle w:val="ListParagraph"/>
        <w:numPr>
          <w:ilvl w:val="0"/>
          <w:numId w:val="13"/>
        </w:numPr>
      </w:pPr>
      <w:r w:rsidRPr="007A616C">
        <w:rPr>
          <w:b/>
        </w:rPr>
        <w:t>Some Important Case Laws From</w:t>
      </w:r>
      <w:r>
        <w:t xml:space="preserve"> </w:t>
      </w:r>
      <w:r w:rsidR="00282248" w:rsidRPr="007A616C">
        <w:rPr>
          <w:b/>
          <w:i/>
          <w:u w:val="single"/>
        </w:rPr>
        <w:t>INCOME FROM SALARIES</w:t>
      </w:r>
      <w:r w:rsidR="00282248">
        <w:t xml:space="preserve"> </w:t>
      </w:r>
      <w:r>
        <w:t>:-</w:t>
      </w:r>
    </w:p>
    <w:p w:rsidR="000A326A" w:rsidRPr="000A326A" w:rsidRDefault="000A326A" w:rsidP="000A326A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0A326A">
        <w:rPr>
          <w:rFonts w:cs="ArialNarrow-Bold"/>
          <w:b/>
          <w:bCs/>
        </w:rPr>
        <w:t>1. Whether the amount received by the employee on cessation of employment with his</w:t>
      </w:r>
    </w:p>
    <w:p w:rsidR="000A326A" w:rsidRPr="000A326A" w:rsidRDefault="000A326A" w:rsidP="000A326A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0A326A">
        <w:rPr>
          <w:rFonts w:cs="ArialNarrow-Bold"/>
          <w:b/>
          <w:bCs/>
        </w:rPr>
        <w:t>Employer will be exempted from tax under section 17(3)(i) of the Income-tax Act?</w:t>
      </w:r>
    </w:p>
    <w:p w:rsidR="000A326A" w:rsidRDefault="000A326A" w:rsidP="000A326A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</w:p>
    <w:p w:rsidR="000A326A" w:rsidRPr="000A326A" w:rsidRDefault="000A326A" w:rsidP="000A326A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  <w:r>
        <w:rPr>
          <w:rFonts w:cs="ArialNarrow-BoldItalic"/>
          <w:b/>
          <w:bCs/>
          <w:i/>
          <w:iCs/>
        </w:rPr>
        <w:t xml:space="preserve">Relevant Case Law - </w:t>
      </w:r>
      <w:r w:rsidRPr="000A326A">
        <w:rPr>
          <w:rFonts w:cs="ArialNarrow-BoldItalic"/>
          <w:b/>
          <w:bCs/>
          <w:i/>
          <w:iCs/>
        </w:rPr>
        <w:t>CIT v. Shyam Sundar Chhaparia (2008) 305 ITR 181 (MP)</w:t>
      </w:r>
    </w:p>
    <w:p w:rsidR="000A326A" w:rsidRDefault="000A326A" w:rsidP="000A326A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0A326A" w:rsidRDefault="000A326A" w:rsidP="000A326A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>
        <w:rPr>
          <w:rFonts w:cs="ArialNarrow-Bold"/>
          <w:b/>
          <w:bCs/>
        </w:rPr>
        <w:t>Relevant Section -</w:t>
      </w:r>
      <w:r w:rsidRPr="000A326A">
        <w:rPr>
          <w:rFonts w:cs="ArialNarrow-Bold"/>
          <w:b/>
          <w:bCs/>
        </w:rPr>
        <w:t xml:space="preserve"> 17(3)</w:t>
      </w:r>
    </w:p>
    <w:p w:rsidR="000A326A" w:rsidRPr="000A326A" w:rsidRDefault="000A326A" w:rsidP="000A326A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F41724" w:rsidRPr="00F41724" w:rsidRDefault="000A326A" w:rsidP="00F4172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F41724">
        <w:rPr>
          <w:rFonts w:cs="ArialNarrow"/>
        </w:rPr>
        <w:t>The assessee after his retirement was granted an amount of Rs.27, 50,000</w:t>
      </w:r>
      <w:r w:rsidR="00F41724" w:rsidRPr="00F41724">
        <w:rPr>
          <w:rFonts w:cs="ArialNarrow"/>
        </w:rPr>
        <w:t xml:space="preserve"> as a special </w:t>
      </w:r>
      <w:r w:rsidRPr="00F41724">
        <w:rPr>
          <w:rFonts w:cs="ArialNarrow"/>
        </w:rPr>
        <w:t>Compensation in lieu of an agreement for refraining from taki</w:t>
      </w:r>
      <w:r w:rsidR="00F41724" w:rsidRPr="00F41724">
        <w:rPr>
          <w:rFonts w:cs="ArialNarrow"/>
        </w:rPr>
        <w:t xml:space="preserve">ng up any employment activities </w:t>
      </w:r>
      <w:r w:rsidRPr="00F41724">
        <w:rPr>
          <w:rFonts w:cs="ArialNarrow"/>
        </w:rPr>
        <w:t xml:space="preserve">Or consultation which would be prejudicial to the business/interest of his employer. </w:t>
      </w:r>
    </w:p>
    <w:p w:rsidR="00F41724" w:rsidRDefault="00F41724" w:rsidP="000A326A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F41724" w:rsidRPr="00F41724" w:rsidRDefault="00F41724" w:rsidP="00F4172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F41724">
        <w:rPr>
          <w:rFonts w:cs="ArialNarrow"/>
        </w:rPr>
        <w:t xml:space="preserve">The </w:t>
      </w:r>
      <w:r w:rsidR="000A326A" w:rsidRPr="00F41724">
        <w:rPr>
          <w:rFonts w:cs="ArialNarrow"/>
        </w:rPr>
        <w:t>assessee claimed that it was a non-taxable receipt being the compensation for not taking up</w:t>
      </w:r>
      <w:r>
        <w:rPr>
          <w:rFonts w:cs="ArialNarrow"/>
        </w:rPr>
        <w:t xml:space="preserve"> </w:t>
      </w:r>
      <w:r w:rsidRPr="00F41724">
        <w:rPr>
          <w:rFonts w:cs="ArialNarrow"/>
        </w:rPr>
        <w:t>a</w:t>
      </w:r>
      <w:r w:rsidR="000A326A" w:rsidRPr="00F41724">
        <w:rPr>
          <w:rFonts w:cs="ArialNarrow"/>
        </w:rPr>
        <w:t>ny competitive employment under a restrictive covenant</w:t>
      </w:r>
      <w:r w:rsidRPr="00F41724">
        <w:rPr>
          <w:rFonts w:cs="ArialNarrow"/>
        </w:rPr>
        <w:t>. The Assessing Officer did not a</w:t>
      </w:r>
      <w:r w:rsidR="000A326A" w:rsidRPr="00F41724">
        <w:rPr>
          <w:rFonts w:cs="ArialNarrow"/>
        </w:rPr>
        <w:t>ccept the claim of the assessee on the grounds that (i) the decis</w:t>
      </w:r>
      <w:r w:rsidRPr="00F41724">
        <w:rPr>
          <w:rFonts w:cs="ArialNarrow"/>
        </w:rPr>
        <w:t xml:space="preserve">ion of the Supreme Court </w:t>
      </w:r>
      <w:r w:rsidR="000A326A" w:rsidRPr="00F41724">
        <w:rPr>
          <w:rFonts w:cs="ArialNarrow"/>
        </w:rPr>
        <w:t>relied on by the assessee was that of an agency whereas th</w:t>
      </w:r>
      <w:r w:rsidRPr="00F41724">
        <w:rPr>
          <w:rFonts w:cs="ArialNarrow"/>
        </w:rPr>
        <w:t xml:space="preserve">e case of the assessee was that </w:t>
      </w:r>
      <w:r w:rsidR="000A326A" w:rsidRPr="00F41724">
        <w:rPr>
          <w:rFonts w:cs="ArialNarrow"/>
        </w:rPr>
        <w:t>of one who was in service, and (ii) section 17(3)(i) was squarel</w:t>
      </w:r>
      <w:r w:rsidRPr="00F41724">
        <w:rPr>
          <w:rFonts w:cs="ArialNarrow"/>
        </w:rPr>
        <w:t xml:space="preserve">y applicable to the case of the </w:t>
      </w:r>
      <w:r w:rsidR="000A326A" w:rsidRPr="00F41724">
        <w:rPr>
          <w:rFonts w:cs="ArialNarrow"/>
        </w:rPr>
        <w:t xml:space="preserve">assessee. </w:t>
      </w:r>
    </w:p>
    <w:p w:rsidR="00F41724" w:rsidRDefault="00F41724" w:rsidP="000A326A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0A326A" w:rsidRPr="00F41724" w:rsidRDefault="000A326A" w:rsidP="00F4172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F41724">
        <w:rPr>
          <w:rFonts w:cs="ArialNarrow"/>
        </w:rPr>
        <w:t>The Commissioner (Appeals) held that as there w</w:t>
      </w:r>
      <w:r w:rsidR="00F41724" w:rsidRPr="00F41724">
        <w:rPr>
          <w:rFonts w:cs="ArialNarrow"/>
        </w:rPr>
        <w:t xml:space="preserve">as restriction for the assessee </w:t>
      </w:r>
      <w:r w:rsidRPr="00F41724">
        <w:rPr>
          <w:rFonts w:cs="ArialNarrow"/>
        </w:rPr>
        <w:t>not to work in business of any type and anywhere, the compe</w:t>
      </w:r>
      <w:r w:rsidR="00F41724" w:rsidRPr="00F41724">
        <w:rPr>
          <w:rFonts w:cs="ArialNarrow"/>
        </w:rPr>
        <w:t xml:space="preserve">nsation was received in lieu of </w:t>
      </w:r>
      <w:r w:rsidRPr="00F41724">
        <w:rPr>
          <w:rFonts w:cs="ArialNarrow"/>
        </w:rPr>
        <w:t>loss of future work and was a capital receipt. The Tribunal held in favour of the assessee.</w:t>
      </w:r>
    </w:p>
    <w:p w:rsidR="000A326A" w:rsidRDefault="000A326A" w:rsidP="000A326A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F41724" w:rsidRPr="00F41724" w:rsidRDefault="000A326A" w:rsidP="00F4172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F41724">
        <w:rPr>
          <w:rFonts w:cs="ArialNarrow"/>
        </w:rPr>
        <w:t xml:space="preserve">The High Court held that the assessee retired from </w:t>
      </w:r>
      <w:r w:rsidR="00F41724" w:rsidRPr="00F41724">
        <w:rPr>
          <w:rFonts w:cs="ArialNarrow"/>
        </w:rPr>
        <w:t xml:space="preserve">service on attaining the age of </w:t>
      </w:r>
      <w:r w:rsidRPr="00F41724">
        <w:rPr>
          <w:rFonts w:cs="ArialNarrow"/>
        </w:rPr>
        <w:t>superannuation and hence there was severance of the master</w:t>
      </w:r>
      <w:r w:rsidR="00F41724" w:rsidRPr="00F41724">
        <w:rPr>
          <w:rFonts w:cs="ArialNarrow"/>
        </w:rPr>
        <w:t xml:space="preserve">-servant relationship and there </w:t>
      </w:r>
      <w:r w:rsidRPr="00F41724">
        <w:rPr>
          <w:rFonts w:cs="ArialNarrow"/>
        </w:rPr>
        <w:t xml:space="preserve">was no material to suggest that there existed a service contract </w:t>
      </w:r>
      <w:r w:rsidR="00F41724" w:rsidRPr="00F41724">
        <w:rPr>
          <w:rFonts w:cs="ArialNarrow"/>
        </w:rPr>
        <w:t xml:space="preserve">providing therein a restrictive </w:t>
      </w:r>
      <w:r w:rsidRPr="00F41724">
        <w:rPr>
          <w:rFonts w:cs="ArialNarrow"/>
        </w:rPr>
        <w:t xml:space="preserve">covenant preventing thereby the assessee from taking up </w:t>
      </w:r>
      <w:r w:rsidR="00F41724" w:rsidRPr="00F41724">
        <w:rPr>
          <w:rFonts w:cs="ArialNarrow"/>
        </w:rPr>
        <w:t xml:space="preserve">any employment or activities on </w:t>
      </w:r>
      <w:r w:rsidRPr="00F41724">
        <w:rPr>
          <w:rFonts w:cs="ArialNarrow"/>
        </w:rPr>
        <w:t xml:space="preserve">consultation which would be prejudicial to the business/interest of his employer. </w:t>
      </w:r>
    </w:p>
    <w:p w:rsidR="00F41724" w:rsidRDefault="00F41724" w:rsidP="000A326A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0A326A" w:rsidRPr="00F41724" w:rsidRDefault="00F41724" w:rsidP="00F4172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F41724">
        <w:rPr>
          <w:rFonts w:cs="ArialNarrow"/>
        </w:rPr>
        <w:t xml:space="preserve">Therefore, it </w:t>
      </w:r>
      <w:r w:rsidR="000A326A" w:rsidRPr="00F41724">
        <w:rPr>
          <w:rFonts w:cs="ArialNarrow"/>
        </w:rPr>
        <w:t xml:space="preserve">could not be termed as profit in lieu of salary because it was not compensation due to </w:t>
      </w:r>
      <w:r w:rsidRPr="00F41724">
        <w:rPr>
          <w:rFonts w:cs="ArialNarrow"/>
        </w:rPr>
        <w:t xml:space="preserve">or </w:t>
      </w:r>
      <w:r w:rsidR="000A326A" w:rsidRPr="00F41724">
        <w:rPr>
          <w:rFonts w:cs="ArialNarrow"/>
        </w:rPr>
        <w:t>received by the assessee from his employer or partner- employ</w:t>
      </w:r>
      <w:r w:rsidRPr="00F41724">
        <w:rPr>
          <w:rFonts w:cs="ArialNarrow"/>
        </w:rPr>
        <w:t xml:space="preserve">er at or in connection with the </w:t>
      </w:r>
      <w:r w:rsidR="000A326A" w:rsidRPr="00F41724">
        <w:rPr>
          <w:rFonts w:cs="ArialNarrow"/>
        </w:rPr>
        <w:t>termination of his employment. Thus, the Commissioner (Ap</w:t>
      </w:r>
      <w:r w:rsidRPr="00F41724">
        <w:rPr>
          <w:rFonts w:cs="ArialNarrow"/>
        </w:rPr>
        <w:t xml:space="preserve">peals) and the Tribunal rightly </w:t>
      </w:r>
      <w:r w:rsidR="000A326A" w:rsidRPr="00F41724">
        <w:rPr>
          <w:rFonts w:cs="ArialNarrow"/>
        </w:rPr>
        <w:t>held that the amount could not be added for the purpose of income-tax.</w:t>
      </w:r>
    </w:p>
    <w:p w:rsidR="000A326A" w:rsidRDefault="000A326A" w:rsidP="000A326A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0A326A" w:rsidRPr="000A326A" w:rsidRDefault="000A326A" w:rsidP="000A326A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0A326A">
        <w:rPr>
          <w:rFonts w:cs="ArialNarrow-Bold"/>
          <w:b/>
          <w:bCs/>
        </w:rPr>
        <w:t>2. Can reimbursement of expenditure on medical treatment taken by the assessee, who</w:t>
      </w:r>
    </w:p>
    <w:p w:rsidR="000A326A" w:rsidRPr="000A326A" w:rsidRDefault="000A326A" w:rsidP="000A326A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0A326A">
        <w:rPr>
          <w:rFonts w:cs="ArialNarrow-Bold"/>
          <w:b/>
          <w:bCs/>
        </w:rPr>
        <w:t>was a member of the Legislative Assembly, be taxed as perquisite under section</w:t>
      </w:r>
    </w:p>
    <w:p w:rsidR="000A326A" w:rsidRPr="000A326A" w:rsidRDefault="000A326A" w:rsidP="000A326A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0A326A">
        <w:rPr>
          <w:rFonts w:cs="ArialNarrow-Bold"/>
          <w:b/>
          <w:bCs/>
        </w:rPr>
        <w:t>17(2)(iv)?</w:t>
      </w:r>
    </w:p>
    <w:p w:rsidR="000A326A" w:rsidRDefault="000A326A" w:rsidP="000A326A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</w:p>
    <w:p w:rsidR="000A326A" w:rsidRPr="000A326A" w:rsidRDefault="000A326A" w:rsidP="000A326A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  <w:r>
        <w:rPr>
          <w:rFonts w:cs="ArialNarrow-BoldItalic"/>
          <w:b/>
          <w:bCs/>
          <w:i/>
          <w:iCs/>
        </w:rPr>
        <w:t xml:space="preserve">Relevant Case Law - </w:t>
      </w:r>
      <w:r w:rsidRPr="000A326A">
        <w:rPr>
          <w:rFonts w:cs="ArialNarrow-BoldItalic"/>
          <w:b/>
          <w:bCs/>
          <w:i/>
          <w:iCs/>
        </w:rPr>
        <w:t>CIT v. Shiv Charan Mathur (2008) 306 ITR 126 (Raj)</w:t>
      </w:r>
    </w:p>
    <w:p w:rsidR="000A326A" w:rsidRDefault="000A326A" w:rsidP="000A326A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0A326A" w:rsidRPr="000A326A" w:rsidRDefault="000A326A" w:rsidP="000A326A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  <w:r>
        <w:rPr>
          <w:rFonts w:cs="ArialNarrow-Bold"/>
          <w:b/>
          <w:bCs/>
        </w:rPr>
        <w:t>Relevant Section -</w:t>
      </w:r>
      <w:r w:rsidRPr="000A326A">
        <w:rPr>
          <w:rFonts w:cs="ArialNarrow-Bold"/>
          <w:b/>
          <w:bCs/>
        </w:rPr>
        <w:t xml:space="preserve"> 15 &amp; 17(2</w:t>
      </w:r>
      <w:r w:rsidRPr="000A326A">
        <w:rPr>
          <w:rFonts w:cs="ArialNarrow-BoldItalic"/>
          <w:b/>
          <w:bCs/>
          <w:i/>
          <w:iCs/>
        </w:rPr>
        <w:t>)</w:t>
      </w:r>
    </w:p>
    <w:p w:rsidR="000A326A" w:rsidRDefault="000A326A" w:rsidP="000A326A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0A326A" w:rsidRPr="00F41724" w:rsidRDefault="000A326A" w:rsidP="00F4172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F41724">
        <w:rPr>
          <w:rFonts w:cs="ArialNarrow"/>
        </w:rPr>
        <w:t>Notice under section 148 was issued to the assessee, at the relevant time a sitting MLA and</w:t>
      </w:r>
    </w:p>
    <w:p w:rsidR="000A326A" w:rsidRPr="000A326A" w:rsidRDefault="000A326A" w:rsidP="00F4172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0A326A">
        <w:rPr>
          <w:rFonts w:cs="ArialNarrow"/>
        </w:rPr>
        <w:t>former Chief Minister of the State, for the reason that he received a sum from the State</w:t>
      </w:r>
    </w:p>
    <w:p w:rsidR="000A326A" w:rsidRPr="000A326A" w:rsidRDefault="000A326A" w:rsidP="00F4172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0A326A">
        <w:rPr>
          <w:rFonts w:cs="ArialNarrow"/>
        </w:rPr>
        <w:t>Government as reimbursement of medical expenses which amount was liable to be taxed</w:t>
      </w:r>
    </w:p>
    <w:p w:rsidR="00F41724" w:rsidRDefault="000A326A" w:rsidP="00F4172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0A326A">
        <w:rPr>
          <w:rFonts w:cs="ArialNarrow"/>
        </w:rPr>
        <w:t xml:space="preserve">under section 17 but had not been offered for taxation. </w:t>
      </w:r>
    </w:p>
    <w:p w:rsidR="00F41724" w:rsidRDefault="00F41724" w:rsidP="000A326A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0A326A" w:rsidRPr="00F41724" w:rsidRDefault="000A326A" w:rsidP="00F4172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F41724">
        <w:rPr>
          <w:rFonts w:cs="ArialNarrow"/>
        </w:rPr>
        <w:lastRenderedPageBreak/>
        <w:t>The contention of the assessee was</w:t>
      </w:r>
      <w:r w:rsidR="00F41724" w:rsidRPr="00F41724">
        <w:rPr>
          <w:rFonts w:cs="ArialNarrow"/>
        </w:rPr>
        <w:t xml:space="preserve"> </w:t>
      </w:r>
      <w:r w:rsidRPr="00F41724">
        <w:rPr>
          <w:rFonts w:cs="ArialNarrow"/>
        </w:rPr>
        <w:t>that the amount received by MPs and MLAs was not taxa</w:t>
      </w:r>
      <w:r w:rsidR="00F41724" w:rsidRPr="00F41724">
        <w:rPr>
          <w:rFonts w:cs="ArialNarrow"/>
        </w:rPr>
        <w:t xml:space="preserve">ble under the head “Salary” but </w:t>
      </w:r>
      <w:r w:rsidRPr="00F41724">
        <w:rPr>
          <w:rFonts w:cs="ArialNarrow"/>
        </w:rPr>
        <w:t>under the head “Income from other sources”.</w:t>
      </w:r>
    </w:p>
    <w:p w:rsidR="000A326A" w:rsidRDefault="000A326A" w:rsidP="000A326A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0A326A" w:rsidRPr="00F41724" w:rsidRDefault="000A326A" w:rsidP="00F4172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F41724">
        <w:rPr>
          <w:rFonts w:cs="ArialNarrow"/>
        </w:rPr>
        <w:t>The High Court held that MLAs and MPs are not employed by anybody rather they are</w:t>
      </w:r>
    </w:p>
    <w:p w:rsidR="000A326A" w:rsidRPr="000A326A" w:rsidRDefault="000A326A" w:rsidP="00F4172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0A326A">
        <w:rPr>
          <w:rFonts w:cs="ArialNarrow"/>
        </w:rPr>
        <w:t>elected by the public, their election constituencies and it is consequent upon such election</w:t>
      </w:r>
    </w:p>
    <w:p w:rsidR="000A326A" w:rsidRPr="000A326A" w:rsidRDefault="000A326A" w:rsidP="00F4172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0A326A">
        <w:rPr>
          <w:rFonts w:cs="ArialNarrow"/>
        </w:rPr>
        <w:t>that they acquire constitutional position and are in charge of constitutional functions and</w:t>
      </w:r>
    </w:p>
    <w:p w:rsidR="00F41724" w:rsidRDefault="000A326A" w:rsidP="00F4172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0A326A">
        <w:rPr>
          <w:rFonts w:cs="ArialNarrow"/>
        </w:rPr>
        <w:t xml:space="preserve">obligations. </w:t>
      </w:r>
    </w:p>
    <w:p w:rsidR="00F41724" w:rsidRDefault="00F41724" w:rsidP="000A326A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0A326A" w:rsidRPr="00F41724" w:rsidRDefault="000A326A" w:rsidP="00F4172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F41724">
        <w:rPr>
          <w:rFonts w:cs="ArialNarrow"/>
        </w:rPr>
        <w:t>The remuneration received by them, after swearing in, cannot be said to be</w:t>
      </w:r>
    </w:p>
    <w:p w:rsidR="000A326A" w:rsidRPr="000A326A" w:rsidRDefault="000A326A" w:rsidP="00F4172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0A326A">
        <w:rPr>
          <w:rFonts w:cs="ArialNarrow"/>
        </w:rPr>
        <w:t>“salary” within the meaning of section 15 of the Income-tax Act, 1961. The fundamental</w:t>
      </w:r>
    </w:p>
    <w:p w:rsidR="000A326A" w:rsidRPr="000A326A" w:rsidRDefault="000A326A" w:rsidP="00F4172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0A326A">
        <w:rPr>
          <w:rFonts w:cs="ArialNarrow"/>
        </w:rPr>
        <w:t>requirement for attracting section 15 is that there should be a relationship of employer and</w:t>
      </w:r>
    </w:p>
    <w:p w:rsidR="00F41724" w:rsidRDefault="000A326A" w:rsidP="00F4172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0A326A">
        <w:rPr>
          <w:rFonts w:cs="ArialNarrow"/>
        </w:rPr>
        <w:t xml:space="preserve">employee whether in existence or in the past. </w:t>
      </w:r>
    </w:p>
    <w:p w:rsidR="00F41724" w:rsidRDefault="00F41724" w:rsidP="000A326A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0A326A" w:rsidRPr="00F41724" w:rsidRDefault="000A326A" w:rsidP="00F4172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F41724">
        <w:rPr>
          <w:rFonts w:cs="ArialNarrow"/>
        </w:rPr>
        <w:t>This basic ingred</w:t>
      </w:r>
      <w:r w:rsidR="00F41724" w:rsidRPr="00F41724">
        <w:rPr>
          <w:rFonts w:cs="ArialNarrow"/>
        </w:rPr>
        <w:t xml:space="preserve">ient is missing in the cases of </w:t>
      </w:r>
      <w:r w:rsidRPr="00F41724">
        <w:rPr>
          <w:rFonts w:cs="ArialNarrow"/>
        </w:rPr>
        <w:t>MLAs and MPs. When the provisions of section 15 were no</w:t>
      </w:r>
      <w:r w:rsidR="00F41724" w:rsidRPr="00F41724">
        <w:rPr>
          <w:rFonts w:cs="ArialNarrow"/>
        </w:rPr>
        <w:t xml:space="preserve">t attracted to the remuneration </w:t>
      </w:r>
      <w:r w:rsidRPr="00F41724">
        <w:rPr>
          <w:rFonts w:cs="ArialNarrow"/>
        </w:rPr>
        <w:t>received by the assessee, section 17 could not be attracted as section 17 o</w:t>
      </w:r>
      <w:r w:rsidR="00F41724" w:rsidRPr="00F41724">
        <w:rPr>
          <w:rFonts w:cs="ArialNarrow"/>
        </w:rPr>
        <w:t xml:space="preserve">nly extends the </w:t>
      </w:r>
      <w:r w:rsidRPr="00F41724">
        <w:rPr>
          <w:rFonts w:cs="ArialNarrow"/>
        </w:rPr>
        <w:t>definition of “Salary” by providing certain items mentioned therein to be included in salary.</w:t>
      </w:r>
    </w:p>
    <w:p w:rsidR="00F41724" w:rsidRDefault="00F41724" w:rsidP="000A326A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0A326A" w:rsidRPr="00F41724" w:rsidRDefault="000A326A" w:rsidP="00F4172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F41724">
        <w:rPr>
          <w:rFonts w:cs="ArialNarrow"/>
        </w:rPr>
        <w:t>Thus, the reimbursement of medical treatment taken by the assessee, who was a member of</w:t>
      </w:r>
    </w:p>
    <w:p w:rsidR="000A326A" w:rsidRPr="000A326A" w:rsidRDefault="000A326A" w:rsidP="00F4172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0A326A">
        <w:rPr>
          <w:rFonts w:cs="ArialNarrow"/>
        </w:rPr>
        <w:t>the Legislative Assembly for open heart surgery conducted abroad was not taxable as</w:t>
      </w:r>
    </w:p>
    <w:p w:rsidR="000A326A" w:rsidRDefault="000A326A" w:rsidP="00F41724">
      <w:pPr>
        <w:ind w:firstLine="720"/>
        <w:rPr>
          <w:rFonts w:cs="ArialNarrow"/>
        </w:rPr>
      </w:pPr>
      <w:r w:rsidRPr="000A326A">
        <w:rPr>
          <w:rFonts w:cs="ArialNarrow"/>
        </w:rPr>
        <w:t>perquisite under section 17(2)(iv).</w:t>
      </w:r>
    </w:p>
    <w:p w:rsidR="000A326A" w:rsidRDefault="000A326A" w:rsidP="000A326A"/>
    <w:p w:rsidR="000A326A" w:rsidRDefault="008E7E0F" w:rsidP="007A616C">
      <w:pPr>
        <w:pStyle w:val="ListParagraph"/>
        <w:numPr>
          <w:ilvl w:val="0"/>
          <w:numId w:val="13"/>
        </w:numPr>
      </w:pPr>
      <w:r w:rsidRPr="007A616C">
        <w:rPr>
          <w:b/>
        </w:rPr>
        <w:t>Important Case Law</w:t>
      </w:r>
      <w:r w:rsidR="000A326A" w:rsidRPr="007A616C">
        <w:rPr>
          <w:b/>
        </w:rPr>
        <w:t xml:space="preserve"> From</w:t>
      </w:r>
      <w:r w:rsidR="000A326A">
        <w:t xml:space="preserve"> </w:t>
      </w:r>
      <w:r w:rsidR="00282248" w:rsidRPr="007A616C">
        <w:rPr>
          <w:b/>
          <w:i/>
          <w:u w:val="single"/>
        </w:rPr>
        <w:t>INCOME FROM HOUSE PROPERTY</w:t>
      </w:r>
      <w:r w:rsidR="000A326A">
        <w:t xml:space="preserve"> :-</w:t>
      </w: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282248">
        <w:rPr>
          <w:rFonts w:cs="ArialNarrow-Bold"/>
          <w:b/>
          <w:bCs/>
        </w:rPr>
        <w:t>1. Is the rental income from the sub-letting of a building taken on lease taxable under the head ‘income from other sources’ or ‘income from house property’ or ‘income from business?</w:t>
      </w: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  <w:r w:rsidRPr="00282248">
        <w:rPr>
          <w:rFonts w:cs="ArialNarrow-BoldItalic"/>
          <w:b/>
          <w:bCs/>
          <w:i/>
          <w:iCs/>
        </w:rPr>
        <w:t>Relevant Case Law - Harikrishna Family Trust v. CIT (2008) 306 ITR 303 (Guj.)</w:t>
      </w: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282248">
        <w:rPr>
          <w:rFonts w:cs="ArialNarrow-Bold"/>
          <w:b/>
          <w:bCs/>
        </w:rPr>
        <w:t>Relevant Section - 22</w:t>
      </w: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8E7E0F" w:rsidRDefault="00282248" w:rsidP="008E7E0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8E7E0F">
        <w:rPr>
          <w:rFonts w:cs="ArialNarrow"/>
        </w:rPr>
        <w:t>A lease deed was executed between the owners of a property partly constructed and the</w:t>
      </w:r>
    </w:p>
    <w:p w:rsidR="00282248" w:rsidRPr="00282248" w:rsidRDefault="00282248" w:rsidP="008E7E0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assessee-trust. The trust took on lease the said property at a monthly lease rent of Rs.4,000.</w:t>
      </w:r>
    </w:p>
    <w:p w:rsidR="008E7E0F" w:rsidRDefault="00282248" w:rsidP="008E7E0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 xml:space="preserve">The beneficiaries were dependent relatives of the co-owners of the property. </w:t>
      </w:r>
    </w:p>
    <w:p w:rsidR="008E7E0F" w:rsidRDefault="008E7E0F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8E7E0F" w:rsidRPr="008E7E0F" w:rsidRDefault="008E7E0F" w:rsidP="0028224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8E7E0F">
        <w:rPr>
          <w:rFonts w:cs="ArialNarrow"/>
        </w:rPr>
        <w:t xml:space="preserve">The trust, after </w:t>
      </w:r>
      <w:r w:rsidR="00282248" w:rsidRPr="008E7E0F">
        <w:rPr>
          <w:rFonts w:cs="ArialNarrow"/>
        </w:rPr>
        <w:t>completing construction work of the balance portion of the</w:t>
      </w:r>
      <w:r w:rsidRPr="008E7E0F">
        <w:rPr>
          <w:rFonts w:cs="ArialNarrow"/>
        </w:rPr>
        <w:t xml:space="preserve"> building, rented out the whole </w:t>
      </w:r>
      <w:r w:rsidR="00282248" w:rsidRPr="008E7E0F">
        <w:rPr>
          <w:rFonts w:cs="ArialNarrow"/>
        </w:rPr>
        <w:t>premises and the rental income was shown as income from property and originally assessed</w:t>
      </w:r>
      <w:r>
        <w:rPr>
          <w:rFonts w:cs="ArialNarrow"/>
        </w:rPr>
        <w:t xml:space="preserve"> </w:t>
      </w:r>
      <w:r w:rsidR="00282248" w:rsidRPr="008E7E0F">
        <w:rPr>
          <w:rFonts w:cs="ArialNarrow"/>
        </w:rPr>
        <w:t xml:space="preserve">as such. </w:t>
      </w:r>
    </w:p>
    <w:p w:rsidR="008E7E0F" w:rsidRDefault="008E7E0F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8E7E0F" w:rsidRDefault="00282248" w:rsidP="008E7E0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8E7E0F">
        <w:rPr>
          <w:rFonts w:cs="ArialNarrow"/>
        </w:rPr>
        <w:t>Subsequently, by virtue of action under section 263 of the Income-tax Act, 1961, the</w:t>
      </w:r>
    </w:p>
    <w:p w:rsidR="00282248" w:rsidRPr="00282248" w:rsidRDefault="00282248" w:rsidP="008E7E0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CIT set aside the order. After enquiry the Assessing Officer assessed the income as business</w:t>
      </w:r>
    </w:p>
    <w:p w:rsidR="00282248" w:rsidRPr="00282248" w:rsidRDefault="00282248" w:rsidP="008E7E0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income but the CIT(A) on appeal held that it was income from other sources. The Tribunal</w:t>
      </w:r>
    </w:p>
    <w:p w:rsidR="00282248" w:rsidRPr="00282248" w:rsidRDefault="00282248" w:rsidP="008E7E0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held that the amount was assessable as business income.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8E7E0F" w:rsidRDefault="00282248" w:rsidP="008E7E0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8E7E0F">
        <w:rPr>
          <w:rFonts w:cs="ArialNarrow"/>
        </w:rPr>
        <w:t>The High Court held that the assessee-trust was merely a lessee of the property and had</w:t>
      </w:r>
    </w:p>
    <w:p w:rsidR="00282248" w:rsidRPr="00282248" w:rsidRDefault="00282248" w:rsidP="008E7E0F">
      <w:pPr>
        <w:autoSpaceDE w:val="0"/>
        <w:autoSpaceDN w:val="0"/>
        <w:adjustRightInd w:val="0"/>
        <w:spacing w:after="0" w:line="240" w:lineRule="auto"/>
        <w:ind w:left="720"/>
        <w:rPr>
          <w:rFonts w:cs="ArialNarrow"/>
        </w:rPr>
      </w:pPr>
      <w:r w:rsidRPr="00282248">
        <w:rPr>
          <w:rFonts w:cs="ArialNarrow"/>
        </w:rPr>
        <w:t>sub-let the property after completing the partly constructed building which the assessee-trust</w:t>
      </w:r>
      <w:r w:rsidR="008E7E0F">
        <w:rPr>
          <w:rFonts w:cs="ArialNarrow"/>
        </w:rPr>
        <w:t xml:space="preserve"> </w:t>
      </w:r>
      <w:r w:rsidRPr="00282248">
        <w:rPr>
          <w:rFonts w:cs="ArialNarrow"/>
        </w:rPr>
        <w:t>had taken on lease. In the circumstances, in the absence of the assessee-trust being the</w:t>
      </w:r>
    </w:p>
    <w:p w:rsidR="00282248" w:rsidRPr="00282248" w:rsidRDefault="00282248" w:rsidP="008E7E0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owner of the property, there could be no question of taxing the rental income from the said</w:t>
      </w:r>
    </w:p>
    <w:p w:rsidR="00282248" w:rsidRDefault="00282248" w:rsidP="008E7E0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property in the hands of the assessee-trust under the head “Income from house property”.</w:t>
      </w:r>
    </w:p>
    <w:p w:rsidR="00282248" w:rsidRPr="008E7E0F" w:rsidRDefault="00282248" w:rsidP="008E7E0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8E7E0F">
        <w:rPr>
          <w:rFonts w:cs="ArialNarrow"/>
        </w:rPr>
        <w:lastRenderedPageBreak/>
        <w:t>The assessee-trust at no point of time indulged in any systematic activity so as to treat the</w:t>
      </w:r>
    </w:p>
    <w:p w:rsidR="00282248" w:rsidRPr="00282248" w:rsidRDefault="00282248" w:rsidP="008E7E0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assessee as having indulged in business or a venture in the nature of business. On facts the</w:t>
      </w:r>
    </w:p>
    <w:p w:rsidR="000A326A" w:rsidRPr="00282248" w:rsidRDefault="00282248" w:rsidP="008E7E0F">
      <w:pPr>
        <w:ind w:firstLine="720"/>
      </w:pPr>
      <w:r w:rsidRPr="00282248">
        <w:rPr>
          <w:rFonts w:cs="ArialNarrow"/>
        </w:rPr>
        <w:t>income was liable to be taxed as “Income from other sources”.</w:t>
      </w:r>
    </w:p>
    <w:p w:rsidR="00F41724" w:rsidRDefault="00F41724" w:rsidP="00282248"/>
    <w:p w:rsidR="00282248" w:rsidRDefault="00282248" w:rsidP="007A616C">
      <w:pPr>
        <w:pStyle w:val="ListParagraph"/>
        <w:numPr>
          <w:ilvl w:val="0"/>
          <w:numId w:val="13"/>
        </w:numPr>
      </w:pPr>
      <w:r w:rsidRPr="007A616C">
        <w:rPr>
          <w:b/>
        </w:rPr>
        <w:t>Some Important Case Laws From</w:t>
      </w:r>
      <w:r>
        <w:t xml:space="preserve"> </w:t>
      </w:r>
      <w:r w:rsidRPr="007A616C">
        <w:rPr>
          <w:b/>
          <w:i/>
          <w:u w:val="single"/>
        </w:rPr>
        <w:t>INCOME FROM CAPITAL GAINS</w:t>
      </w:r>
      <w:r>
        <w:t xml:space="preserve"> :-</w:t>
      </w: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282248">
        <w:rPr>
          <w:rFonts w:cs="ArialNarrow-Bold"/>
          <w:b/>
          <w:bCs/>
        </w:rPr>
        <w:t>1. Can the loss on account of forfeiture of share application money be treated as</w:t>
      </w: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282248">
        <w:rPr>
          <w:rFonts w:cs="ArialNarrow-Bold"/>
          <w:b/>
          <w:bCs/>
        </w:rPr>
        <w:t>short-term capital loss?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  <w:r>
        <w:rPr>
          <w:rFonts w:cs="ArialNarrow-BoldItalic"/>
          <w:b/>
          <w:bCs/>
          <w:i/>
          <w:iCs/>
        </w:rPr>
        <w:t xml:space="preserve">Relevant Case Law - </w:t>
      </w:r>
      <w:r w:rsidRPr="00282248">
        <w:rPr>
          <w:rFonts w:cs="ArialNarrow-BoldItalic"/>
          <w:b/>
          <w:bCs/>
          <w:i/>
          <w:iCs/>
        </w:rPr>
        <w:t>DCIT v. BPL Sanyo Finance Ltd. (2009) 312 ITR 63 (Kar.)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282248">
        <w:rPr>
          <w:rFonts w:cs="ArialNarrow-Bold"/>
          <w:b/>
          <w:bCs/>
        </w:rPr>
        <w:t>Relevant Section: 45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255D14" w:rsidRDefault="00282248" w:rsidP="00255D1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255D14">
        <w:rPr>
          <w:rFonts w:cs="ArialNarrow"/>
        </w:rPr>
        <w:t>The assessee company is engaged in non-banking financial business and applied for</w:t>
      </w:r>
    </w:p>
    <w:p w:rsidR="00282248" w:rsidRPr="00282248" w:rsidRDefault="00282248" w:rsidP="00255D1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allotment of one lakh equity shares of the IDBI in response to the public issue of shares</w:t>
      </w:r>
    </w:p>
    <w:p w:rsidR="00282248" w:rsidRPr="00282248" w:rsidRDefault="00282248" w:rsidP="00255D1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and remitted the share application money. The IDBI allotted 89,200 shares to the</w:t>
      </w:r>
    </w:p>
    <w:p w:rsidR="00255D14" w:rsidRDefault="00282248" w:rsidP="00255D1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 xml:space="preserve">assessee as against one lakh equity shares applied for. </w:t>
      </w:r>
    </w:p>
    <w:p w:rsidR="00255D14" w:rsidRDefault="00255D14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255D14" w:rsidRDefault="00255D14" w:rsidP="00255D1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255D14">
        <w:rPr>
          <w:rFonts w:cs="ArialNarrow"/>
        </w:rPr>
        <w:t xml:space="preserve">Thereafter, the IDBI called the </w:t>
      </w:r>
      <w:r w:rsidR="00282248" w:rsidRPr="00255D14">
        <w:rPr>
          <w:rFonts w:cs="ArialNarrow"/>
        </w:rPr>
        <w:t>assessee to pay the balance sum for issuance of shares in its favour. As the assessee</w:t>
      </w:r>
      <w:r w:rsidRPr="00255D14">
        <w:rPr>
          <w:rFonts w:cs="ArialNarrow"/>
        </w:rPr>
        <w:t xml:space="preserve"> company </w:t>
      </w:r>
      <w:r w:rsidR="00282248" w:rsidRPr="00255D14">
        <w:rPr>
          <w:rFonts w:cs="ArialNarrow"/>
        </w:rPr>
        <w:t>failed to remit the balance outstanding allotment mo</w:t>
      </w:r>
      <w:r w:rsidRPr="00255D14">
        <w:rPr>
          <w:rFonts w:cs="ArialNarrow"/>
        </w:rPr>
        <w:t xml:space="preserve">ney, the IDBI cancelled the </w:t>
      </w:r>
      <w:r w:rsidR="00282248" w:rsidRPr="00255D14">
        <w:rPr>
          <w:rFonts w:cs="ArialNarrow"/>
        </w:rPr>
        <w:t>allotment and forfeited the share application money. The ass</w:t>
      </w:r>
      <w:r w:rsidRPr="00255D14">
        <w:rPr>
          <w:rFonts w:cs="ArialNarrow"/>
        </w:rPr>
        <w:t xml:space="preserve">essee claimed it as a short term </w:t>
      </w:r>
      <w:r w:rsidR="00282248" w:rsidRPr="00255D14">
        <w:rPr>
          <w:rFonts w:cs="ArialNarrow"/>
        </w:rPr>
        <w:t>capital loss in its return of income. The Assessing Officer disallowed the claim. The</w:t>
      </w:r>
      <w:r>
        <w:rPr>
          <w:rFonts w:cs="ArialNarrow"/>
        </w:rPr>
        <w:t xml:space="preserve"> </w:t>
      </w:r>
      <w:r w:rsidR="00282248" w:rsidRPr="00255D14">
        <w:rPr>
          <w:rFonts w:cs="ArialNarrow"/>
        </w:rPr>
        <w:t>Commissioner(Appeals) confirmed the order passed b</w:t>
      </w:r>
      <w:r w:rsidRPr="00255D14">
        <w:rPr>
          <w:rFonts w:cs="ArialNarrow"/>
        </w:rPr>
        <w:t xml:space="preserve">y the Assessing Officer. The </w:t>
      </w:r>
      <w:r w:rsidR="00282248" w:rsidRPr="00255D14">
        <w:rPr>
          <w:rFonts w:cs="ArialNarrow"/>
        </w:rPr>
        <w:t>Tribunal allowed the appeal filed by the assessee.</w:t>
      </w:r>
    </w:p>
    <w:p w:rsidR="00255D14" w:rsidRDefault="00255D14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255D14" w:rsidRDefault="00282248" w:rsidP="00255D1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255D14">
        <w:rPr>
          <w:rFonts w:cs="ArialNarrow"/>
        </w:rPr>
        <w:t>The High Court held that consequent to the assessee's default in not paying the balance</w:t>
      </w:r>
    </w:p>
    <w:p w:rsidR="00282248" w:rsidRPr="00282248" w:rsidRDefault="00282248" w:rsidP="00255D1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of money on allotment, its right in the shares stood extinguished on forfeiture by the IDBI.</w:t>
      </w:r>
    </w:p>
    <w:p w:rsidR="00282248" w:rsidRPr="00282248" w:rsidRDefault="00282248" w:rsidP="00255D1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The loss suffered by the assessee, i.e., the non-recovery of share application money was</w:t>
      </w:r>
    </w:p>
    <w:p w:rsidR="00282248" w:rsidRPr="00282248" w:rsidRDefault="00282248" w:rsidP="00255D1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consequent to the forfeiture of its right in the shares and was to be understood to be</w:t>
      </w:r>
    </w:p>
    <w:p w:rsidR="00282248" w:rsidRPr="00282248" w:rsidRDefault="00282248" w:rsidP="00255D1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within the scope and ambit of transfer. It would amount to short-term capital loss to the</w:t>
      </w:r>
    </w:p>
    <w:p w:rsidR="00282248" w:rsidRPr="00282248" w:rsidRDefault="00282248" w:rsidP="00255D1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assessee.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282248">
        <w:rPr>
          <w:rFonts w:cs="ArialNarrow-Bold"/>
          <w:b/>
          <w:bCs/>
        </w:rPr>
        <w:t>2. Can the transfer of capital asset by a company to its wholly owned subsidiary</w:t>
      </w: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282248">
        <w:rPr>
          <w:rFonts w:cs="ArialNarrow-Bold"/>
          <w:b/>
          <w:bCs/>
        </w:rPr>
        <w:t>company be regarded as transfer and, therefore, attract levy of capital gains tax?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  <w:r>
        <w:rPr>
          <w:rFonts w:cs="ArialNarrow-BoldItalic"/>
          <w:b/>
          <w:bCs/>
          <w:i/>
          <w:iCs/>
        </w:rPr>
        <w:t>Relevant Case Law</w:t>
      </w:r>
      <w:r w:rsidRPr="00282248">
        <w:rPr>
          <w:rFonts w:cs="ArialNarrow-BoldItalic"/>
          <w:b/>
          <w:bCs/>
          <w:i/>
          <w:iCs/>
        </w:rPr>
        <w:t xml:space="preserve"> </w:t>
      </w:r>
      <w:r>
        <w:rPr>
          <w:rFonts w:cs="ArialNarrow-BoldItalic"/>
          <w:b/>
          <w:bCs/>
          <w:i/>
          <w:iCs/>
        </w:rPr>
        <w:t xml:space="preserve">- </w:t>
      </w:r>
      <w:r w:rsidRPr="00282248">
        <w:rPr>
          <w:rFonts w:cs="ArialNarrow-BoldItalic"/>
          <w:b/>
          <w:bCs/>
          <w:i/>
          <w:iCs/>
        </w:rPr>
        <w:t>CIT v. Coats of India Ltd. (2009) 315 ITR 215 (Cal.)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282248">
        <w:rPr>
          <w:rFonts w:cs="ArialNarrow-Bold"/>
          <w:b/>
          <w:bCs/>
        </w:rPr>
        <w:t>Relevant Section: 47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255D14" w:rsidRDefault="00282248" w:rsidP="00255D1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255D14">
        <w:rPr>
          <w:rFonts w:cs="ArialNarrow"/>
        </w:rPr>
        <w:t>The entire packaging coating units of the assessee was transferred to CCIPL for a sum of Rs.</w:t>
      </w:r>
    </w:p>
    <w:p w:rsidR="00282248" w:rsidRPr="00282248" w:rsidRDefault="00282248" w:rsidP="00255D1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29,89,87,000 by way of adjustment and issue of equity shares of Rs.10 each in CCIPL</w:t>
      </w:r>
    </w:p>
    <w:p w:rsidR="00282248" w:rsidRPr="00282248" w:rsidRDefault="00282248" w:rsidP="00255D1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credited as fully paid-up share capital. In the process of such transfer a surplus amount of Rs.</w:t>
      </w:r>
    </w:p>
    <w:p w:rsidR="00282248" w:rsidRPr="00282248" w:rsidRDefault="00282248" w:rsidP="00255D1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19,14,55,804 was credited to the accounts of the assessee over and above the book value of</w:t>
      </w:r>
    </w:p>
    <w:p w:rsidR="00255D14" w:rsidRDefault="00282248" w:rsidP="00255D1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 xml:space="preserve">the assets actually transferred to CCIPL. </w:t>
      </w:r>
    </w:p>
    <w:p w:rsidR="00255D14" w:rsidRDefault="00255D14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55D14" w:rsidRPr="00255D14" w:rsidRDefault="00282248" w:rsidP="00255D1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255D14">
        <w:rPr>
          <w:rFonts w:cs="ArialNarrow"/>
        </w:rPr>
        <w:t>The assessee claimed th</w:t>
      </w:r>
      <w:r w:rsidR="00255D14" w:rsidRPr="00255D14">
        <w:rPr>
          <w:rFonts w:cs="ArialNarrow"/>
        </w:rPr>
        <w:t xml:space="preserve">at this excess amount was </w:t>
      </w:r>
      <w:r w:rsidRPr="00255D14">
        <w:rPr>
          <w:rFonts w:cs="ArialNarrow"/>
        </w:rPr>
        <w:t>not taxable on the ground that the assessee transferred t</w:t>
      </w:r>
      <w:r w:rsidR="00255D14" w:rsidRPr="00255D14">
        <w:rPr>
          <w:rFonts w:cs="ArialNarrow"/>
        </w:rPr>
        <w:t xml:space="preserve">he assets of the company to its </w:t>
      </w:r>
      <w:r w:rsidRPr="00255D14">
        <w:rPr>
          <w:rFonts w:cs="ArialNarrow"/>
        </w:rPr>
        <w:t>wholly owned subsidiary company. It was further stated that th</w:t>
      </w:r>
      <w:r w:rsidR="00255D14" w:rsidRPr="00255D14">
        <w:rPr>
          <w:rFonts w:cs="ArialNarrow"/>
        </w:rPr>
        <w:t xml:space="preserve">e unit was transferred with all </w:t>
      </w:r>
      <w:r w:rsidRPr="00255D14">
        <w:rPr>
          <w:rFonts w:cs="ArialNarrow"/>
        </w:rPr>
        <w:t>its assets and, therefore, the value of each of the items cou</w:t>
      </w:r>
      <w:r w:rsidR="00255D14" w:rsidRPr="00255D14">
        <w:rPr>
          <w:rFonts w:cs="ArialNarrow"/>
        </w:rPr>
        <w:t xml:space="preserve">ld not be determined separately </w:t>
      </w:r>
      <w:r w:rsidRPr="00255D14">
        <w:rPr>
          <w:rFonts w:cs="ArialNarrow"/>
        </w:rPr>
        <w:t>as the sale was made on slump basis and, accordingly, th</w:t>
      </w:r>
      <w:r w:rsidR="00255D14" w:rsidRPr="00255D14">
        <w:rPr>
          <w:rFonts w:cs="ArialNarrow"/>
        </w:rPr>
        <w:t xml:space="preserve">e actual profit from each asset </w:t>
      </w:r>
      <w:r w:rsidRPr="00255D14">
        <w:rPr>
          <w:rFonts w:cs="ArialNarrow"/>
        </w:rPr>
        <w:t xml:space="preserve">could not be determined. </w:t>
      </w:r>
    </w:p>
    <w:p w:rsidR="00255D14" w:rsidRDefault="00255D14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255D14" w:rsidRDefault="00282248" w:rsidP="00255D1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255D14">
        <w:rPr>
          <w:rFonts w:cs="ArialNarrow"/>
        </w:rPr>
        <w:t>The Tribunal held that the en</w:t>
      </w:r>
      <w:r w:rsidR="00255D14" w:rsidRPr="00255D14">
        <w:rPr>
          <w:rFonts w:cs="ArialNarrow"/>
        </w:rPr>
        <w:t xml:space="preserve">tire packaging coating business </w:t>
      </w:r>
      <w:r w:rsidRPr="00255D14">
        <w:rPr>
          <w:rFonts w:cs="ArialNarrow"/>
        </w:rPr>
        <w:t xml:space="preserve">undertaking itself constituted a distinct "capital asset" under </w:t>
      </w:r>
      <w:r w:rsidR="00255D14" w:rsidRPr="00255D14">
        <w:rPr>
          <w:rFonts w:cs="ArialNarrow"/>
        </w:rPr>
        <w:t xml:space="preserve">section 2(14) of the Income-tax </w:t>
      </w:r>
      <w:r w:rsidRPr="00255D14">
        <w:rPr>
          <w:rFonts w:cs="ArialNarrow"/>
        </w:rPr>
        <w:t>Act, 1961, for which consideration was not determined with ref</w:t>
      </w:r>
      <w:r w:rsidR="00255D14" w:rsidRPr="00255D14">
        <w:rPr>
          <w:rFonts w:cs="ArialNarrow"/>
        </w:rPr>
        <w:t xml:space="preserve">erence to individual assets but </w:t>
      </w:r>
      <w:r w:rsidRPr="00255D14">
        <w:rPr>
          <w:rFonts w:cs="ArialNarrow"/>
        </w:rPr>
        <w:t>with reference to the capitalised value of the said business, that the proviso to section 47(v)</w:t>
      </w:r>
      <w:r w:rsidR="00255D14" w:rsidRPr="00255D14">
        <w:rPr>
          <w:rFonts w:cs="ArialNarrow"/>
        </w:rPr>
        <w:t xml:space="preserve"> </w:t>
      </w:r>
      <w:r w:rsidRPr="00255D14">
        <w:rPr>
          <w:rFonts w:cs="ArialNarrow"/>
        </w:rPr>
        <w:t>and (iv) was applicable only if, in the hands of the transferee th</w:t>
      </w:r>
      <w:r w:rsidR="00255D14" w:rsidRPr="00255D14">
        <w:rPr>
          <w:rFonts w:cs="ArialNarrow"/>
        </w:rPr>
        <w:t xml:space="preserve">e capital asset on its transfer </w:t>
      </w:r>
      <w:r w:rsidRPr="00255D14">
        <w:rPr>
          <w:rFonts w:cs="ArialNarrow"/>
        </w:rPr>
        <w:t>constituted stock-in-trade, that such packaging coating b</w:t>
      </w:r>
      <w:r w:rsidR="00255D14" w:rsidRPr="00255D14">
        <w:rPr>
          <w:rFonts w:cs="ArialNarrow"/>
        </w:rPr>
        <w:t xml:space="preserve">usiness on its transfer was not </w:t>
      </w:r>
      <w:r w:rsidRPr="00255D14">
        <w:rPr>
          <w:rFonts w:cs="ArialNarrow"/>
        </w:rPr>
        <w:t>accounted for in the books of CCIPL as stock-in-trade and that, therefor</w:t>
      </w:r>
      <w:r w:rsidR="00255D14" w:rsidRPr="00255D14">
        <w:rPr>
          <w:rFonts w:cs="ArialNarrow"/>
        </w:rPr>
        <w:t xml:space="preserve">e, since the entire </w:t>
      </w:r>
      <w:r w:rsidRPr="00255D14">
        <w:rPr>
          <w:rFonts w:cs="ArialNarrow"/>
        </w:rPr>
        <w:t xml:space="preserve">paid-up capital of CCIPL as on December 31, 1997, was held </w:t>
      </w:r>
      <w:r w:rsidR="00255D14" w:rsidRPr="00255D14">
        <w:rPr>
          <w:rFonts w:cs="ArialNarrow"/>
        </w:rPr>
        <w:t xml:space="preserve">by the assessee the transfer of </w:t>
      </w:r>
      <w:r w:rsidRPr="00255D14">
        <w:rPr>
          <w:rFonts w:cs="ArialNarrow"/>
        </w:rPr>
        <w:t>the undertaking was covered by the provisions of section 4</w:t>
      </w:r>
      <w:r w:rsidR="00255D14" w:rsidRPr="00255D14">
        <w:rPr>
          <w:rFonts w:cs="ArialNarrow"/>
        </w:rPr>
        <w:t xml:space="preserve">7(iv) and, therefore, no income </w:t>
      </w:r>
      <w:r w:rsidRPr="00255D14">
        <w:rPr>
          <w:rFonts w:cs="ArialNarrow"/>
        </w:rPr>
        <w:t>under the head "Capital gains" was assessable in the as</w:t>
      </w:r>
      <w:r w:rsidR="00255D14" w:rsidRPr="00255D14">
        <w:rPr>
          <w:rFonts w:cs="ArialNarrow"/>
        </w:rPr>
        <w:t xml:space="preserve">sessment year 1998-99 </w:t>
      </w:r>
    </w:p>
    <w:p w:rsidR="00255D14" w:rsidRDefault="00255D14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255D14" w:rsidRDefault="00282248" w:rsidP="00255D1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255D14">
        <w:rPr>
          <w:rFonts w:cs="ArialNarrow"/>
        </w:rPr>
        <w:t>The High Court held that the Tribunal was right and no capital gains arose.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282248">
        <w:rPr>
          <w:rFonts w:cs="ArialNarrow-Bold"/>
          <w:b/>
          <w:bCs/>
        </w:rPr>
        <w:t>3. Can the actual sale consideration recorded in the agreement to sell of the asset and</w:t>
      </w: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282248">
        <w:rPr>
          <w:rFonts w:cs="ArialNarrow-Bold"/>
          <w:b/>
          <w:bCs/>
        </w:rPr>
        <w:t>received by the assessee be substituted by the value as adopted by the District</w:t>
      </w: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282248">
        <w:rPr>
          <w:rFonts w:cs="ArialNarrow-Bold"/>
          <w:b/>
          <w:bCs/>
        </w:rPr>
        <w:t>Valuation Officer under section 55A of the Act for the purpose of computing the capital</w:t>
      </w: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282248">
        <w:rPr>
          <w:rFonts w:cs="ArialNarrow-Bold"/>
          <w:b/>
          <w:bCs/>
        </w:rPr>
        <w:t>gains chargeable to tax ?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  <w:r>
        <w:rPr>
          <w:rFonts w:cs="ArialNarrow-BoldItalic"/>
          <w:b/>
          <w:bCs/>
          <w:i/>
          <w:iCs/>
        </w:rPr>
        <w:t>Relevant Case Law</w:t>
      </w:r>
      <w:r w:rsidRPr="00282248">
        <w:rPr>
          <w:rFonts w:cs="ArialNarrow-BoldItalic"/>
          <w:b/>
          <w:bCs/>
          <w:i/>
          <w:iCs/>
        </w:rPr>
        <w:t xml:space="preserve"> </w:t>
      </w:r>
      <w:r>
        <w:rPr>
          <w:rFonts w:cs="ArialNarrow-BoldItalic"/>
          <w:b/>
          <w:bCs/>
          <w:i/>
          <w:iCs/>
        </w:rPr>
        <w:t xml:space="preserve">- </w:t>
      </w:r>
      <w:r w:rsidRPr="00282248">
        <w:rPr>
          <w:rFonts w:cs="ArialNarrow-BoldItalic"/>
          <w:b/>
          <w:bCs/>
          <w:i/>
          <w:iCs/>
        </w:rPr>
        <w:t>Dev Kumar Jain v. Income-tax Officer (2009) 309 ITR 240 (Del.)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>
        <w:rPr>
          <w:rFonts w:cs="ArialNarrow-Bold"/>
          <w:b/>
          <w:bCs/>
        </w:rPr>
        <w:t>Relevant Section -</w:t>
      </w:r>
      <w:r w:rsidRPr="00282248">
        <w:rPr>
          <w:rFonts w:cs="ArialNarrow-Bold"/>
          <w:b/>
          <w:bCs/>
        </w:rPr>
        <w:t xml:space="preserve"> 55A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177CEF" w:rsidRDefault="00282248" w:rsidP="00177CE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177CEF">
        <w:rPr>
          <w:rFonts w:cs="ArialNarrow"/>
        </w:rPr>
        <w:t>The assessee declared income by way of capital gains arising from the sale of property. The</w:t>
      </w:r>
    </w:p>
    <w:p w:rsidR="00282248" w:rsidRPr="00282248" w:rsidRDefault="00282248" w:rsidP="00177CE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Assessing Officer was of the view that the sale price disclosed in the agreement to sell was</w:t>
      </w:r>
    </w:p>
    <w:p w:rsidR="00255D14" w:rsidRDefault="00177CEF" w:rsidP="00177CEF">
      <w:pPr>
        <w:autoSpaceDE w:val="0"/>
        <w:autoSpaceDN w:val="0"/>
        <w:adjustRightInd w:val="0"/>
        <w:spacing w:after="0" w:line="240" w:lineRule="auto"/>
        <w:ind w:left="720"/>
        <w:rPr>
          <w:rFonts w:cs="ArialNarrow"/>
        </w:rPr>
      </w:pPr>
      <w:r w:rsidRPr="00282248">
        <w:rPr>
          <w:rFonts w:cs="ArialNarrow"/>
        </w:rPr>
        <w:t>L</w:t>
      </w:r>
      <w:r w:rsidR="00282248" w:rsidRPr="00282248">
        <w:rPr>
          <w:rFonts w:cs="ArialNarrow"/>
        </w:rPr>
        <w:t>ow and made a reference to the District Valuation Officer under section 55A for determining</w:t>
      </w:r>
      <w:r>
        <w:rPr>
          <w:rFonts w:cs="ArialNarrow"/>
        </w:rPr>
        <w:t xml:space="preserve"> </w:t>
      </w:r>
      <w:r w:rsidR="00282248" w:rsidRPr="00282248">
        <w:rPr>
          <w:rFonts w:cs="ArialNarrow"/>
        </w:rPr>
        <w:t xml:space="preserve">the fair market value of the property on the date of sale. </w:t>
      </w:r>
    </w:p>
    <w:p w:rsidR="00177CEF" w:rsidRDefault="00177CEF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177CEF" w:rsidRDefault="00177CEF" w:rsidP="00177CE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177CEF">
        <w:rPr>
          <w:rFonts w:cs="ArialNarrow"/>
        </w:rPr>
        <w:t>The District Valuation Officer d</w:t>
      </w:r>
      <w:r w:rsidR="00282248" w:rsidRPr="00177CEF">
        <w:rPr>
          <w:rFonts w:cs="ArialNarrow"/>
        </w:rPr>
        <w:t>etermined the value of the plot on the date of the sale a</w:t>
      </w:r>
      <w:r w:rsidRPr="00177CEF">
        <w:rPr>
          <w:rFonts w:cs="ArialNarrow"/>
        </w:rPr>
        <w:t xml:space="preserve">nd this was communicated to the </w:t>
      </w:r>
      <w:r w:rsidR="00282248" w:rsidRPr="00177CEF">
        <w:rPr>
          <w:rFonts w:cs="ArialNarrow"/>
        </w:rPr>
        <w:t>assessee. The Tribunal accepted the stand of the Revenue tha</w:t>
      </w:r>
      <w:r w:rsidRPr="00177CEF">
        <w:rPr>
          <w:rFonts w:cs="ArialNarrow"/>
        </w:rPr>
        <w:t xml:space="preserve">t the actual sale consideration </w:t>
      </w:r>
      <w:r w:rsidR="00282248" w:rsidRPr="00177CEF">
        <w:rPr>
          <w:rFonts w:cs="ArialNarrow"/>
        </w:rPr>
        <w:t>recorded in the agreement to sell should be substituted by the v</w:t>
      </w:r>
      <w:r w:rsidRPr="00177CEF">
        <w:rPr>
          <w:rFonts w:cs="ArialNarrow"/>
        </w:rPr>
        <w:t xml:space="preserve">alue arrived at by the District </w:t>
      </w:r>
      <w:r w:rsidR="00282248" w:rsidRPr="00177CEF">
        <w:rPr>
          <w:rFonts w:cs="ArialNarrow"/>
        </w:rPr>
        <w:t>Valuation Officer under section 55A.</w:t>
      </w:r>
    </w:p>
    <w:p w:rsidR="00255D14" w:rsidRDefault="00255D14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177CEF" w:rsidRDefault="00282248" w:rsidP="00177CE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177CEF">
        <w:rPr>
          <w:rFonts w:cs="ArialNarrow"/>
        </w:rPr>
        <w:t>The High Court held that section 55A of the Income-tax Act, 1961, applies only where the</w:t>
      </w:r>
    </w:p>
    <w:p w:rsidR="00282248" w:rsidRPr="00282248" w:rsidRDefault="00282248" w:rsidP="00177CE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Assessing Officer is required to ascertain the fair market value of a capital asset. Section</w:t>
      </w:r>
    </w:p>
    <w:p w:rsidR="00282248" w:rsidRPr="00282248" w:rsidRDefault="00282248" w:rsidP="00177CE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45(1A) stipulates that capital gains shall be computed by deducting from the full value of</w:t>
      </w:r>
    </w:p>
    <w:p w:rsidR="00282248" w:rsidRPr="00282248" w:rsidRDefault="00282248" w:rsidP="00177CE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consideration received or accruing as a result of the transfer of the capital asset, the amount</w:t>
      </w:r>
    </w:p>
    <w:p w:rsidR="00282248" w:rsidRPr="00282248" w:rsidRDefault="00282248" w:rsidP="00177CE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of expenditure incurred wholly and exclusively in connection with such transfer as also the</w:t>
      </w:r>
    </w:p>
    <w:p w:rsidR="00177CEF" w:rsidRDefault="00282248" w:rsidP="00177CE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 xml:space="preserve">cost of acquisition of the asset and the cost of any improvement thereto. </w:t>
      </w:r>
    </w:p>
    <w:p w:rsidR="00177CEF" w:rsidRDefault="00177CEF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177CEF" w:rsidRDefault="00177CEF" w:rsidP="00177CE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177CEF">
        <w:rPr>
          <w:rFonts w:cs="ArialNarrow"/>
        </w:rPr>
        <w:t xml:space="preserve">A combined reading </w:t>
      </w:r>
      <w:r w:rsidR="00282248" w:rsidRPr="00177CEF">
        <w:rPr>
          <w:rFonts w:cs="ArialNarrow"/>
        </w:rPr>
        <w:t>of section 45(1A) and section 48 shows that when a sale of pr</w:t>
      </w:r>
      <w:r w:rsidRPr="00177CEF">
        <w:rPr>
          <w:rFonts w:cs="ArialNarrow"/>
        </w:rPr>
        <w:t xml:space="preserve">operty takes place, the capital </w:t>
      </w:r>
      <w:r w:rsidR="00282248" w:rsidRPr="00177CEF">
        <w:rPr>
          <w:rFonts w:cs="ArialNarrow"/>
        </w:rPr>
        <w:t>gains arising out of such a transfer has to be computed by looking at the full value of the</w:t>
      </w:r>
    </w:p>
    <w:p w:rsidR="00177CEF" w:rsidRDefault="00282248" w:rsidP="00177CE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 xml:space="preserve">consideration received or accruing as a result of such transfer. </w:t>
      </w:r>
    </w:p>
    <w:p w:rsidR="00177CEF" w:rsidRDefault="00177CEF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177CEF" w:rsidRPr="00177CEF" w:rsidRDefault="00282248" w:rsidP="00177CE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177CEF">
        <w:rPr>
          <w:rFonts w:cs="ArialNarrow"/>
        </w:rPr>
        <w:t>The expression “full value</w:t>
      </w:r>
      <w:r w:rsidR="00177CEF" w:rsidRPr="00177CEF">
        <w:rPr>
          <w:rFonts w:cs="ArialNarrow"/>
        </w:rPr>
        <w:t xml:space="preserve"> of </w:t>
      </w:r>
      <w:r w:rsidRPr="00177CEF">
        <w:rPr>
          <w:rFonts w:cs="ArialNarrow"/>
        </w:rPr>
        <w:t xml:space="preserve">sale consideration” is not the same as “fair market value” as </w:t>
      </w:r>
      <w:r w:rsidR="00177CEF" w:rsidRPr="00177CEF">
        <w:rPr>
          <w:rFonts w:cs="ArialNarrow"/>
        </w:rPr>
        <w:t xml:space="preserve">appearing in section 55A. Thus, </w:t>
      </w:r>
      <w:r w:rsidRPr="00177CEF">
        <w:rPr>
          <w:rFonts w:cs="ArialNarrow"/>
        </w:rPr>
        <w:t>for the purpose of computing capital gains there is no necessit</w:t>
      </w:r>
      <w:r w:rsidR="00177CEF" w:rsidRPr="00177CEF">
        <w:rPr>
          <w:rFonts w:cs="ArialNarrow"/>
        </w:rPr>
        <w:t xml:space="preserve">y for computing the fair market </w:t>
      </w:r>
      <w:r w:rsidRPr="00177CEF">
        <w:rPr>
          <w:rFonts w:cs="ArialNarrow"/>
        </w:rPr>
        <w:t>value. Further, there was nothing on record to show that the as</w:t>
      </w:r>
      <w:r w:rsidR="00177CEF" w:rsidRPr="00177CEF">
        <w:rPr>
          <w:rFonts w:cs="ArialNarrow"/>
        </w:rPr>
        <w:t xml:space="preserve">sessee received consideration </w:t>
      </w:r>
      <w:r w:rsidRPr="00177CEF">
        <w:rPr>
          <w:rFonts w:cs="ArialNarrow"/>
        </w:rPr>
        <w:t xml:space="preserve">for the sale of the property in excess of that which was shown </w:t>
      </w:r>
      <w:r w:rsidR="00177CEF" w:rsidRPr="00177CEF">
        <w:rPr>
          <w:rFonts w:cs="ArialNarrow"/>
        </w:rPr>
        <w:t xml:space="preserve">in the agreement to sell. </w:t>
      </w:r>
    </w:p>
    <w:p w:rsidR="00177CEF" w:rsidRDefault="00177CEF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177CEF" w:rsidRDefault="00177CEF" w:rsidP="00177CE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177CEF">
        <w:rPr>
          <w:rFonts w:cs="ArialNarrow"/>
        </w:rPr>
        <w:lastRenderedPageBreak/>
        <w:t xml:space="preserve">Thus, </w:t>
      </w:r>
      <w:r w:rsidR="00282248" w:rsidRPr="00177CEF">
        <w:rPr>
          <w:rFonts w:cs="ArialNarrow"/>
        </w:rPr>
        <w:t>the actual sale consideration recorded in the agreement to se</w:t>
      </w:r>
      <w:r w:rsidRPr="00177CEF">
        <w:rPr>
          <w:rFonts w:cs="ArialNarrow"/>
        </w:rPr>
        <w:t xml:space="preserve">ll and received by the assessee </w:t>
      </w:r>
      <w:r w:rsidR="00282248" w:rsidRPr="00177CEF">
        <w:rPr>
          <w:rFonts w:cs="ArialNarrow"/>
        </w:rPr>
        <w:t>could not be substituted by the value as adopted by the District Valuation Officer under</w:t>
      </w:r>
    </w:p>
    <w:p w:rsidR="00282248" w:rsidRPr="00282248" w:rsidRDefault="00282248" w:rsidP="00177CE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section 55A for the purpose of computing the capital gains chargeable to tax.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282248">
        <w:rPr>
          <w:rFonts w:cs="ArialNarrow-Bold"/>
          <w:b/>
          <w:bCs/>
        </w:rPr>
        <w:t>4. Can exemption under section 54(1) be claimed for the purchase of more than one</w:t>
      </w: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282248">
        <w:rPr>
          <w:rFonts w:cs="ArialNarrow-Bold"/>
          <w:b/>
          <w:bCs/>
        </w:rPr>
        <w:t>residential premises?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  <w:r>
        <w:rPr>
          <w:rFonts w:cs="ArialNarrow-BoldItalic"/>
          <w:b/>
          <w:bCs/>
          <w:i/>
          <w:iCs/>
        </w:rPr>
        <w:t>Relevant Case Law</w:t>
      </w:r>
      <w:r w:rsidRPr="00282248">
        <w:rPr>
          <w:rFonts w:cs="ArialNarrow-BoldItalic"/>
          <w:b/>
          <w:bCs/>
          <w:i/>
          <w:iCs/>
        </w:rPr>
        <w:t xml:space="preserve"> </w:t>
      </w:r>
      <w:r>
        <w:rPr>
          <w:rFonts w:cs="ArialNarrow-BoldItalic"/>
          <w:b/>
          <w:bCs/>
          <w:i/>
          <w:iCs/>
        </w:rPr>
        <w:t xml:space="preserve">- </w:t>
      </w:r>
      <w:r w:rsidRPr="00282248">
        <w:rPr>
          <w:rFonts w:cs="ArialNarrow-BoldItalic"/>
          <w:b/>
          <w:bCs/>
          <w:i/>
          <w:iCs/>
        </w:rPr>
        <w:t>CIT v. D. Ananda Basappa (2009) 309 ITR 329 (Kar.)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>
        <w:rPr>
          <w:rFonts w:cs="ArialNarrow-Bold"/>
          <w:b/>
          <w:bCs/>
        </w:rPr>
        <w:t>Relevant Section -</w:t>
      </w:r>
      <w:r w:rsidRPr="00282248">
        <w:rPr>
          <w:rFonts w:cs="ArialNarrow-Bold"/>
          <w:b/>
          <w:bCs/>
        </w:rPr>
        <w:t xml:space="preserve"> 54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177CEF" w:rsidRDefault="00282248" w:rsidP="00177CE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177CEF">
        <w:rPr>
          <w:rFonts w:cs="ArialNarrow"/>
        </w:rPr>
        <w:t>The assessee a Hindu undivided family sold a residential house. The assessee purchased</w:t>
      </w:r>
    </w:p>
    <w:p w:rsidR="00282248" w:rsidRPr="00282248" w:rsidRDefault="00282248" w:rsidP="00177CEF">
      <w:pPr>
        <w:autoSpaceDE w:val="0"/>
        <w:autoSpaceDN w:val="0"/>
        <w:adjustRightInd w:val="0"/>
        <w:spacing w:after="0" w:line="240" w:lineRule="auto"/>
        <w:ind w:left="720"/>
        <w:rPr>
          <w:rFonts w:cs="ArialNarrow"/>
        </w:rPr>
      </w:pPr>
      <w:r w:rsidRPr="00282248">
        <w:rPr>
          <w:rFonts w:cs="ArialNarrow"/>
        </w:rPr>
        <w:t>two residential flats adjacent to each other from taking two separate registered sale deeds in</w:t>
      </w:r>
      <w:r w:rsidR="00177CEF">
        <w:rPr>
          <w:rFonts w:cs="ArialNarrow"/>
        </w:rPr>
        <w:t xml:space="preserve"> </w:t>
      </w:r>
      <w:r w:rsidRPr="00282248">
        <w:rPr>
          <w:rFonts w:cs="ArialNarrow"/>
        </w:rPr>
        <w:t>respect of the two flats situate side by side purchased on the same day. The vendor had</w:t>
      </w:r>
    </w:p>
    <w:p w:rsidR="00177CEF" w:rsidRDefault="00282248" w:rsidP="00177CEF">
      <w:pPr>
        <w:autoSpaceDE w:val="0"/>
        <w:autoSpaceDN w:val="0"/>
        <w:adjustRightInd w:val="0"/>
        <w:spacing w:after="0" w:line="240" w:lineRule="auto"/>
        <w:ind w:left="720"/>
        <w:rPr>
          <w:rFonts w:cs="ArialNarrow"/>
        </w:rPr>
      </w:pPr>
      <w:r w:rsidRPr="00282248">
        <w:rPr>
          <w:rFonts w:cs="ArialNarrow"/>
        </w:rPr>
        <w:t xml:space="preserve">certified that it had effected necessary modifications to the two </w:t>
      </w:r>
      <w:r w:rsidR="00177CEF">
        <w:rPr>
          <w:rFonts w:cs="ArialNarrow"/>
        </w:rPr>
        <w:t xml:space="preserve">flats to make it one residential </w:t>
      </w:r>
      <w:r w:rsidRPr="00282248">
        <w:rPr>
          <w:rFonts w:cs="ArialNarrow"/>
        </w:rPr>
        <w:t xml:space="preserve">apartment. </w:t>
      </w:r>
    </w:p>
    <w:p w:rsidR="00177CEF" w:rsidRDefault="00177CEF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177CEF" w:rsidRDefault="00282248" w:rsidP="00177CE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177CEF">
        <w:rPr>
          <w:rFonts w:cs="ArialNarrow"/>
        </w:rPr>
        <w:t>The assessee sought exemption under section 54. The assessing authority gave</w:t>
      </w:r>
    </w:p>
    <w:p w:rsidR="00282248" w:rsidRPr="00282248" w:rsidRDefault="00282248" w:rsidP="00177CE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exemption for capital gains to the extent of purchase of one residential flat. It was found by</w:t>
      </w:r>
    </w:p>
    <w:p w:rsidR="00177CEF" w:rsidRDefault="00282248" w:rsidP="00177CE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 xml:space="preserve">the Inspector that the residential flats were in the occupation of two different tenants. </w:t>
      </w:r>
    </w:p>
    <w:p w:rsidR="00177CEF" w:rsidRDefault="00177CEF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177CEF" w:rsidRDefault="00177CEF" w:rsidP="00177CE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177CEF">
        <w:rPr>
          <w:rFonts w:cs="ArialNarrow"/>
        </w:rPr>
        <w:t xml:space="preserve">The </w:t>
      </w:r>
      <w:r w:rsidR="00282248" w:rsidRPr="00177CEF">
        <w:rPr>
          <w:rFonts w:cs="ArialNarrow"/>
        </w:rPr>
        <w:t>Assessing Officer held that section 54(1) of the Act does not permit exemption for the</w:t>
      </w:r>
    </w:p>
    <w:p w:rsidR="00282248" w:rsidRPr="00282248" w:rsidRDefault="00282248" w:rsidP="00177CE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purchasers for more than one residential premises. The Commissioner (Appeals) confirmed</w:t>
      </w:r>
    </w:p>
    <w:p w:rsidR="00282248" w:rsidRPr="00282248" w:rsidRDefault="00282248" w:rsidP="00177CE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the order of the assessing authority. The Tribunal set aside the order of the Commissioner</w:t>
      </w:r>
    </w:p>
    <w:p w:rsidR="00282248" w:rsidRPr="00282248" w:rsidRDefault="00282248" w:rsidP="00177CE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(Appeals) and held that the flats purchased by the assessee had to be treated as one single</w:t>
      </w:r>
    </w:p>
    <w:p w:rsidR="00282248" w:rsidRPr="00282248" w:rsidRDefault="00282248" w:rsidP="00177CE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residential unit and that the assessee was entitled to full exemption.</w:t>
      </w:r>
    </w:p>
    <w:p w:rsidR="00177CEF" w:rsidRDefault="00177CEF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177CEF" w:rsidRDefault="00282248" w:rsidP="00177CE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177CEF">
        <w:rPr>
          <w:rFonts w:cs="ArialNarrow"/>
        </w:rPr>
        <w:t>The High Court held that it was shown by the assessee that the apartments were situated</w:t>
      </w:r>
    </w:p>
    <w:p w:rsidR="00177CEF" w:rsidRDefault="00282248" w:rsidP="00177CEF">
      <w:pPr>
        <w:autoSpaceDE w:val="0"/>
        <w:autoSpaceDN w:val="0"/>
        <w:adjustRightInd w:val="0"/>
        <w:spacing w:after="0" w:line="240" w:lineRule="auto"/>
        <w:ind w:left="720"/>
        <w:rPr>
          <w:rFonts w:cs="ArialNarrow"/>
        </w:rPr>
      </w:pPr>
      <w:r w:rsidRPr="00282248">
        <w:rPr>
          <w:rFonts w:cs="ArialNarrow"/>
        </w:rPr>
        <w:t>side by side. The builder had also stated that he had effected modification of the flats to make</w:t>
      </w:r>
      <w:r w:rsidR="00177CEF">
        <w:rPr>
          <w:rFonts w:cs="ArialNarrow"/>
        </w:rPr>
        <w:t xml:space="preserve"> </w:t>
      </w:r>
      <w:r w:rsidRPr="00282248">
        <w:rPr>
          <w:rFonts w:cs="ArialNarrow"/>
        </w:rPr>
        <w:t>them one unit by opening the door in between the two apartments. The fact that at the time</w:t>
      </w:r>
      <w:r w:rsidR="00177CEF">
        <w:rPr>
          <w:rFonts w:cs="ArialNarrow"/>
        </w:rPr>
        <w:t xml:space="preserve"> </w:t>
      </w:r>
      <w:r w:rsidRPr="00282248">
        <w:rPr>
          <w:rFonts w:cs="ArialNarrow"/>
        </w:rPr>
        <w:t>when the Inspector inspected the premises, the flats were oc</w:t>
      </w:r>
      <w:r w:rsidR="00177CEF">
        <w:rPr>
          <w:rFonts w:cs="ArialNarrow"/>
        </w:rPr>
        <w:t xml:space="preserve">cupied by two different tenants </w:t>
      </w:r>
      <w:r w:rsidRPr="00282248">
        <w:rPr>
          <w:rFonts w:cs="ArialNarrow"/>
        </w:rPr>
        <w:t xml:space="preserve">was not a ground to hold that the apartment was not one residential unit. </w:t>
      </w:r>
    </w:p>
    <w:p w:rsidR="00177CEF" w:rsidRDefault="00177CEF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177CEF" w:rsidRDefault="00177CEF" w:rsidP="00177CE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177CEF">
        <w:rPr>
          <w:rFonts w:cs="ArialNarrow"/>
        </w:rPr>
        <w:t xml:space="preserve">The fact that the </w:t>
      </w:r>
      <w:r w:rsidR="00282248" w:rsidRPr="00177CEF">
        <w:rPr>
          <w:rFonts w:cs="ArialNarrow"/>
        </w:rPr>
        <w:t>assessee could have purchased both the flats in one single s</w:t>
      </w:r>
      <w:r w:rsidRPr="00177CEF">
        <w:rPr>
          <w:rFonts w:cs="ArialNarrow"/>
        </w:rPr>
        <w:t xml:space="preserve">ale deed or could have narrated </w:t>
      </w:r>
      <w:r w:rsidR="00282248" w:rsidRPr="00177CEF">
        <w:rPr>
          <w:rFonts w:cs="ArialNarrow"/>
        </w:rPr>
        <w:t xml:space="preserve">the purchase of two premises as one unit in the sale deed was not a ground to </w:t>
      </w:r>
      <w:r w:rsidRPr="00177CEF">
        <w:rPr>
          <w:rFonts w:cs="ArialNarrow"/>
        </w:rPr>
        <w:t xml:space="preserve">hold that the </w:t>
      </w:r>
      <w:r w:rsidR="00282248" w:rsidRPr="00177CEF">
        <w:rPr>
          <w:rFonts w:cs="ArialNarrow"/>
        </w:rPr>
        <w:t>assessee had no intention to purchase two flats as one unit. The assessee was entitled to the</w:t>
      </w:r>
    </w:p>
    <w:p w:rsidR="00282248" w:rsidRPr="00282248" w:rsidRDefault="00282248" w:rsidP="00177CEF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282248">
        <w:rPr>
          <w:rFonts w:cs="ArialNarrow"/>
        </w:rPr>
        <w:t>exemption under section 54.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282248">
        <w:rPr>
          <w:rFonts w:cs="ArialNarrow-Bold"/>
          <w:b/>
          <w:bCs/>
        </w:rPr>
        <w:t>5. Whether the assessee, in the computation of long-term capital gains, is entitled to</w:t>
      </w: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282248">
        <w:rPr>
          <w:rFonts w:cs="ArialNarrow-Bold"/>
          <w:b/>
          <w:bCs/>
        </w:rPr>
        <w:t>deduction under section 54F of the Income tax Act in respect of investment in</w:t>
      </w: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282248">
        <w:rPr>
          <w:rFonts w:cs="ArialNarrow-Bold"/>
          <w:b/>
          <w:bCs/>
        </w:rPr>
        <w:t>modification/expansion of an existing residential house?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  <w:r>
        <w:rPr>
          <w:rFonts w:cs="ArialNarrow-BoldItalic"/>
          <w:b/>
          <w:bCs/>
          <w:i/>
          <w:iCs/>
        </w:rPr>
        <w:t>Relevant Case Law</w:t>
      </w:r>
      <w:r w:rsidRPr="00282248">
        <w:rPr>
          <w:rFonts w:cs="ArialNarrow-BoldItalic"/>
          <w:b/>
          <w:bCs/>
          <w:i/>
          <w:iCs/>
        </w:rPr>
        <w:t xml:space="preserve"> </w:t>
      </w:r>
      <w:r>
        <w:rPr>
          <w:rFonts w:cs="ArialNarrow-BoldItalic"/>
          <w:b/>
          <w:bCs/>
          <w:i/>
          <w:iCs/>
        </w:rPr>
        <w:t xml:space="preserve">- </w:t>
      </w:r>
      <w:r w:rsidRPr="00282248">
        <w:rPr>
          <w:rFonts w:cs="ArialNarrow-BoldItalic"/>
          <w:b/>
          <w:bCs/>
          <w:i/>
          <w:iCs/>
        </w:rPr>
        <w:t>Mrs. Meera Jacob v. Income-tax Officer (2009) 313 ITR 411 (Ker.)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282248" w:rsidRP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>
        <w:rPr>
          <w:rFonts w:cs="ArialNarrow-Bold"/>
          <w:b/>
          <w:bCs/>
        </w:rPr>
        <w:t>Relevant section -</w:t>
      </w:r>
      <w:r w:rsidRPr="00282248">
        <w:rPr>
          <w:rFonts w:cs="ArialNarrow-Bold"/>
          <w:b/>
          <w:bCs/>
        </w:rPr>
        <w:t xml:space="preserve"> 54F</w:t>
      </w:r>
    </w:p>
    <w:p w:rsidR="00282248" w:rsidRDefault="00282248" w:rsidP="0028224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255D14" w:rsidRDefault="00282248" w:rsidP="00255D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255D14">
        <w:rPr>
          <w:rFonts w:cs="ArialNarrow"/>
        </w:rPr>
        <w:t>The Tribunal took the stand that exemption is available only when the investment is in the</w:t>
      </w:r>
    </w:p>
    <w:p w:rsidR="00255D14" w:rsidRDefault="00282248" w:rsidP="00255D14">
      <w:pPr>
        <w:autoSpaceDE w:val="0"/>
        <w:autoSpaceDN w:val="0"/>
        <w:adjustRightInd w:val="0"/>
        <w:spacing w:after="0" w:line="240" w:lineRule="auto"/>
        <w:ind w:left="720" w:firstLine="30"/>
        <w:rPr>
          <w:rFonts w:cs="ArialNarrow"/>
        </w:rPr>
      </w:pPr>
      <w:r w:rsidRPr="00282248">
        <w:rPr>
          <w:rFonts w:cs="ArialNarrow"/>
        </w:rPr>
        <w:lastRenderedPageBreak/>
        <w:t>construction of a house and not for investment in modificatio</w:t>
      </w:r>
      <w:r w:rsidR="00255D14">
        <w:rPr>
          <w:rFonts w:cs="ArialNarrow"/>
        </w:rPr>
        <w:t xml:space="preserve">n or renovation. Admitted        facts </w:t>
      </w:r>
      <w:r w:rsidRPr="00282248">
        <w:rPr>
          <w:rFonts w:cs="ArialNarrow"/>
        </w:rPr>
        <w:t>are that the assessee had a fairly big house to which the assessee made addition of 140 sq.</w:t>
      </w:r>
      <w:r w:rsidR="00255D14">
        <w:rPr>
          <w:rFonts w:cs="ArialNarrow"/>
        </w:rPr>
        <w:t xml:space="preserve"> </w:t>
      </w:r>
      <w:r w:rsidRPr="00282248">
        <w:rPr>
          <w:rFonts w:cs="ArialNarrow"/>
        </w:rPr>
        <w:t xml:space="preserve">meters of plinth area. </w:t>
      </w:r>
    </w:p>
    <w:p w:rsidR="00255D14" w:rsidRDefault="00255D14" w:rsidP="00255D14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55D14" w:rsidRPr="00255D14" w:rsidRDefault="00282248" w:rsidP="00255D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255D14">
        <w:rPr>
          <w:rFonts w:cs="ArialNarrow"/>
        </w:rPr>
        <w:t>However, it is the conceded pos</w:t>
      </w:r>
      <w:r w:rsidR="00255D14" w:rsidRPr="00255D14">
        <w:rPr>
          <w:rFonts w:cs="ArialNarrow"/>
        </w:rPr>
        <w:t xml:space="preserve">ition that the assessee has not </w:t>
      </w:r>
      <w:r w:rsidR="00255D14">
        <w:rPr>
          <w:rFonts w:cs="ArialNarrow"/>
        </w:rPr>
        <w:t xml:space="preserve">constructed any separate </w:t>
      </w:r>
      <w:r w:rsidRPr="00255D14">
        <w:rPr>
          <w:rFonts w:cs="ArialNarrow"/>
        </w:rPr>
        <w:t>apartment or house. Section 54F do</w:t>
      </w:r>
      <w:r w:rsidR="00255D14" w:rsidRPr="00255D14">
        <w:rPr>
          <w:rFonts w:cs="ArialNarrow"/>
        </w:rPr>
        <w:t xml:space="preserve">es not provide for exemption on </w:t>
      </w:r>
      <w:r w:rsidRPr="00255D14">
        <w:rPr>
          <w:rFonts w:cs="ArialNarrow"/>
        </w:rPr>
        <w:t xml:space="preserve">investment in renovation or modification of an existing house. </w:t>
      </w:r>
    </w:p>
    <w:p w:rsidR="00255D14" w:rsidRDefault="00255D14" w:rsidP="00255D14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55D14" w:rsidRPr="00255D14" w:rsidRDefault="00282248" w:rsidP="00255D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255D14">
        <w:rPr>
          <w:rFonts w:cs="ArialNarrow"/>
        </w:rPr>
        <w:t>On the other hand, constructio</w:t>
      </w:r>
      <w:r w:rsidR="00255D14" w:rsidRPr="00255D14">
        <w:rPr>
          <w:rFonts w:cs="ArialNarrow"/>
        </w:rPr>
        <w:t xml:space="preserve">n </w:t>
      </w:r>
      <w:r w:rsidRPr="00255D14">
        <w:rPr>
          <w:rFonts w:cs="ArialNarrow"/>
        </w:rPr>
        <w:t>of a house only qualifies for exemption on the investment. Even additio</w:t>
      </w:r>
      <w:r w:rsidR="00255D14" w:rsidRPr="00255D14">
        <w:rPr>
          <w:rFonts w:cs="ArialNarrow"/>
        </w:rPr>
        <w:t xml:space="preserve">n of a floor of a selfcontained </w:t>
      </w:r>
      <w:r w:rsidRPr="00255D14">
        <w:rPr>
          <w:rFonts w:cs="ArialNarrow"/>
        </w:rPr>
        <w:t>type to the existing house would have qualified fo</w:t>
      </w:r>
      <w:r w:rsidR="00255D14" w:rsidRPr="00255D14">
        <w:rPr>
          <w:rFonts w:cs="ArialNarrow"/>
        </w:rPr>
        <w:t xml:space="preserve">r exemption. </w:t>
      </w:r>
    </w:p>
    <w:p w:rsidR="00255D14" w:rsidRDefault="00255D14" w:rsidP="00255D14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282248" w:rsidRPr="00255D14" w:rsidRDefault="00255D14" w:rsidP="00255D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255D14">
        <w:rPr>
          <w:rFonts w:cs="ArialNarrow"/>
        </w:rPr>
        <w:t xml:space="preserve">However, since the </w:t>
      </w:r>
      <w:r w:rsidR="00282248" w:rsidRPr="00255D14">
        <w:rPr>
          <w:rFonts w:cs="ArialNarrow"/>
        </w:rPr>
        <w:t>assessee has only made addition to the plinth area, which is in th</w:t>
      </w:r>
      <w:r w:rsidRPr="00255D14">
        <w:rPr>
          <w:rFonts w:cs="ArialNarrow"/>
        </w:rPr>
        <w:t xml:space="preserve">e form of modification of an </w:t>
      </w:r>
      <w:r w:rsidR="00282248" w:rsidRPr="00255D14">
        <w:rPr>
          <w:rFonts w:cs="ArialNarrow"/>
        </w:rPr>
        <w:t>existing house, she is not entitled to deduction claimed under section 54F of the Act.</w:t>
      </w:r>
    </w:p>
    <w:p w:rsidR="00282248" w:rsidRPr="00282248" w:rsidRDefault="00282248" w:rsidP="000A326A"/>
    <w:p w:rsidR="00282248" w:rsidRPr="00282248" w:rsidRDefault="00282248" w:rsidP="000A326A"/>
    <w:p w:rsidR="00282248" w:rsidRDefault="00177CEF" w:rsidP="007A616C">
      <w:pPr>
        <w:pStyle w:val="ListParagraph"/>
        <w:numPr>
          <w:ilvl w:val="0"/>
          <w:numId w:val="13"/>
        </w:numPr>
      </w:pPr>
      <w:r w:rsidRPr="007A616C">
        <w:rPr>
          <w:b/>
        </w:rPr>
        <w:t>Important Case Law From</w:t>
      </w:r>
      <w:r>
        <w:t xml:space="preserve"> </w:t>
      </w:r>
      <w:r w:rsidRPr="007A616C">
        <w:rPr>
          <w:b/>
          <w:i/>
          <w:u w:val="single"/>
        </w:rPr>
        <w:t>INCOME FROM OTHER SOURCES</w:t>
      </w:r>
      <w:r>
        <w:t xml:space="preserve"> :-</w:t>
      </w:r>
    </w:p>
    <w:p w:rsidR="00177CEF" w:rsidRPr="00177CEF" w:rsidRDefault="00177CEF" w:rsidP="00177CEF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177CEF">
        <w:rPr>
          <w:rFonts w:cs="ArialNarrow-Bold"/>
          <w:b/>
          <w:bCs/>
        </w:rPr>
        <w:t>1. Whether the Tribunal was right in law in holding that the income from lease of hospital,</w:t>
      </w:r>
    </w:p>
    <w:p w:rsidR="00177CEF" w:rsidRPr="00177CEF" w:rsidRDefault="00177CEF" w:rsidP="00177CEF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177CEF">
        <w:rPr>
          <w:rFonts w:cs="ArialNarrow-Bold"/>
          <w:b/>
          <w:bCs/>
        </w:rPr>
        <w:t>after giving a finding that the hospital basically remains a business asset, should be</w:t>
      </w:r>
    </w:p>
    <w:p w:rsidR="00177CEF" w:rsidRPr="00177CEF" w:rsidRDefault="00177CEF" w:rsidP="00177CEF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177CEF">
        <w:rPr>
          <w:rFonts w:cs="ArialNarrow-Bold"/>
          <w:b/>
          <w:bCs/>
        </w:rPr>
        <w:t>assessed as ‘Income from other sources’ and not as ‘Business Income’?</w:t>
      </w:r>
    </w:p>
    <w:p w:rsidR="00177CEF" w:rsidRDefault="00177CEF" w:rsidP="00177CEF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</w:p>
    <w:p w:rsidR="00177CEF" w:rsidRPr="00177CEF" w:rsidRDefault="00177CEF" w:rsidP="00177CEF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  <w:r>
        <w:rPr>
          <w:rFonts w:cs="ArialNarrow-BoldItalic"/>
          <w:b/>
          <w:bCs/>
          <w:i/>
          <w:iCs/>
        </w:rPr>
        <w:t xml:space="preserve">Relevant Case Law - </w:t>
      </w:r>
      <w:r w:rsidRPr="00177CEF">
        <w:rPr>
          <w:rFonts w:cs="ArialNarrow-BoldItalic"/>
          <w:b/>
          <w:bCs/>
          <w:i/>
          <w:iCs/>
        </w:rPr>
        <w:t>Orient Hospital Ltd. v. DCIT (2009) 315 ITR 422 (Mad.)</w:t>
      </w:r>
    </w:p>
    <w:p w:rsidR="00177CEF" w:rsidRDefault="00177CEF" w:rsidP="00177CEF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177CEF" w:rsidRPr="00177CEF" w:rsidRDefault="00177CEF" w:rsidP="00177CEF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>
        <w:rPr>
          <w:rFonts w:cs="ArialNarrow-Bold"/>
          <w:b/>
          <w:bCs/>
        </w:rPr>
        <w:t>Relevant Section -</w:t>
      </w:r>
      <w:r w:rsidRPr="00177CEF">
        <w:rPr>
          <w:rFonts w:cs="ArialNarrow-Bold"/>
          <w:b/>
          <w:bCs/>
        </w:rPr>
        <w:t xml:space="preserve"> 56(2)(iii)</w:t>
      </w:r>
    </w:p>
    <w:p w:rsidR="00F41724" w:rsidRDefault="00F41724" w:rsidP="00177CEF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F41724" w:rsidRPr="00F41724" w:rsidRDefault="00177CEF" w:rsidP="00F4172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F41724">
        <w:rPr>
          <w:rFonts w:cs="ArialNarrow"/>
        </w:rPr>
        <w:t>The assessee-company constructed a hospital buildi</w:t>
      </w:r>
      <w:r w:rsidR="00F41724" w:rsidRPr="00F41724">
        <w:rPr>
          <w:rFonts w:cs="ArialNarrow"/>
        </w:rPr>
        <w:t xml:space="preserve">ng and ran the hospital. As the </w:t>
      </w:r>
      <w:r w:rsidRPr="00F41724">
        <w:rPr>
          <w:rFonts w:cs="ArialNarrow"/>
        </w:rPr>
        <w:t>assessee-company suffered loss in running the business, it lea</w:t>
      </w:r>
      <w:r w:rsidR="00F41724" w:rsidRPr="00F41724">
        <w:rPr>
          <w:rFonts w:cs="ArialNarrow"/>
        </w:rPr>
        <w:t xml:space="preserve">sed the hospital building along </w:t>
      </w:r>
      <w:r w:rsidRPr="00F41724">
        <w:rPr>
          <w:rFonts w:cs="ArialNarrow"/>
        </w:rPr>
        <w:t xml:space="preserve">with equipment and machinery to A on a monthly lease of Rs.3,00,000 per </w:t>
      </w:r>
      <w:r w:rsidR="00F41724" w:rsidRPr="00F41724">
        <w:rPr>
          <w:rFonts w:cs="ArialNarrow"/>
        </w:rPr>
        <w:t xml:space="preserve">month and </w:t>
      </w:r>
      <w:r w:rsidRPr="00F41724">
        <w:rPr>
          <w:rFonts w:cs="ArialNarrow"/>
        </w:rPr>
        <w:t>claimed this sum as business income against which earlier business losses were set off.</w:t>
      </w:r>
    </w:p>
    <w:p w:rsidR="00F41724" w:rsidRDefault="00F41724" w:rsidP="00177CEF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177CEF" w:rsidRPr="00F41724" w:rsidRDefault="00F41724" w:rsidP="00F4172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F41724">
        <w:rPr>
          <w:rFonts w:cs="ArialNarrow"/>
        </w:rPr>
        <w:t xml:space="preserve">The </w:t>
      </w:r>
      <w:r w:rsidR="00177CEF" w:rsidRPr="00F41724">
        <w:rPr>
          <w:rFonts w:cs="ArialNarrow"/>
        </w:rPr>
        <w:t>Assessing Officer treated the income from lease of the</w:t>
      </w:r>
      <w:r w:rsidRPr="00F41724">
        <w:rPr>
          <w:rFonts w:cs="ArialNarrow"/>
        </w:rPr>
        <w:t xml:space="preserve"> hospital as "Income from other </w:t>
      </w:r>
      <w:r w:rsidR="00177CEF" w:rsidRPr="00F41724">
        <w:rPr>
          <w:rFonts w:cs="ArialNarrow"/>
        </w:rPr>
        <w:t>sources" and disallowed set off of the earlier years' business losse</w:t>
      </w:r>
      <w:r w:rsidRPr="00F41724">
        <w:rPr>
          <w:rFonts w:cs="ArialNarrow"/>
        </w:rPr>
        <w:t xml:space="preserve">s. The Commissioner </w:t>
      </w:r>
      <w:r w:rsidR="00177CEF" w:rsidRPr="00F41724">
        <w:rPr>
          <w:rFonts w:cs="ArialNarrow"/>
        </w:rPr>
        <w:t>(Appeals) allowed the assessee's appeal, but the Appellate T</w:t>
      </w:r>
      <w:r w:rsidRPr="00F41724">
        <w:rPr>
          <w:rFonts w:cs="ArialNarrow"/>
        </w:rPr>
        <w:t xml:space="preserve">ribunal, while holding that the </w:t>
      </w:r>
      <w:r w:rsidR="00177CEF" w:rsidRPr="00F41724">
        <w:rPr>
          <w:rFonts w:cs="ArialNarrow"/>
        </w:rPr>
        <w:t>lease income was to be treated as income from other sourc</w:t>
      </w:r>
      <w:r w:rsidRPr="00F41724">
        <w:rPr>
          <w:rFonts w:cs="ArialNarrow"/>
        </w:rPr>
        <w:t xml:space="preserve">es, allowed the lease income to </w:t>
      </w:r>
      <w:r w:rsidR="00177CEF" w:rsidRPr="00F41724">
        <w:rPr>
          <w:rFonts w:cs="ArialNarrow"/>
        </w:rPr>
        <w:t>be set off against the previous years' losses.</w:t>
      </w:r>
    </w:p>
    <w:p w:rsidR="00F41724" w:rsidRDefault="00F41724" w:rsidP="00177CEF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177CEF" w:rsidRPr="00F41724" w:rsidRDefault="00177CEF" w:rsidP="00F4172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F41724">
        <w:rPr>
          <w:rFonts w:cs="ArialNarrow"/>
        </w:rPr>
        <w:t>The High Court held that income derived out of the lease of property and furniture as in this</w:t>
      </w:r>
    </w:p>
    <w:p w:rsidR="00177CEF" w:rsidRPr="00177CEF" w:rsidRDefault="00177CEF" w:rsidP="00F41724">
      <w:pPr>
        <w:autoSpaceDE w:val="0"/>
        <w:autoSpaceDN w:val="0"/>
        <w:adjustRightInd w:val="0"/>
        <w:spacing w:after="0" w:line="240" w:lineRule="auto"/>
        <w:ind w:firstLine="720"/>
        <w:rPr>
          <w:rFonts w:cs="ArialNarrow"/>
        </w:rPr>
      </w:pPr>
      <w:r w:rsidRPr="00177CEF">
        <w:rPr>
          <w:rFonts w:cs="ArialNarrow"/>
        </w:rPr>
        <w:t>case could not be treated as income from profits and gains of business or profession. The</w:t>
      </w:r>
    </w:p>
    <w:p w:rsidR="00177CEF" w:rsidRDefault="00177CEF" w:rsidP="00F41724">
      <w:pPr>
        <w:ind w:firstLine="720"/>
        <w:rPr>
          <w:rFonts w:cs="ArialNarrow"/>
        </w:rPr>
      </w:pPr>
      <w:r w:rsidRPr="00177CEF">
        <w:rPr>
          <w:rFonts w:cs="ArialNarrow"/>
        </w:rPr>
        <w:t>finding given by the Tribunal that the income was income from other sources was correct</w:t>
      </w:r>
      <w:r w:rsidR="008E7E0F">
        <w:rPr>
          <w:rFonts w:cs="ArialNarrow"/>
        </w:rPr>
        <w:t>.</w:t>
      </w:r>
    </w:p>
    <w:p w:rsidR="00767CB2" w:rsidRDefault="00767CB2" w:rsidP="00F41724">
      <w:pPr>
        <w:ind w:firstLine="720"/>
        <w:rPr>
          <w:rFonts w:cs="ArialNarrow"/>
        </w:rPr>
      </w:pPr>
    </w:p>
    <w:p w:rsidR="00767CB2" w:rsidRDefault="00767CB2" w:rsidP="00767CB2">
      <w:pPr>
        <w:spacing w:line="240" w:lineRule="auto"/>
        <w:ind w:firstLine="720"/>
        <w:rPr>
          <w:rFonts w:cs="ArialNarrow"/>
        </w:rPr>
      </w:pPr>
      <w:r>
        <w:rPr>
          <w:rFonts w:cs="ArialNarrow"/>
        </w:rPr>
        <w:t>Thanks For Your Patience.</w:t>
      </w:r>
      <w:bookmarkStart w:id="0" w:name="_GoBack"/>
      <w:bookmarkEnd w:id="0"/>
    </w:p>
    <w:p w:rsidR="00767CB2" w:rsidRDefault="00767CB2" w:rsidP="00767CB2">
      <w:pPr>
        <w:spacing w:line="240" w:lineRule="auto"/>
        <w:ind w:firstLine="720"/>
        <w:rPr>
          <w:rFonts w:cs="ArialNarrow"/>
        </w:rPr>
      </w:pPr>
      <w:r>
        <w:rPr>
          <w:rFonts w:cs="ArialNarrow"/>
        </w:rPr>
        <w:t>Happy Reading.</w:t>
      </w:r>
    </w:p>
    <w:p w:rsidR="00767CB2" w:rsidRDefault="00767CB2" w:rsidP="00767CB2">
      <w:pPr>
        <w:spacing w:line="240" w:lineRule="auto"/>
        <w:ind w:firstLine="720"/>
        <w:rPr>
          <w:rFonts w:cs="ArialNarrow"/>
        </w:rPr>
      </w:pPr>
      <w:r>
        <w:rPr>
          <w:rFonts w:cs="ArialNarrow"/>
        </w:rPr>
        <w:t xml:space="preserve">For Your Queries , Email me at – </w:t>
      </w:r>
      <w:hyperlink r:id="rId9" w:history="1">
        <w:r w:rsidRPr="0029631C">
          <w:rPr>
            <w:rStyle w:val="Hyperlink"/>
            <w:rFonts w:cs="ArialNarrow"/>
          </w:rPr>
          <w:t>yashshah299@gmail.com</w:t>
        </w:r>
      </w:hyperlink>
    </w:p>
    <w:p w:rsidR="00767CB2" w:rsidRPr="00767CB2" w:rsidRDefault="00767CB2" w:rsidP="00767CB2">
      <w:pPr>
        <w:spacing w:line="240" w:lineRule="auto"/>
        <w:ind w:firstLine="720"/>
        <w:rPr>
          <w:rFonts w:cs="ArialNarrow"/>
        </w:rPr>
      </w:pPr>
      <w:r>
        <w:rPr>
          <w:rFonts w:cs="ArialNarrow"/>
        </w:rPr>
        <w:t xml:space="preserve">For More Information , Visit My Website – yashshah.strikingly.com </w:t>
      </w:r>
    </w:p>
    <w:sectPr w:rsidR="00767CB2" w:rsidRPr="00767CB2" w:rsidSect="000762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780" w:rsidRDefault="00A86780" w:rsidP="001B550C">
      <w:pPr>
        <w:spacing w:after="0" w:line="240" w:lineRule="auto"/>
      </w:pPr>
      <w:r>
        <w:separator/>
      </w:r>
    </w:p>
  </w:endnote>
  <w:endnote w:type="continuationSeparator" w:id="0">
    <w:p w:rsidR="00A86780" w:rsidRDefault="00A86780" w:rsidP="001B5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Narrow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50C" w:rsidRDefault="001B55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50C" w:rsidRDefault="001B550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50C" w:rsidRDefault="001B55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780" w:rsidRDefault="00A86780" w:rsidP="001B550C">
      <w:pPr>
        <w:spacing w:after="0" w:line="240" w:lineRule="auto"/>
      </w:pPr>
      <w:r>
        <w:separator/>
      </w:r>
    </w:p>
  </w:footnote>
  <w:footnote w:type="continuationSeparator" w:id="0">
    <w:p w:rsidR="00A86780" w:rsidRDefault="00A86780" w:rsidP="001B5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50C" w:rsidRDefault="001B55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004444"/>
      <w:docPartObj>
        <w:docPartGallery w:val="Watermarks"/>
        <w:docPartUnique/>
      </w:docPartObj>
    </w:sdtPr>
    <w:sdtEndPr/>
    <w:sdtContent>
      <w:p w:rsidR="001B550C" w:rsidRDefault="00A86780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419401783" o:spid="_x0000_s2049" type="#_x0000_t136" style="position:absolute;margin-left:0;margin-top:0;width:559.8pt;height:76.3pt;rotation:315;z-index:-251658752;mso-position-horizontal:center;mso-position-horizontal-relative:margin;mso-position-vertical:center;mso-position-vertical-relative:margin" o:allowincell="f" fillcolor="silver" stroked="f">
              <v:textpath style="font-family:&quot;Calibri&quot;;font-size:1pt" string="yashshah299@gmail.com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50C" w:rsidRDefault="001B55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2950"/>
    <w:multiLevelType w:val="hybridMultilevel"/>
    <w:tmpl w:val="C854C2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E4CFD"/>
    <w:multiLevelType w:val="hybridMultilevel"/>
    <w:tmpl w:val="0BCA9D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248F3"/>
    <w:multiLevelType w:val="hybridMultilevel"/>
    <w:tmpl w:val="0BF4EB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DF49CF"/>
    <w:multiLevelType w:val="hybridMultilevel"/>
    <w:tmpl w:val="8A1AA8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47E75"/>
    <w:multiLevelType w:val="hybridMultilevel"/>
    <w:tmpl w:val="CCB260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50C45"/>
    <w:multiLevelType w:val="hybridMultilevel"/>
    <w:tmpl w:val="D9CE4D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F22632"/>
    <w:multiLevelType w:val="hybridMultilevel"/>
    <w:tmpl w:val="617899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097DBC"/>
    <w:multiLevelType w:val="hybridMultilevel"/>
    <w:tmpl w:val="379E16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4C7D66"/>
    <w:multiLevelType w:val="hybridMultilevel"/>
    <w:tmpl w:val="AC3CEE8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5227EB"/>
    <w:multiLevelType w:val="hybridMultilevel"/>
    <w:tmpl w:val="715661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6B4295"/>
    <w:multiLevelType w:val="hybridMultilevel"/>
    <w:tmpl w:val="ED161ADC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4814A00"/>
    <w:multiLevelType w:val="hybridMultilevel"/>
    <w:tmpl w:val="0DF60D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7572DA"/>
    <w:multiLevelType w:val="hybridMultilevel"/>
    <w:tmpl w:val="82DCB9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0"/>
  </w:num>
  <w:num w:numId="5">
    <w:abstractNumId w:val="12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9"/>
  </w:num>
  <w:num w:numId="11">
    <w:abstractNumId w:val="4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cumentProtection w:edit="readOnly" w:formatting="1" w:enforcement="1" w:cryptProviderType="rsaFull" w:cryptAlgorithmClass="hash" w:cryptAlgorithmType="typeAny" w:cryptAlgorithmSid="4" w:cryptSpinCount="100000" w:hash="bgm7pjw/d3s8jKdBd42A9vwMHso=" w:salt="CtYROhkt91ZBJs5EaD+u+g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6A"/>
    <w:rsid w:val="00076297"/>
    <w:rsid w:val="000A326A"/>
    <w:rsid w:val="0014406A"/>
    <w:rsid w:val="00177CEF"/>
    <w:rsid w:val="001B550C"/>
    <w:rsid w:val="00255D14"/>
    <w:rsid w:val="00282248"/>
    <w:rsid w:val="00410AE2"/>
    <w:rsid w:val="00607FB1"/>
    <w:rsid w:val="00767CB2"/>
    <w:rsid w:val="007A616C"/>
    <w:rsid w:val="008E7E0F"/>
    <w:rsid w:val="00A5093C"/>
    <w:rsid w:val="00A51995"/>
    <w:rsid w:val="00A86780"/>
    <w:rsid w:val="00DB1215"/>
    <w:rsid w:val="00F4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D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5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50C"/>
  </w:style>
  <w:style w:type="paragraph" w:styleId="Footer">
    <w:name w:val="footer"/>
    <w:basedOn w:val="Normal"/>
    <w:link w:val="FooterChar"/>
    <w:uiPriority w:val="99"/>
    <w:unhideWhenUsed/>
    <w:rsid w:val="001B5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50C"/>
  </w:style>
  <w:style w:type="character" w:styleId="Hyperlink">
    <w:name w:val="Hyperlink"/>
    <w:basedOn w:val="DefaultParagraphFont"/>
    <w:uiPriority w:val="99"/>
    <w:unhideWhenUsed/>
    <w:rsid w:val="00767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D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5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50C"/>
  </w:style>
  <w:style w:type="paragraph" w:styleId="Footer">
    <w:name w:val="footer"/>
    <w:basedOn w:val="Normal"/>
    <w:link w:val="FooterChar"/>
    <w:uiPriority w:val="99"/>
    <w:unhideWhenUsed/>
    <w:rsid w:val="001B5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50C"/>
  </w:style>
  <w:style w:type="character" w:styleId="Hyperlink">
    <w:name w:val="Hyperlink"/>
    <w:basedOn w:val="DefaultParagraphFont"/>
    <w:uiPriority w:val="99"/>
    <w:unhideWhenUsed/>
    <w:rsid w:val="00767C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yashshah299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1479D-14B0-4BA5-84DC-3706268F6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2533</Words>
  <Characters>14441</Characters>
  <Application>Microsoft Office Word</Application>
  <DocSecurity>8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User;yashshah299@gmail.com</dc:creator>
  <cp:lastModifiedBy>User</cp:lastModifiedBy>
  <cp:revision>8</cp:revision>
  <dcterms:created xsi:type="dcterms:W3CDTF">2015-04-28T18:15:00Z</dcterms:created>
  <dcterms:modified xsi:type="dcterms:W3CDTF">2015-04-29T03:32:00Z</dcterms:modified>
</cp:coreProperties>
</file>