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Income-tax Department has made certain changes in the Income-tax</w:t>
      </w:r>
      <w:r w:rsidRPr="000D46DC">
        <w:rPr>
          <w:rFonts w:ascii="Arial" w:eastAsia="Times New Roman" w:hAnsi="Arial" w:cs="Arial"/>
          <w:color w:val="5E5E5E"/>
          <w:sz w:val="16"/>
        </w:rPr>
        <w:t> Return Form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of Companies for Assessment Year 2014-15 by requiring further information in certain areas as mentioned below:-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General:-</w:t>
      </w:r>
    </w:p>
    <w:p w:rsidR="000D46DC" w:rsidRPr="000D46DC" w:rsidRDefault="000D46DC" w:rsidP="000D46DC">
      <w:pPr>
        <w:numPr>
          <w:ilvl w:val="0"/>
          <w:numId w:val="1"/>
        </w:numPr>
        <w:shd w:val="clear" w:color="auto" w:fill="FFFFFF"/>
        <w:spacing w:after="0" w:line="244" w:lineRule="atLeast"/>
        <w:ind w:left="0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Corporate Identity</w:t>
      </w:r>
      <w:r w:rsidRPr="000D46DC">
        <w:rPr>
          <w:rFonts w:ascii="Arial" w:eastAsia="Times New Roman" w:hAnsi="Arial" w:cs="Arial"/>
          <w:color w:val="5E5E5E"/>
          <w:sz w:val="16"/>
        </w:rPr>
        <w:t> Number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(CIN).</w:t>
      </w:r>
    </w:p>
    <w:p w:rsidR="000D46DC" w:rsidRPr="000D46DC" w:rsidRDefault="000D46DC" w:rsidP="000D46DC">
      <w:pPr>
        <w:numPr>
          <w:ilvl w:val="0"/>
          <w:numId w:val="1"/>
        </w:numPr>
        <w:shd w:val="clear" w:color="auto" w:fill="FFFFFF"/>
        <w:spacing w:after="0" w:line="244" w:lineRule="atLeast"/>
        <w:ind w:left="0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Director</w:t>
      </w:r>
      <w:r w:rsidRPr="000D46DC">
        <w:rPr>
          <w:rFonts w:ascii="Arial" w:eastAsia="Times New Roman" w:hAnsi="Arial" w:cs="Arial"/>
          <w:color w:val="5E5E5E"/>
          <w:sz w:val="16"/>
        </w:rPr>
        <w:t> Identification Number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(DIN).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Now Corporate Identity Number &amp; Director Identification Number is mandatory to be mentioned in the</w:t>
      </w:r>
      <w:r w:rsidRPr="000D46DC">
        <w:rPr>
          <w:rFonts w:ascii="Arial" w:eastAsia="Times New Roman" w:hAnsi="Arial" w:cs="Arial"/>
          <w:color w:val="5E5E5E"/>
          <w:sz w:val="16"/>
        </w:rPr>
        <w:t> Income Tax Return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Profit &amp; Loss Account Items:-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3. Break-up of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bad debts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written off in the following categories is to be disclosed seperately:-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a)   Party-wise list of bad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debts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written off along with PAN of the party in such cases where the bad debt amount is Rs. 1.00 lac or more.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b)   Party-wise list of bad debts written off, in such cases where PAN of the party is not available and the bad debt amount is Rs. 1.00 lac or more.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c) Party-wise list of bad debts written off less than Rs. 1.00 lac in each case.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4. Party-wise detail showing amount paid towards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b/>
          <w:bCs/>
          <w:i/>
          <w:iCs/>
          <w:color w:val="5E5E5E"/>
          <w:sz w:val="16"/>
        </w:rPr>
        <w:t>professional/consultancy fee/fee for technical services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to the following persons needs to be disclosed:-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a)     To parties outside India and to non-resident parties in India.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b)     To parties resident in India.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5. Party-wise detail showing amount paid towards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b/>
          <w:bCs/>
          <w:i/>
          <w:iCs/>
          <w:color w:val="5E5E5E"/>
          <w:sz w:val="16"/>
        </w:rPr>
        <w:t>Commission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to the following persons needs to be disclosed:-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a)     To parties outside India and to non-resident parties in India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b)     To parties resident in India.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6. Party-wise detail showing amount paid towards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i/>
          <w:iCs/>
          <w:color w:val="5E5E5E"/>
          <w:sz w:val="16"/>
          <w:u w:val="single"/>
        </w:rPr>
        <w:t>Royalty</w:t>
      </w:r>
      <w:r w:rsidRPr="000D46DC">
        <w:rPr>
          <w:rFonts w:ascii="Arial" w:eastAsia="Times New Roman" w:hAnsi="Arial" w:cs="Arial"/>
          <w:b/>
          <w:bCs/>
          <w:i/>
          <w:iCs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to the following persons needs to be disclosed:-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a)     To parties outside India, to non-resident parties in India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b)     To parties resident in India.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7. Party-wise detail showing amount paid towards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b/>
          <w:bCs/>
          <w:i/>
          <w:iCs/>
          <w:color w:val="5E5E5E"/>
          <w:sz w:val="16"/>
        </w:rPr>
        <w:t>Interest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to the following persons needs to be disclosed:-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a)     To parties outside India, to non-resident parties in India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b)     To parties resident in India.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Depreciation Schedule:-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8. Expenditure incurred in connection with transfer of assets.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9.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Capital gains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/loss under section 50.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Other Information- Section 44AB:-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10. Total number of employees employed by the company(mandatory in case the company has recognized Provident Fund)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(i)   Deployed in India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(ii)     Deployed outside India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TDS/TCS:-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11. Now TDS/TCS deducted during the year can be claimed only to the extent the corresponding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income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is being offered to tax during the year. The unclaimed TDS/TCS can be brought forward and claimed accordingly.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b/>
          <w:bCs/>
          <w:color w:val="5E5E5E"/>
          <w:sz w:val="16"/>
        </w:rPr>
        <w:t>Capital Gains:-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12.Short term/</w:t>
      </w:r>
      <w:r w:rsidRPr="000D46DC">
        <w:rPr>
          <w:rFonts w:ascii="Arial" w:eastAsia="Times New Roman" w:hAnsi="Arial" w:cs="Arial"/>
          <w:color w:val="5E5E5E"/>
          <w:sz w:val="16"/>
        </w:rPr>
        <w:t>Long term capital gains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/losses from the following sources needs to be shown separately:-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(i)        From</w:t>
      </w:r>
      <w:r w:rsidRPr="000D46DC">
        <w:rPr>
          <w:rFonts w:ascii="Arial" w:eastAsia="Times New Roman" w:hAnsi="Arial" w:cs="Arial"/>
          <w:color w:val="5E5E5E"/>
          <w:sz w:val="16"/>
        </w:rPr>
        <w:t> sale of land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or building or both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(ii)       From Slump Sale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(iii)     From sale of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equity share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or unit of equity oriented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Mutual Fund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on which STT is paid.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(iv)    For Non-residents for sale of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u w:val="single"/>
        </w:rPr>
        <w:t>securities</w:t>
      </w:r>
      <w:r w:rsidRPr="000D46DC">
        <w:rPr>
          <w:rFonts w:ascii="Arial" w:eastAsia="Times New Roman" w:hAnsi="Arial" w:cs="Arial"/>
          <w:color w:val="5E5E5E"/>
          <w:sz w:val="16"/>
        </w:rPr>
        <w:t> </w:t>
      </w:r>
      <w:r w:rsidRPr="000D46DC">
        <w:rPr>
          <w:rFonts w:ascii="Arial" w:eastAsia="Times New Roman" w:hAnsi="Arial" w:cs="Arial"/>
          <w:color w:val="5E5E5E"/>
          <w:sz w:val="16"/>
          <w:szCs w:val="16"/>
        </w:rPr>
        <w:t>– not being FII.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(v)     For Non-residents for sale of securities – being FII.</w:t>
      </w:r>
    </w:p>
    <w:p w:rsidR="000D46DC" w:rsidRPr="000D46DC" w:rsidRDefault="000D46DC" w:rsidP="000D46DC">
      <w:pPr>
        <w:shd w:val="clear" w:color="auto" w:fill="FFFFFF"/>
        <w:spacing w:after="0" w:line="244" w:lineRule="atLeast"/>
        <w:jc w:val="both"/>
        <w:rPr>
          <w:rFonts w:ascii="Arial" w:eastAsia="Times New Roman" w:hAnsi="Arial" w:cs="Arial"/>
          <w:color w:val="5E5E5E"/>
          <w:sz w:val="16"/>
          <w:szCs w:val="16"/>
        </w:rPr>
      </w:pPr>
      <w:r w:rsidRPr="000D46DC">
        <w:rPr>
          <w:rFonts w:ascii="Arial" w:eastAsia="Times New Roman" w:hAnsi="Arial" w:cs="Arial"/>
          <w:color w:val="5E5E5E"/>
          <w:sz w:val="16"/>
          <w:szCs w:val="16"/>
        </w:rPr>
        <w:t>(vi)    From sale of other assets.</w:t>
      </w:r>
    </w:p>
    <w:p w:rsidR="00901937" w:rsidRDefault="000D46DC" w:rsidP="000D46DC">
      <w:r w:rsidRPr="000D46DC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>- See more at: http://taxguru.in/income-tax/itr6-assessment-year-201415.html#sthash.NI6JfQZb.dpuf</w:t>
      </w:r>
    </w:p>
    <w:sectPr w:rsidR="00901937" w:rsidSect="00901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3F21"/>
    <w:multiLevelType w:val="multilevel"/>
    <w:tmpl w:val="E17E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D46DC"/>
    <w:rsid w:val="000D46DC"/>
    <w:rsid w:val="0090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D46DC"/>
  </w:style>
  <w:style w:type="character" w:customStyle="1" w:styleId="ilad">
    <w:name w:val="il_ad"/>
    <w:basedOn w:val="DefaultParagraphFont"/>
    <w:rsid w:val="000D46DC"/>
  </w:style>
  <w:style w:type="character" w:styleId="Strong">
    <w:name w:val="Strong"/>
    <w:basedOn w:val="DefaultParagraphFont"/>
    <w:uiPriority w:val="22"/>
    <w:qFormat/>
    <w:rsid w:val="000D46DC"/>
    <w:rPr>
      <w:b/>
      <w:bCs/>
    </w:rPr>
  </w:style>
  <w:style w:type="character" w:customStyle="1" w:styleId="o605q037vqji">
    <w:name w:val="o605q037vqji"/>
    <w:basedOn w:val="DefaultParagraphFont"/>
    <w:rsid w:val="000D46DC"/>
  </w:style>
  <w:style w:type="character" w:styleId="Emphasis">
    <w:name w:val="Emphasis"/>
    <w:basedOn w:val="DefaultParagraphFont"/>
    <w:uiPriority w:val="20"/>
    <w:qFormat/>
    <w:rsid w:val="000D46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 Sampat</dc:creator>
  <cp:keywords/>
  <dc:description/>
  <cp:lastModifiedBy>Tushar Sampat</cp:lastModifiedBy>
  <cp:revision>1</cp:revision>
  <dcterms:created xsi:type="dcterms:W3CDTF">2014-07-05T13:20:00Z</dcterms:created>
  <dcterms:modified xsi:type="dcterms:W3CDTF">2014-07-05T13:21:00Z</dcterms:modified>
</cp:coreProperties>
</file>