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E2F" w:rsidRPr="00977E2F" w:rsidRDefault="00977E2F" w:rsidP="00977E2F">
      <w:pPr>
        <w:spacing w:after="0" w:line="288" w:lineRule="atLeast"/>
        <w:rPr>
          <w:rFonts w:ascii="Arial" w:eastAsia="Times New Roman" w:hAnsi="Arial" w:cs="Arial"/>
          <w:color w:val="333333"/>
          <w:sz w:val="20"/>
          <w:szCs w:val="20"/>
        </w:rPr>
      </w:pPr>
    </w:p>
    <w:p w:rsidR="00977E2F" w:rsidRPr="00977E2F" w:rsidRDefault="00977E2F" w:rsidP="00977E2F">
      <w:pPr>
        <w:spacing w:after="0" w:line="288" w:lineRule="atLeast"/>
        <w:rPr>
          <w:rFonts w:ascii="Arial" w:eastAsia="Times New Roman" w:hAnsi="Arial" w:cs="Arial"/>
          <w:color w:val="333333"/>
          <w:sz w:val="20"/>
          <w:szCs w:val="20"/>
        </w:rPr>
      </w:pPr>
      <w:r w:rsidRPr="00977E2F">
        <w:rPr>
          <w:rFonts w:ascii="Arial" w:eastAsia="Times New Roman" w:hAnsi="Arial" w:cs="Arial"/>
          <w:color w:val="333333"/>
          <w:sz w:val="20"/>
          <w:szCs w:val="20"/>
        </w:rPr>
        <w:t> </w:t>
      </w:r>
    </w:p>
    <w:p w:rsidR="00977E2F" w:rsidRPr="00977E2F" w:rsidRDefault="00977E2F" w:rsidP="00977E2F">
      <w:pPr>
        <w:spacing w:after="0" w:line="288" w:lineRule="atLeast"/>
        <w:rPr>
          <w:rFonts w:ascii="Arial" w:eastAsia="Times New Roman" w:hAnsi="Arial" w:cs="Arial"/>
          <w:color w:val="333333"/>
          <w:sz w:val="20"/>
          <w:szCs w:val="20"/>
        </w:rPr>
      </w:pPr>
      <w:r w:rsidRPr="00977E2F">
        <w:rPr>
          <w:rFonts w:ascii="Arial" w:eastAsia="Times New Roman" w:hAnsi="Arial" w:cs="Arial"/>
          <w:b/>
          <w:bCs/>
          <w:color w:val="333333"/>
          <w:sz w:val="31"/>
        </w:rPr>
        <w:t xml:space="preserve">9 Further Amendments in Finance Bill 2008 During Passage Of Bill In Parliament! </w:t>
      </w:r>
    </w:p>
    <w:p w:rsidR="00977E2F" w:rsidRPr="00977E2F" w:rsidRDefault="00977E2F" w:rsidP="00977E2F">
      <w:pPr>
        <w:spacing w:after="0" w:line="288" w:lineRule="atLeast"/>
        <w:rPr>
          <w:rFonts w:ascii="Arial" w:eastAsia="Times New Roman" w:hAnsi="Arial" w:cs="Arial"/>
          <w:color w:val="333333"/>
          <w:sz w:val="20"/>
          <w:szCs w:val="20"/>
        </w:rPr>
      </w:pPr>
      <w:r w:rsidRPr="00977E2F">
        <w:rPr>
          <w:rFonts w:ascii="Arial" w:eastAsia="Times New Roman" w:hAnsi="Arial" w:cs="Arial"/>
          <w:color w:val="333333"/>
          <w:sz w:val="20"/>
          <w:szCs w:val="20"/>
        </w:rPr>
        <w:t> </w:t>
      </w:r>
    </w:p>
    <w:p w:rsidR="00977E2F" w:rsidRPr="00977E2F" w:rsidRDefault="00977E2F" w:rsidP="00977E2F">
      <w:pPr>
        <w:spacing w:after="0" w:line="288" w:lineRule="atLeast"/>
        <w:rPr>
          <w:rFonts w:ascii="Arial" w:eastAsia="Times New Roman" w:hAnsi="Arial" w:cs="Arial"/>
          <w:color w:val="333333"/>
          <w:sz w:val="20"/>
          <w:szCs w:val="20"/>
        </w:rPr>
      </w:pPr>
      <w:r w:rsidRPr="00977E2F">
        <w:rPr>
          <w:rFonts w:ascii="Arial" w:eastAsia="Times New Roman" w:hAnsi="Arial" w:cs="Arial"/>
          <w:color w:val="333333"/>
          <w:sz w:val="20"/>
          <w:szCs w:val="20"/>
        </w:rPr>
        <w:t> </w:t>
      </w:r>
    </w:p>
    <w:p w:rsidR="00977E2F" w:rsidRPr="00977E2F" w:rsidRDefault="00977E2F" w:rsidP="00977E2F">
      <w:pPr>
        <w:spacing w:after="0" w:line="288" w:lineRule="atLeast"/>
        <w:rPr>
          <w:rFonts w:ascii="Arial" w:eastAsia="Times New Roman" w:hAnsi="Arial" w:cs="Arial"/>
          <w:color w:val="333333"/>
          <w:sz w:val="20"/>
          <w:szCs w:val="20"/>
        </w:rPr>
      </w:pPr>
      <w:r w:rsidRPr="00977E2F">
        <w:rPr>
          <w:rFonts w:ascii="Arial" w:eastAsia="Times New Roman" w:hAnsi="Arial" w:cs="Arial"/>
          <w:b/>
          <w:bCs/>
          <w:color w:val="333333"/>
          <w:sz w:val="31"/>
        </w:rPr>
        <w:t>1.</w:t>
      </w:r>
      <w:r w:rsidRPr="00977E2F">
        <w:rPr>
          <w:rFonts w:ascii="Arial" w:eastAsia="Times New Roman" w:hAnsi="Arial" w:cs="Arial"/>
          <w:color w:val="333333"/>
          <w:sz w:val="24"/>
          <w:szCs w:val="24"/>
        </w:rPr>
        <w:t xml:space="preserve"> Exemption available under sections 10A and 10B has been extended by one more year. Consequently, these exemptions will now be available up to the assessment year 2010-11.</w:t>
      </w:r>
      <w:r w:rsidRPr="00977E2F">
        <w:rPr>
          <w:rFonts w:ascii="Arial" w:eastAsia="Times New Roman" w:hAnsi="Arial" w:cs="Arial"/>
          <w:color w:val="333333"/>
          <w:sz w:val="24"/>
          <w:szCs w:val="24"/>
        </w:rPr>
        <w:br/>
      </w:r>
      <w:r w:rsidRPr="00977E2F">
        <w:rPr>
          <w:rFonts w:ascii="Arial" w:eastAsia="Times New Roman" w:hAnsi="Arial" w:cs="Arial"/>
          <w:b/>
          <w:bCs/>
          <w:color w:val="333333"/>
          <w:sz w:val="31"/>
        </w:rPr>
        <w:t>2.</w:t>
      </w:r>
      <w:r w:rsidRPr="00977E2F">
        <w:rPr>
          <w:rFonts w:ascii="Arial" w:eastAsia="Times New Roman" w:hAnsi="Arial" w:cs="Arial"/>
          <w:color w:val="333333"/>
          <w:sz w:val="24"/>
          <w:szCs w:val="24"/>
        </w:rPr>
        <w:t xml:space="preserve"> The scheme of disallowance under section 40(a)(ia) has been modified with retrospective effect from the assessment year 2005-06 on the following lines—</w:t>
      </w:r>
      <w:r w:rsidRPr="00977E2F">
        <w:rPr>
          <w:rFonts w:ascii="Arial" w:eastAsia="Times New Roman" w:hAnsi="Arial" w:cs="Arial"/>
          <w:color w:val="333333"/>
          <w:sz w:val="24"/>
          <w:szCs w:val="24"/>
        </w:rPr>
        <w:br/>
      </w:r>
      <w:r w:rsidRPr="00977E2F">
        <w:rPr>
          <w:rFonts w:ascii="Arial" w:eastAsia="Times New Roman" w:hAnsi="Arial" w:cs="Arial"/>
          <w:b/>
          <w:bCs/>
          <w:color w:val="333333"/>
          <w:sz w:val="24"/>
          <w:szCs w:val="24"/>
        </w:rPr>
        <w:t>Tax is deductible but not deducted</w:t>
      </w:r>
      <w:r w:rsidRPr="00977E2F">
        <w:rPr>
          <w:rFonts w:ascii="Arial" w:eastAsia="Times New Roman" w:hAnsi="Arial" w:cs="Arial"/>
          <w:color w:val="333333"/>
          <w:sz w:val="24"/>
          <w:szCs w:val="24"/>
        </w:rPr>
        <w:br/>
        <w:t>No deduction in the current previous year</w:t>
      </w:r>
      <w:r w:rsidRPr="00977E2F">
        <w:rPr>
          <w:rFonts w:ascii="Arial" w:eastAsia="Times New Roman" w:hAnsi="Arial" w:cs="Arial"/>
          <w:color w:val="333333"/>
          <w:sz w:val="24"/>
          <w:szCs w:val="24"/>
        </w:rPr>
        <w:br/>
        <w:t>If tax is deducted in any subsequent year, the expenditure will be deducted in the year in which TDS will be deposited by the assessee with the Government.</w:t>
      </w:r>
      <w:r w:rsidRPr="00977E2F">
        <w:rPr>
          <w:rFonts w:ascii="Arial" w:eastAsia="Times New Roman" w:hAnsi="Arial" w:cs="Arial"/>
          <w:color w:val="333333"/>
          <w:sz w:val="24"/>
          <w:szCs w:val="24"/>
        </w:rPr>
        <w:br/>
      </w:r>
      <w:r w:rsidRPr="00977E2F">
        <w:rPr>
          <w:rFonts w:ascii="Arial" w:eastAsia="Times New Roman" w:hAnsi="Arial" w:cs="Arial"/>
          <w:color w:val="333333"/>
          <w:sz w:val="24"/>
          <w:szCs w:val="24"/>
        </w:rPr>
        <w:br/>
      </w:r>
      <w:r w:rsidRPr="00977E2F">
        <w:rPr>
          <w:rFonts w:ascii="Arial" w:eastAsia="Times New Roman" w:hAnsi="Arial" w:cs="Arial"/>
          <w:b/>
          <w:bCs/>
          <w:color w:val="333333"/>
          <w:sz w:val="20"/>
        </w:rPr>
        <w:t>Tax is deductible (and is so deducted) during the last month (i.e., in the month of March) of the previous year but it is not deposited on or before the due date of submission of return of income under section 139(1)</w:t>
      </w:r>
      <w:r w:rsidRPr="00977E2F">
        <w:rPr>
          <w:rFonts w:ascii="Arial" w:eastAsia="Times New Roman" w:hAnsi="Arial" w:cs="Arial"/>
          <w:b/>
          <w:bCs/>
          <w:color w:val="333333"/>
          <w:sz w:val="20"/>
          <w:szCs w:val="20"/>
        </w:rPr>
        <w:br/>
      </w:r>
      <w:r w:rsidRPr="00977E2F">
        <w:rPr>
          <w:rFonts w:ascii="Arial" w:eastAsia="Times New Roman" w:hAnsi="Arial" w:cs="Arial"/>
          <w:color w:val="333333"/>
          <w:sz w:val="20"/>
          <w:szCs w:val="20"/>
        </w:rPr>
        <w:t>No deduction in the current previous year</w:t>
      </w:r>
      <w:r w:rsidRPr="00977E2F">
        <w:rPr>
          <w:rFonts w:ascii="Arial" w:eastAsia="Times New Roman" w:hAnsi="Arial" w:cs="Arial"/>
          <w:color w:val="333333"/>
          <w:sz w:val="20"/>
          <w:szCs w:val="20"/>
        </w:rPr>
        <w:br/>
        <w:t>If tax is deposited with the Government after the due date of submission of return of income, the expenditure will be deductible in that year in which tax will be deposited.</w:t>
      </w:r>
      <w:r w:rsidRPr="00977E2F">
        <w:rPr>
          <w:rFonts w:ascii="Arial" w:eastAsia="Times New Roman" w:hAnsi="Arial" w:cs="Arial"/>
          <w:color w:val="333333"/>
          <w:sz w:val="20"/>
          <w:szCs w:val="20"/>
        </w:rPr>
        <w:br/>
      </w:r>
      <w:r w:rsidRPr="00977E2F">
        <w:rPr>
          <w:rFonts w:ascii="Arial" w:eastAsia="Times New Roman" w:hAnsi="Arial" w:cs="Arial"/>
          <w:b/>
          <w:bCs/>
          <w:color w:val="333333"/>
          <w:sz w:val="20"/>
        </w:rPr>
        <w:t>Tax is deductible (and is so deducted) during any month but other than the last month (i.e.,any time before March 1) of the previous year but it is not deposited on or before March 31 of the previous year</w:t>
      </w:r>
      <w:r w:rsidRPr="00977E2F">
        <w:rPr>
          <w:rFonts w:ascii="Arial" w:eastAsia="Times New Roman" w:hAnsi="Arial" w:cs="Arial"/>
          <w:b/>
          <w:bCs/>
          <w:color w:val="333333"/>
          <w:sz w:val="20"/>
          <w:szCs w:val="20"/>
        </w:rPr>
        <w:br/>
      </w:r>
      <w:r w:rsidRPr="00977E2F">
        <w:rPr>
          <w:rFonts w:ascii="Arial" w:eastAsia="Times New Roman" w:hAnsi="Arial" w:cs="Arial"/>
          <w:color w:val="333333"/>
          <w:sz w:val="20"/>
          <w:szCs w:val="20"/>
        </w:rPr>
        <w:t>No deduction in the current previous year</w:t>
      </w:r>
      <w:r w:rsidRPr="00977E2F">
        <w:rPr>
          <w:rFonts w:ascii="Arial" w:eastAsia="Times New Roman" w:hAnsi="Arial" w:cs="Arial"/>
          <w:color w:val="333333"/>
          <w:sz w:val="20"/>
          <w:szCs w:val="20"/>
        </w:rPr>
        <w:br/>
        <w:t>If tax is deposited with the Government after the end of the current previous year, theexpenditure will be deductible in that year in which tax is deposited.</w:t>
      </w:r>
      <w:r w:rsidRPr="00977E2F">
        <w:rPr>
          <w:rFonts w:ascii="Arial" w:eastAsia="Times New Roman" w:hAnsi="Arial" w:cs="Arial"/>
          <w:color w:val="333333"/>
          <w:sz w:val="20"/>
          <w:szCs w:val="20"/>
        </w:rPr>
        <w:br/>
      </w:r>
      <w:r w:rsidRPr="00977E2F">
        <w:rPr>
          <w:rFonts w:ascii="Arial" w:eastAsia="Times New Roman" w:hAnsi="Arial" w:cs="Arial"/>
          <w:b/>
          <w:bCs/>
          <w:color w:val="333333"/>
          <w:sz w:val="31"/>
        </w:rPr>
        <w:t>3.</w:t>
      </w:r>
      <w:r w:rsidRPr="00977E2F">
        <w:rPr>
          <w:rFonts w:ascii="Arial" w:eastAsia="Times New Roman" w:hAnsi="Arial" w:cs="Arial"/>
          <w:color w:val="333333"/>
          <w:sz w:val="24"/>
          <w:szCs w:val="24"/>
        </w:rPr>
        <w:t xml:space="preserve"> From the assessment year 2008-09, audit report under section 44AB should be obtained on or before September 30 of the assessment year.</w:t>
      </w:r>
      <w:r w:rsidRPr="00977E2F">
        <w:rPr>
          <w:rFonts w:ascii="Arial" w:eastAsia="Times New Roman" w:hAnsi="Arial" w:cs="Arial"/>
          <w:color w:val="333333"/>
          <w:sz w:val="24"/>
          <w:szCs w:val="24"/>
        </w:rPr>
        <w:br/>
      </w:r>
      <w:r w:rsidRPr="00977E2F">
        <w:rPr>
          <w:rFonts w:ascii="Arial" w:eastAsia="Times New Roman" w:hAnsi="Arial" w:cs="Arial"/>
          <w:b/>
          <w:bCs/>
          <w:color w:val="333333"/>
          <w:sz w:val="24"/>
          <w:szCs w:val="24"/>
        </w:rPr>
        <w:t>4.</w:t>
      </w:r>
      <w:r w:rsidRPr="00977E2F">
        <w:rPr>
          <w:rFonts w:ascii="Arial" w:eastAsia="Times New Roman" w:hAnsi="Arial" w:cs="Arial"/>
          <w:color w:val="333333"/>
          <w:sz w:val="24"/>
          <w:szCs w:val="24"/>
        </w:rPr>
        <w:t xml:space="preserve"> An undertaking begins refining of mineral oil on or after April 1, 2009, deduction will be allowed only if the following conditions are satisfied—</w:t>
      </w:r>
      <w:r w:rsidRPr="00977E2F">
        <w:rPr>
          <w:rFonts w:ascii="Arial" w:eastAsia="Times New Roman" w:hAnsi="Arial" w:cs="Arial"/>
          <w:color w:val="333333"/>
          <w:sz w:val="24"/>
          <w:szCs w:val="24"/>
        </w:rPr>
        <w:br/>
      </w:r>
      <w:r w:rsidRPr="00977E2F">
        <w:rPr>
          <w:rFonts w:ascii="Arial" w:eastAsia="Times New Roman" w:hAnsi="Arial" w:cs="Arial"/>
          <w:b/>
          <w:bCs/>
          <w:color w:val="333333"/>
          <w:sz w:val="24"/>
          <w:szCs w:val="24"/>
        </w:rPr>
        <w:t>i)</w:t>
      </w:r>
      <w:r w:rsidRPr="00977E2F">
        <w:rPr>
          <w:rFonts w:ascii="Arial" w:eastAsia="Times New Roman" w:hAnsi="Arial" w:cs="Arial"/>
          <w:color w:val="333333"/>
          <w:sz w:val="24"/>
          <w:szCs w:val="24"/>
        </w:rPr>
        <w:t xml:space="preserve"> It is wholly owned by a public sector company or any other company in which a public sector company or companies hold at least 49 per cent of the voting rights.</w:t>
      </w:r>
      <w:r w:rsidRPr="00977E2F">
        <w:rPr>
          <w:rFonts w:ascii="Arial" w:eastAsia="Times New Roman" w:hAnsi="Arial" w:cs="Arial"/>
          <w:color w:val="333333"/>
          <w:sz w:val="24"/>
          <w:szCs w:val="24"/>
        </w:rPr>
        <w:br/>
      </w:r>
      <w:r w:rsidRPr="00977E2F">
        <w:rPr>
          <w:rFonts w:ascii="Arial" w:eastAsia="Times New Roman" w:hAnsi="Arial" w:cs="Arial"/>
          <w:b/>
          <w:bCs/>
          <w:color w:val="333333"/>
          <w:sz w:val="24"/>
          <w:szCs w:val="24"/>
        </w:rPr>
        <w:t>ii)</w:t>
      </w:r>
      <w:r w:rsidRPr="00977E2F">
        <w:rPr>
          <w:rFonts w:ascii="Arial" w:eastAsia="Times New Roman" w:hAnsi="Arial" w:cs="Arial"/>
          <w:color w:val="333333"/>
          <w:sz w:val="24"/>
          <w:szCs w:val="24"/>
        </w:rPr>
        <w:t xml:space="preserve"> It is notified by the Central Government before June 1, 2008.</w:t>
      </w:r>
    </w:p>
    <w:p w:rsidR="00977E2F" w:rsidRPr="00977E2F" w:rsidRDefault="00977E2F" w:rsidP="00977E2F">
      <w:pPr>
        <w:spacing w:before="100" w:beforeAutospacing="1" w:after="100" w:afterAutospacing="1" w:line="288" w:lineRule="atLeast"/>
        <w:rPr>
          <w:rFonts w:ascii="Arial" w:eastAsia="Times New Roman" w:hAnsi="Arial" w:cs="Arial"/>
          <w:color w:val="333333"/>
          <w:sz w:val="20"/>
          <w:szCs w:val="20"/>
        </w:rPr>
      </w:pPr>
      <w:r w:rsidRPr="00977E2F">
        <w:rPr>
          <w:rFonts w:ascii="Arial" w:eastAsia="Times New Roman" w:hAnsi="Arial" w:cs="Arial"/>
          <w:b/>
          <w:bCs/>
          <w:color w:val="333333"/>
          <w:sz w:val="20"/>
        </w:rPr>
        <w:t xml:space="preserve">iii) </w:t>
      </w:r>
      <w:r w:rsidRPr="00977E2F">
        <w:rPr>
          <w:rFonts w:ascii="Arial" w:eastAsia="Times New Roman" w:hAnsi="Arial" w:cs="Arial"/>
          <w:color w:val="333333"/>
          <w:sz w:val="20"/>
          <w:szCs w:val="20"/>
        </w:rPr>
        <w:t>It begins refining during April 1, 2009 and March 31, 2012.</w:t>
      </w:r>
      <w:r w:rsidRPr="00977E2F">
        <w:rPr>
          <w:rFonts w:ascii="Arial" w:eastAsia="Times New Roman" w:hAnsi="Arial" w:cs="Arial"/>
          <w:color w:val="333333"/>
          <w:sz w:val="20"/>
          <w:szCs w:val="20"/>
        </w:rPr>
        <w:br/>
      </w:r>
      <w:r w:rsidRPr="00977E2F">
        <w:rPr>
          <w:rFonts w:ascii="Arial" w:eastAsia="Times New Roman" w:hAnsi="Arial" w:cs="Arial"/>
          <w:color w:val="333333"/>
          <w:sz w:val="20"/>
          <w:szCs w:val="20"/>
        </w:rPr>
        <w:br/>
      </w:r>
      <w:r w:rsidRPr="00977E2F">
        <w:rPr>
          <w:rFonts w:ascii="Arial" w:eastAsia="Times New Roman" w:hAnsi="Arial" w:cs="Arial"/>
          <w:b/>
          <w:bCs/>
          <w:color w:val="333333"/>
          <w:sz w:val="31"/>
        </w:rPr>
        <w:t>5.</w:t>
      </w:r>
      <w:r w:rsidRPr="00977E2F">
        <w:rPr>
          <w:rFonts w:ascii="Arial" w:eastAsia="Times New Roman" w:hAnsi="Arial" w:cs="Arial"/>
          <w:color w:val="333333"/>
          <w:sz w:val="24"/>
          <w:szCs w:val="24"/>
        </w:rPr>
        <w:t xml:space="preserve"> With effect from the assessment year 2001-02, the amount of deferred tax and provision if debited to profit and loss account, shall be added back to the net profit to compute book profit as also the amount of deferred tax, which is credited to the profit and loss account, shall be deducted from the net profit to find out book profit.</w:t>
      </w:r>
      <w:r w:rsidRPr="00977E2F">
        <w:rPr>
          <w:rFonts w:ascii="Arial" w:eastAsia="Times New Roman" w:hAnsi="Arial" w:cs="Arial"/>
          <w:color w:val="333333"/>
          <w:sz w:val="24"/>
          <w:szCs w:val="24"/>
        </w:rPr>
        <w:br/>
      </w:r>
      <w:r w:rsidRPr="00977E2F">
        <w:rPr>
          <w:rFonts w:ascii="Arial" w:eastAsia="Times New Roman" w:hAnsi="Arial" w:cs="Arial"/>
          <w:b/>
          <w:bCs/>
          <w:color w:val="333333"/>
          <w:sz w:val="31"/>
        </w:rPr>
        <w:t>6.</w:t>
      </w:r>
      <w:r w:rsidRPr="00977E2F">
        <w:rPr>
          <w:rFonts w:ascii="Arial" w:eastAsia="Times New Roman" w:hAnsi="Arial" w:cs="Arial"/>
          <w:color w:val="333333"/>
          <w:sz w:val="24"/>
          <w:szCs w:val="24"/>
        </w:rPr>
        <w:t xml:space="preserve">Notice for scrutiny assessment shall be served on the assessee within a period of 6 </w:t>
      </w:r>
      <w:r w:rsidRPr="00977E2F">
        <w:rPr>
          <w:rFonts w:ascii="Arial" w:eastAsia="Times New Roman" w:hAnsi="Arial" w:cs="Arial"/>
          <w:color w:val="333333"/>
          <w:sz w:val="24"/>
          <w:szCs w:val="24"/>
        </w:rPr>
        <w:lastRenderedPageBreak/>
        <w:t>months from the end of the financial year in which return is furnished. This amendment is applicable from April 1, 2008.</w:t>
      </w:r>
      <w:r w:rsidRPr="00977E2F">
        <w:rPr>
          <w:rFonts w:ascii="Arial" w:eastAsia="Times New Roman" w:hAnsi="Arial" w:cs="Arial"/>
          <w:color w:val="333333"/>
          <w:sz w:val="24"/>
          <w:szCs w:val="24"/>
        </w:rPr>
        <w:br/>
      </w:r>
      <w:r w:rsidRPr="00977E2F">
        <w:rPr>
          <w:rFonts w:ascii="Arial" w:eastAsia="Times New Roman" w:hAnsi="Arial" w:cs="Arial"/>
          <w:b/>
          <w:bCs/>
          <w:color w:val="333333"/>
          <w:sz w:val="31"/>
        </w:rPr>
        <w:t>7.</w:t>
      </w:r>
      <w:r w:rsidRPr="00977E2F">
        <w:rPr>
          <w:rFonts w:ascii="Arial" w:eastAsia="Times New Roman" w:hAnsi="Arial" w:cs="Arial"/>
          <w:color w:val="333333"/>
          <w:sz w:val="24"/>
          <w:szCs w:val="24"/>
        </w:rPr>
        <w:t xml:space="preserve"> With effect from June 1, 2008, an association of persons/body of individuals, whether incorporated or not, shall be liable to deduct tax at source under section 194C(1) if the books of account of the association of persons/body of individuals are required to be audited under section 44AB(a)/(b) during the immediately preceding financial year.</w:t>
      </w:r>
      <w:r w:rsidRPr="00977E2F">
        <w:rPr>
          <w:rFonts w:ascii="Arial" w:eastAsia="Times New Roman" w:hAnsi="Arial" w:cs="Arial"/>
          <w:color w:val="333333"/>
          <w:sz w:val="24"/>
          <w:szCs w:val="24"/>
        </w:rPr>
        <w:br/>
      </w:r>
      <w:r w:rsidRPr="00977E2F">
        <w:rPr>
          <w:rFonts w:ascii="Arial" w:eastAsia="Times New Roman" w:hAnsi="Arial" w:cs="Arial"/>
          <w:b/>
          <w:bCs/>
          <w:color w:val="333333"/>
          <w:sz w:val="31"/>
        </w:rPr>
        <w:t>8.</w:t>
      </w:r>
      <w:r w:rsidRPr="00977E2F">
        <w:rPr>
          <w:rFonts w:ascii="Arial" w:eastAsia="Times New Roman" w:hAnsi="Arial" w:cs="Arial"/>
          <w:color w:val="333333"/>
          <w:sz w:val="24"/>
          <w:szCs w:val="24"/>
        </w:rPr>
        <w:t>In an appeal against the order of assessment, the Commissioner (Appeals) can (with effect from April 1,2008) confirm, reduce, enhance or annul the assessment after taking into consideration the following—</w:t>
      </w:r>
      <w:r w:rsidRPr="00977E2F">
        <w:rPr>
          <w:rFonts w:ascii="Arial" w:eastAsia="Times New Roman" w:hAnsi="Arial" w:cs="Arial"/>
          <w:color w:val="333333"/>
          <w:sz w:val="24"/>
          <w:szCs w:val="24"/>
        </w:rPr>
        <w:br/>
      </w:r>
      <w:r w:rsidRPr="00977E2F">
        <w:rPr>
          <w:rFonts w:ascii="Arial" w:eastAsia="Times New Roman" w:hAnsi="Arial" w:cs="Arial"/>
          <w:b/>
          <w:bCs/>
          <w:color w:val="333333"/>
          <w:sz w:val="24"/>
          <w:szCs w:val="24"/>
        </w:rPr>
        <w:t>i)</w:t>
      </w:r>
      <w:r w:rsidRPr="00977E2F">
        <w:rPr>
          <w:rFonts w:ascii="Arial" w:eastAsia="Times New Roman" w:hAnsi="Arial" w:cs="Arial"/>
          <w:color w:val="333333"/>
          <w:sz w:val="24"/>
          <w:szCs w:val="24"/>
        </w:rPr>
        <w:t xml:space="preserve"> The material and other information produced by the assessee before the Settlement Commission.</w:t>
      </w:r>
      <w:r w:rsidRPr="00977E2F">
        <w:rPr>
          <w:rFonts w:ascii="Arial" w:eastAsia="Times New Roman" w:hAnsi="Arial" w:cs="Arial"/>
          <w:color w:val="333333"/>
          <w:sz w:val="24"/>
          <w:szCs w:val="24"/>
        </w:rPr>
        <w:br/>
      </w:r>
      <w:r w:rsidRPr="00977E2F">
        <w:rPr>
          <w:rFonts w:ascii="Arial" w:eastAsia="Times New Roman" w:hAnsi="Arial" w:cs="Arial"/>
          <w:b/>
          <w:bCs/>
          <w:color w:val="333333"/>
          <w:sz w:val="24"/>
          <w:szCs w:val="24"/>
        </w:rPr>
        <w:t>ii)</w:t>
      </w:r>
      <w:r w:rsidRPr="00977E2F">
        <w:rPr>
          <w:rFonts w:ascii="Arial" w:eastAsia="Times New Roman" w:hAnsi="Arial" w:cs="Arial"/>
          <w:color w:val="333333"/>
          <w:sz w:val="24"/>
          <w:szCs w:val="24"/>
        </w:rPr>
        <w:t xml:space="preserve"> The results of the inquiry held by the Settlement Commission.</w:t>
      </w:r>
      <w:r w:rsidRPr="00977E2F">
        <w:rPr>
          <w:rFonts w:ascii="Arial" w:eastAsia="Times New Roman" w:hAnsi="Arial" w:cs="Arial"/>
          <w:color w:val="333333"/>
          <w:sz w:val="24"/>
          <w:szCs w:val="24"/>
        </w:rPr>
        <w:br/>
      </w:r>
      <w:r w:rsidRPr="00977E2F">
        <w:rPr>
          <w:rFonts w:ascii="Arial" w:eastAsia="Times New Roman" w:hAnsi="Arial" w:cs="Arial"/>
          <w:b/>
          <w:bCs/>
          <w:color w:val="333333"/>
          <w:sz w:val="24"/>
          <w:szCs w:val="24"/>
        </w:rPr>
        <w:t>iii)</w:t>
      </w:r>
      <w:r w:rsidRPr="00977E2F">
        <w:rPr>
          <w:rFonts w:ascii="Arial" w:eastAsia="Times New Roman" w:hAnsi="Arial" w:cs="Arial"/>
          <w:color w:val="333333"/>
          <w:sz w:val="24"/>
          <w:szCs w:val="24"/>
        </w:rPr>
        <w:t xml:space="preserve"> The evidence recorded by the Settlement Commission in the course of proceedings before it.</w:t>
      </w:r>
      <w:r w:rsidRPr="00977E2F">
        <w:rPr>
          <w:rFonts w:ascii="Arial" w:eastAsia="Times New Roman" w:hAnsi="Arial" w:cs="Arial"/>
          <w:color w:val="333333"/>
          <w:sz w:val="24"/>
          <w:szCs w:val="24"/>
        </w:rPr>
        <w:br/>
        <w:t>Such other material as may be brought on his record.</w:t>
      </w:r>
      <w:r w:rsidRPr="00977E2F">
        <w:rPr>
          <w:rFonts w:ascii="Arial" w:eastAsia="Times New Roman" w:hAnsi="Arial" w:cs="Arial"/>
          <w:color w:val="333333"/>
          <w:sz w:val="24"/>
          <w:szCs w:val="24"/>
        </w:rPr>
        <w:br/>
      </w:r>
      <w:r w:rsidRPr="00977E2F">
        <w:rPr>
          <w:rFonts w:ascii="Arial" w:eastAsia="Times New Roman" w:hAnsi="Arial" w:cs="Arial"/>
          <w:b/>
          <w:bCs/>
          <w:color w:val="333333"/>
          <w:sz w:val="31"/>
        </w:rPr>
        <w:t>9.</w:t>
      </w:r>
      <w:r w:rsidRPr="00977E2F">
        <w:rPr>
          <w:rFonts w:ascii="Arial" w:eastAsia="Times New Roman" w:hAnsi="Arial" w:cs="Arial"/>
          <w:color w:val="333333"/>
          <w:sz w:val="24"/>
          <w:szCs w:val="24"/>
        </w:rPr>
        <w:t xml:space="preserve"> Section 292BB inserted with effect from April 1, 2008 provides a deeming clause that notice was duly served on an assessee who appeared in any proceeding or co-operated in any inquiry related to an assessment or reassessment, and such an assessee shall be precluded from taking any objection in any proceeding or inquiry under the Act that the notice was—</w:t>
      </w:r>
      <w:r w:rsidRPr="00977E2F">
        <w:rPr>
          <w:rFonts w:ascii="Arial" w:eastAsia="Times New Roman" w:hAnsi="Arial" w:cs="Arial"/>
          <w:color w:val="333333"/>
          <w:sz w:val="24"/>
          <w:szCs w:val="24"/>
        </w:rPr>
        <w:br/>
        <w:t>(a) not served upon him; or</w:t>
      </w:r>
      <w:r w:rsidRPr="00977E2F">
        <w:rPr>
          <w:rFonts w:ascii="Arial" w:eastAsia="Times New Roman" w:hAnsi="Arial" w:cs="Arial"/>
          <w:color w:val="333333"/>
          <w:sz w:val="24"/>
          <w:szCs w:val="24"/>
        </w:rPr>
        <w:br/>
        <w:t>(b) not served upon him in time; or</w:t>
      </w:r>
      <w:r w:rsidRPr="00977E2F">
        <w:rPr>
          <w:rFonts w:ascii="Arial" w:eastAsia="Times New Roman" w:hAnsi="Arial" w:cs="Arial"/>
          <w:color w:val="333333"/>
          <w:sz w:val="24"/>
          <w:szCs w:val="24"/>
        </w:rPr>
        <w:br/>
        <w:t>(c) served upon him in an improper manner.</w:t>
      </w:r>
      <w:r w:rsidRPr="00977E2F">
        <w:rPr>
          <w:rFonts w:ascii="Arial" w:eastAsia="Times New Roman" w:hAnsi="Arial" w:cs="Arial"/>
          <w:color w:val="333333"/>
          <w:sz w:val="24"/>
          <w:szCs w:val="24"/>
        </w:rPr>
        <w:br/>
      </w:r>
      <w:r w:rsidRPr="00977E2F">
        <w:rPr>
          <w:rFonts w:ascii="Arial" w:eastAsia="Times New Roman" w:hAnsi="Arial" w:cs="Arial"/>
          <w:i/>
          <w:iCs/>
          <w:color w:val="333333"/>
          <w:sz w:val="24"/>
          <w:szCs w:val="24"/>
        </w:rPr>
        <w:t>However, the provisions of section 292BB shall not be applicable where the assessee has raised the aforesaid objections before the completion of such assessment or reassessment.</w:t>
      </w:r>
    </w:p>
    <w:p w:rsidR="00FE74EC" w:rsidRDefault="00977E2F" w:rsidP="00977E2F">
      <w:r w:rsidRPr="00977E2F">
        <w:rPr>
          <w:rFonts w:ascii="Arial" w:eastAsia="Times New Roman" w:hAnsi="Arial" w:cs="Arial"/>
          <w:color w:val="333333"/>
          <w:sz w:val="20"/>
          <w:szCs w:val="20"/>
        </w:rPr>
        <w:br w:type="textWrapping" w:clear="all"/>
      </w:r>
    </w:p>
    <w:sectPr w:rsidR="00FE74EC" w:rsidSect="00FE74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977E2F"/>
    <w:rsid w:val="000020F7"/>
    <w:rsid w:val="00002D2D"/>
    <w:rsid w:val="000032E1"/>
    <w:rsid w:val="00007AC1"/>
    <w:rsid w:val="00010FE5"/>
    <w:rsid w:val="0001170C"/>
    <w:rsid w:val="00021625"/>
    <w:rsid w:val="0002215E"/>
    <w:rsid w:val="00023D67"/>
    <w:rsid w:val="0003028B"/>
    <w:rsid w:val="0003180D"/>
    <w:rsid w:val="000348D1"/>
    <w:rsid w:val="00034A4D"/>
    <w:rsid w:val="0003546B"/>
    <w:rsid w:val="00037534"/>
    <w:rsid w:val="00040E68"/>
    <w:rsid w:val="00040FD7"/>
    <w:rsid w:val="000434A5"/>
    <w:rsid w:val="00052AA5"/>
    <w:rsid w:val="00053566"/>
    <w:rsid w:val="00057D13"/>
    <w:rsid w:val="000619CC"/>
    <w:rsid w:val="00061F94"/>
    <w:rsid w:val="00061FEA"/>
    <w:rsid w:val="00062A13"/>
    <w:rsid w:val="00064F92"/>
    <w:rsid w:val="00065720"/>
    <w:rsid w:val="00066BE1"/>
    <w:rsid w:val="00067D4F"/>
    <w:rsid w:val="00067D71"/>
    <w:rsid w:val="000735F6"/>
    <w:rsid w:val="00073ED4"/>
    <w:rsid w:val="00075EDF"/>
    <w:rsid w:val="00082A1D"/>
    <w:rsid w:val="000843C5"/>
    <w:rsid w:val="00086E28"/>
    <w:rsid w:val="00091758"/>
    <w:rsid w:val="0009480A"/>
    <w:rsid w:val="00097349"/>
    <w:rsid w:val="000A2E18"/>
    <w:rsid w:val="000A4130"/>
    <w:rsid w:val="000A46F6"/>
    <w:rsid w:val="000B3C1D"/>
    <w:rsid w:val="000B583D"/>
    <w:rsid w:val="000B5C4F"/>
    <w:rsid w:val="000C1DB3"/>
    <w:rsid w:val="000C39B2"/>
    <w:rsid w:val="000C41EF"/>
    <w:rsid w:val="000C544D"/>
    <w:rsid w:val="000C7E9E"/>
    <w:rsid w:val="000D00D4"/>
    <w:rsid w:val="000D1A68"/>
    <w:rsid w:val="000D2446"/>
    <w:rsid w:val="000D303D"/>
    <w:rsid w:val="000D3A12"/>
    <w:rsid w:val="000E2181"/>
    <w:rsid w:val="000E54FA"/>
    <w:rsid w:val="000F4ED7"/>
    <w:rsid w:val="0010014D"/>
    <w:rsid w:val="0010110F"/>
    <w:rsid w:val="00102E26"/>
    <w:rsid w:val="00105EDB"/>
    <w:rsid w:val="00107F15"/>
    <w:rsid w:val="001109B8"/>
    <w:rsid w:val="00113D93"/>
    <w:rsid w:val="00113E8B"/>
    <w:rsid w:val="00116F7E"/>
    <w:rsid w:val="00121D2D"/>
    <w:rsid w:val="00121DA7"/>
    <w:rsid w:val="00124B49"/>
    <w:rsid w:val="001265E2"/>
    <w:rsid w:val="00130B1B"/>
    <w:rsid w:val="0014233F"/>
    <w:rsid w:val="00142411"/>
    <w:rsid w:val="00145EA6"/>
    <w:rsid w:val="00147795"/>
    <w:rsid w:val="001515F6"/>
    <w:rsid w:val="001525A5"/>
    <w:rsid w:val="00152BF3"/>
    <w:rsid w:val="00156C5F"/>
    <w:rsid w:val="001606C3"/>
    <w:rsid w:val="00163FB2"/>
    <w:rsid w:val="00167014"/>
    <w:rsid w:val="001672B2"/>
    <w:rsid w:val="00167E53"/>
    <w:rsid w:val="00167F5E"/>
    <w:rsid w:val="00170E7E"/>
    <w:rsid w:val="001724CE"/>
    <w:rsid w:val="0017297D"/>
    <w:rsid w:val="001762FF"/>
    <w:rsid w:val="00182559"/>
    <w:rsid w:val="00183FD9"/>
    <w:rsid w:val="001866FA"/>
    <w:rsid w:val="00190CBE"/>
    <w:rsid w:val="00190FC0"/>
    <w:rsid w:val="00191BF3"/>
    <w:rsid w:val="00194584"/>
    <w:rsid w:val="001A2597"/>
    <w:rsid w:val="001A2A5D"/>
    <w:rsid w:val="001A38FB"/>
    <w:rsid w:val="001B0C09"/>
    <w:rsid w:val="001B37D3"/>
    <w:rsid w:val="001B4782"/>
    <w:rsid w:val="001B4EA0"/>
    <w:rsid w:val="001C1E57"/>
    <w:rsid w:val="001C4917"/>
    <w:rsid w:val="001C4E0B"/>
    <w:rsid w:val="001C56EB"/>
    <w:rsid w:val="001C670A"/>
    <w:rsid w:val="001C7771"/>
    <w:rsid w:val="001D00F2"/>
    <w:rsid w:val="001D7BD4"/>
    <w:rsid w:val="001E18C8"/>
    <w:rsid w:val="001E48F2"/>
    <w:rsid w:val="001E4C6F"/>
    <w:rsid w:val="001E7B23"/>
    <w:rsid w:val="001F632D"/>
    <w:rsid w:val="001F642A"/>
    <w:rsid w:val="002005FC"/>
    <w:rsid w:val="00202779"/>
    <w:rsid w:val="0020433C"/>
    <w:rsid w:val="00204F17"/>
    <w:rsid w:val="002052FA"/>
    <w:rsid w:val="00220537"/>
    <w:rsid w:val="00225918"/>
    <w:rsid w:val="0022642F"/>
    <w:rsid w:val="00230DFC"/>
    <w:rsid w:val="002317A4"/>
    <w:rsid w:val="0023328E"/>
    <w:rsid w:val="00235005"/>
    <w:rsid w:val="00237112"/>
    <w:rsid w:val="002418DB"/>
    <w:rsid w:val="00246311"/>
    <w:rsid w:val="00247074"/>
    <w:rsid w:val="00251488"/>
    <w:rsid w:val="0026462F"/>
    <w:rsid w:val="00270C07"/>
    <w:rsid w:val="00270CEA"/>
    <w:rsid w:val="002870AB"/>
    <w:rsid w:val="002A183E"/>
    <w:rsid w:val="002B4657"/>
    <w:rsid w:val="002B4ABD"/>
    <w:rsid w:val="002B6BC0"/>
    <w:rsid w:val="002C1C07"/>
    <w:rsid w:val="002C2CE6"/>
    <w:rsid w:val="002C6936"/>
    <w:rsid w:val="002D09D6"/>
    <w:rsid w:val="002D6672"/>
    <w:rsid w:val="002E0AFF"/>
    <w:rsid w:val="002E153E"/>
    <w:rsid w:val="002E55DA"/>
    <w:rsid w:val="002E7881"/>
    <w:rsid w:val="002F0AFB"/>
    <w:rsid w:val="002F4178"/>
    <w:rsid w:val="002F6494"/>
    <w:rsid w:val="002F6A8E"/>
    <w:rsid w:val="002F6C07"/>
    <w:rsid w:val="003008BA"/>
    <w:rsid w:val="00301360"/>
    <w:rsid w:val="003028C4"/>
    <w:rsid w:val="00302CE3"/>
    <w:rsid w:val="003316C4"/>
    <w:rsid w:val="00332619"/>
    <w:rsid w:val="003348D6"/>
    <w:rsid w:val="00335242"/>
    <w:rsid w:val="0034327C"/>
    <w:rsid w:val="00346FF7"/>
    <w:rsid w:val="0034759F"/>
    <w:rsid w:val="0034784B"/>
    <w:rsid w:val="00352216"/>
    <w:rsid w:val="003525E3"/>
    <w:rsid w:val="00353FEC"/>
    <w:rsid w:val="00356C24"/>
    <w:rsid w:val="00362D2F"/>
    <w:rsid w:val="00366166"/>
    <w:rsid w:val="003670F3"/>
    <w:rsid w:val="00391831"/>
    <w:rsid w:val="00391ABC"/>
    <w:rsid w:val="00393C8D"/>
    <w:rsid w:val="003952EC"/>
    <w:rsid w:val="003A0FCA"/>
    <w:rsid w:val="003A1F16"/>
    <w:rsid w:val="003A3B51"/>
    <w:rsid w:val="003A6420"/>
    <w:rsid w:val="003A6CFC"/>
    <w:rsid w:val="003B2C51"/>
    <w:rsid w:val="003B36B1"/>
    <w:rsid w:val="003B3989"/>
    <w:rsid w:val="003B3C6A"/>
    <w:rsid w:val="003B4069"/>
    <w:rsid w:val="003B71C4"/>
    <w:rsid w:val="003C068B"/>
    <w:rsid w:val="003C0CD4"/>
    <w:rsid w:val="003C166E"/>
    <w:rsid w:val="003C3F98"/>
    <w:rsid w:val="003C7F56"/>
    <w:rsid w:val="003D055B"/>
    <w:rsid w:val="003D07DE"/>
    <w:rsid w:val="003D1733"/>
    <w:rsid w:val="003D6880"/>
    <w:rsid w:val="003E2075"/>
    <w:rsid w:val="003E3392"/>
    <w:rsid w:val="003E723C"/>
    <w:rsid w:val="003E739B"/>
    <w:rsid w:val="003F446E"/>
    <w:rsid w:val="003F7C03"/>
    <w:rsid w:val="00400AA1"/>
    <w:rsid w:val="00401422"/>
    <w:rsid w:val="004023C5"/>
    <w:rsid w:val="0040304E"/>
    <w:rsid w:val="00403393"/>
    <w:rsid w:val="0040484F"/>
    <w:rsid w:val="0041031C"/>
    <w:rsid w:val="00415012"/>
    <w:rsid w:val="00416DA8"/>
    <w:rsid w:val="004171CA"/>
    <w:rsid w:val="0042596E"/>
    <w:rsid w:val="00427FDB"/>
    <w:rsid w:val="00434B35"/>
    <w:rsid w:val="004406EA"/>
    <w:rsid w:val="00441819"/>
    <w:rsid w:val="00441F9D"/>
    <w:rsid w:val="00442266"/>
    <w:rsid w:val="00444511"/>
    <w:rsid w:val="00444AF2"/>
    <w:rsid w:val="00447A42"/>
    <w:rsid w:val="00454C72"/>
    <w:rsid w:val="00465042"/>
    <w:rsid w:val="00465D4D"/>
    <w:rsid w:val="00466147"/>
    <w:rsid w:val="004665F9"/>
    <w:rsid w:val="004670E2"/>
    <w:rsid w:val="00471A66"/>
    <w:rsid w:val="0047642D"/>
    <w:rsid w:val="004764AD"/>
    <w:rsid w:val="00477CBA"/>
    <w:rsid w:val="004830EB"/>
    <w:rsid w:val="004855B0"/>
    <w:rsid w:val="00490B76"/>
    <w:rsid w:val="00491272"/>
    <w:rsid w:val="00491381"/>
    <w:rsid w:val="004A33A8"/>
    <w:rsid w:val="004A4700"/>
    <w:rsid w:val="004A6FA2"/>
    <w:rsid w:val="004A7CAC"/>
    <w:rsid w:val="004B34A7"/>
    <w:rsid w:val="004B7EF5"/>
    <w:rsid w:val="004C2A4E"/>
    <w:rsid w:val="004C57D8"/>
    <w:rsid w:val="004C75F3"/>
    <w:rsid w:val="004D0E7E"/>
    <w:rsid w:val="004D0FAE"/>
    <w:rsid w:val="004D252A"/>
    <w:rsid w:val="004D5FB2"/>
    <w:rsid w:val="004E424A"/>
    <w:rsid w:val="004F2FB6"/>
    <w:rsid w:val="004F32F0"/>
    <w:rsid w:val="00500DC3"/>
    <w:rsid w:val="00510663"/>
    <w:rsid w:val="0052030D"/>
    <w:rsid w:val="005225EA"/>
    <w:rsid w:val="005279FC"/>
    <w:rsid w:val="005324D4"/>
    <w:rsid w:val="00540A6F"/>
    <w:rsid w:val="005427B6"/>
    <w:rsid w:val="00542CF2"/>
    <w:rsid w:val="00544D28"/>
    <w:rsid w:val="00551080"/>
    <w:rsid w:val="005513E9"/>
    <w:rsid w:val="005523B9"/>
    <w:rsid w:val="00557A61"/>
    <w:rsid w:val="005617EF"/>
    <w:rsid w:val="00561BF2"/>
    <w:rsid w:val="00564172"/>
    <w:rsid w:val="00564D25"/>
    <w:rsid w:val="005706D4"/>
    <w:rsid w:val="005710DE"/>
    <w:rsid w:val="005750C4"/>
    <w:rsid w:val="00576112"/>
    <w:rsid w:val="005767A9"/>
    <w:rsid w:val="00577266"/>
    <w:rsid w:val="00582CFF"/>
    <w:rsid w:val="00583C85"/>
    <w:rsid w:val="00586D44"/>
    <w:rsid w:val="00596B26"/>
    <w:rsid w:val="005A663F"/>
    <w:rsid w:val="005B18D9"/>
    <w:rsid w:val="005B23DA"/>
    <w:rsid w:val="005B27C4"/>
    <w:rsid w:val="005B373A"/>
    <w:rsid w:val="005B5C97"/>
    <w:rsid w:val="005B60CD"/>
    <w:rsid w:val="005C03F2"/>
    <w:rsid w:val="005C0892"/>
    <w:rsid w:val="005C365F"/>
    <w:rsid w:val="005C596F"/>
    <w:rsid w:val="005C628D"/>
    <w:rsid w:val="005C782C"/>
    <w:rsid w:val="005D1E00"/>
    <w:rsid w:val="005D2DE9"/>
    <w:rsid w:val="005D40E7"/>
    <w:rsid w:val="005D6A8A"/>
    <w:rsid w:val="005D6C16"/>
    <w:rsid w:val="005E1C74"/>
    <w:rsid w:val="005F2D3F"/>
    <w:rsid w:val="005F2EFE"/>
    <w:rsid w:val="005F4AFC"/>
    <w:rsid w:val="005F6298"/>
    <w:rsid w:val="005F7B85"/>
    <w:rsid w:val="00601F74"/>
    <w:rsid w:val="00605AF6"/>
    <w:rsid w:val="006060AC"/>
    <w:rsid w:val="00611A99"/>
    <w:rsid w:val="00613708"/>
    <w:rsid w:val="00616484"/>
    <w:rsid w:val="00626736"/>
    <w:rsid w:val="00626DF9"/>
    <w:rsid w:val="0062792A"/>
    <w:rsid w:val="0063542A"/>
    <w:rsid w:val="00643063"/>
    <w:rsid w:val="00643BDB"/>
    <w:rsid w:val="00646C3D"/>
    <w:rsid w:val="00652546"/>
    <w:rsid w:val="00653CE8"/>
    <w:rsid w:val="0066436F"/>
    <w:rsid w:val="0066444A"/>
    <w:rsid w:val="006646DA"/>
    <w:rsid w:val="006727D0"/>
    <w:rsid w:val="00682C1D"/>
    <w:rsid w:val="00684922"/>
    <w:rsid w:val="00684C97"/>
    <w:rsid w:val="00684EBB"/>
    <w:rsid w:val="00687475"/>
    <w:rsid w:val="00691BD3"/>
    <w:rsid w:val="00696502"/>
    <w:rsid w:val="00696EC9"/>
    <w:rsid w:val="006A0D14"/>
    <w:rsid w:val="006A2129"/>
    <w:rsid w:val="006B6462"/>
    <w:rsid w:val="006C09ED"/>
    <w:rsid w:val="006C0DB3"/>
    <w:rsid w:val="006C2930"/>
    <w:rsid w:val="006C7700"/>
    <w:rsid w:val="006D068A"/>
    <w:rsid w:val="006D2140"/>
    <w:rsid w:val="006D4C69"/>
    <w:rsid w:val="006D5B19"/>
    <w:rsid w:val="006E17C1"/>
    <w:rsid w:val="006E1F85"/>
    <w:rsid w:val="006E40A4"/>
    <w:rsid w:val="006E47B2"/>
    <w:rsid w:val="006E4D40"/>
    <w:rsid w:val="006E4FB4"/>
    <w:rsid w:val="006E6876"/>
    <w:rsid w:val="006E7E6B"/>
    <w:rsid w:val="006F2C06"/>
    <w:rsid w:val="006F4B6A"/>
    <w:rsid w:val="006F6E57"/>
    <w:rsid w:val="006F73A5"/>
    <w:rsid w:val="007000E3"/>
    <w:rsid w:val="00712FAA"/>
    <w:rsid w:val="0071635D"/>
    <w:rsid w:val="00716D06"/>
    <w:rsid w:val="0071747F"/>
    <w:rsid w:val="00717C31"/>
    <w:rsid w:val="00726240"/>
    <w:rsid w:val="00726A1B"/>
    <w:rsid w:val="00726B2B"/>
    <w:rsid w:val="007270D1"/>
    <w:rsid w:val="00730FE3"/>
    <w:rsid w:val="00737F30"/>
    <w:rsid w:val="00741287"/>
    <w:rsid w:val="00743FD8"/>
    <w:rsid w:val="007471BA"/>
    <w:rsid w:val="007516D4"/>
    <w:rsid w:val="00753A51"/>
    <w:rsid w:val="00754658"/>
    <w:rsid w:val="00755049"/>
    <w:rsid w:val="00755DFE"/>
    <w:rsid w:val="00762FEF"/>
    <w:rsid w:val="00772685"/>
    <w:rsid w:val="00777F24"/>
    <w:rsid w:val="007817BE"/>
    <w:rsid w:val="0078262A"/>
    <w:rsid w:val="007920D2"/>
    <w:rsid w:val="0079230F"/>
    <w:rsid w:val="00792D9A"/>
    <w:rsid w:val="00794A38"/>
    <w:rsid w:val="00794A62"/>
    <w:rsid w:val="007953C7"/>
    <w:rsid w:val="00796563"/>
    <w:rsid w:val="007A0789"/>
    <w:rsid w:val="007A292B"/>
    <w:rsid w:val="007A2AC9"/>
    <w:rsid w:val="007A352C"/>
    <w:rsid w:val="007A5AE5"/>
    <w:rsid w:val="007B3E65"/>
    <w:rsid w:val="007B4AC3"/>
    <w:rsid w:val="007C2C5B"/>
    <w:rsid w:val="007C60B9"/>
    <w:rsid w:val="007D0F90"/>
    <w:rsid w:val="007E352C"/>
    <w:rsid w:val="00803236"/>
    <w:rsid w:val="008035A5"/>
    <w:rsid w:val="00806063"/>
    <w:rsid w:val="008071A1"/>
    <w:rsid w:val="0081331F"/>
    <w:rsid w:val="00814923"/>
    <w:rsid w:val="008179D0"/>
    <w:rsid w:val="00823293"/>
    <w:rsid w:val="0082515E"/>
    <w:rsid w:val="00830AE7"/>
    <w:rsid w:val="00830F75"/>
    <w:rsid w:val="0083357B"/>
    <w:rsid w:val="00835AC1"/>
    <w:rsid w:val="008406A9"/>
    <w:rsid w:val="008419EC"/>
    <w:rsid w:val="00842B51"/>
    <w:rsid w:val="0084631B"/>
    <w:rsid w:val="0085277F"/>
    <w:rsid w:val="008540D9"/>
    <w:rsid w:val="00857087"/>
    <w:rsid w:val="00857215"/>
    <w:rsid w:val="00860E0E"/>
    <w:rsid w:val="00873D1D"/>
    <w:rsid w:val="00875C02"/>
    <w:rsid w:val="00876272"/>
    <w:rsid w:val="0087683C"/>
    <w:rsid w:val="00890C02"/>
    <w:rsid w:val="00891FFD"/>
    <w:rsid w:val="008939A6"/>
    <w:rsid w:val="00895467"/>
    <w:rsid w:val="0089757F"/>
    <w:rsid w:val="008A1EC4"/>
    <w:rsid w:val="008A5757"/>
    <w:rsid w:val="008A7146"/>
    <w:rsid w:val="008C03C7"/>
    <w:rsid w:val="008C09E4"/>
    <w:rsid w:val="008D0086"/>
    <w:rsid w:val="008D3B4A"/>
    <w:rsid w:val="008D4329"/>
    <w:rsid w:val="008E057C"/>
    <w:rsid w:val="008F1605"/>
    <w:rsid w:val="008F2567"/>
    <w:rsid w:val="008F3336"/>
    <w:rsid w:val="008F38E8"/>
    <w:rsid w:val="008F566D"/>
    <w:rsid w:val="00903163"/>
    <w:rsid w:val="0091036F"/>
    <w:rsid w:val="00915362"/>
    <w:rsid w:val="00917006"/>
    <w:rsid w:val="0092580E"/>
    <w:rsid w:val="00937F94"/>
    <w:rsid w:val="00940885"/>
    <w:rsid w:val="00945DFD"/>
    <w:rsid w:val="00950787"/>
    <w:rsid w:val="009619F9"/>
    <w:rsid w:val="00962D1C"/>
    <w:rsid w:val="009716ED"/>
    <w:rsid w:val="00977E2F"/>
    <w:rsid w:val="0098143E"/>
    <w:rsid w:val="0098404B"/>
    <w:rsid w:val="009870EA"/>
    <w:rsid w:val="00990653"/>
    <w:rsid w:val="00992DD1"/>
    <w:rsid w:val="009971D6"/>
    <w:rsid w:val="00997D53"/>
    <w:rsid w:val="009A1ECD"/>
    <w:rsid w:val="009A398A"/>
    <w:rsid w:val="009A48C9"/>
    <w:rsid w:val="009A6BD1"/>
    <w:rsid w:val="009B0995"/>
    <w:rsid w:val="009B26A7"/>
    <w:rsid w:val="009B656C"/>
    <w:rsid w:val="009B7424"/>
    <w:rsid w:val="009C3F58"/>
    <w:rsid w:val="009D26F9"/>
    <w:rsid w:val="009E4268"/>
    <w:rsid w:val="009F10EC"/>
    <w:rsid w:val="009F3A07"/>
    <w:rsid w:val="00A00320"/>
    <w:rsid w:val="00A10C4D"/>
    <w:rsid w:val="00A12377"/>
    <w:rsid w:val="00A13FD5"/>
    <w:rsid w:val="00A14AE8"/>
    <w:rsid w:val="00A2094B"/>
    <w:rsid w:val="00A21465"/>
    <w:rsid w:val="00A23ED6"/>
    <w:rsid w:val="00A25BB8"/>
    <w:rsid w:val="00A2693D"/>
    <w:rsid w:val="00A3213C"/>
    <w:rsid w:val="00A34E7B"/>
    <w:rsid w:val="00A3769E"/>
    <w:rsid w:val="00A42CB8"/>
    <w:rsid w:val="00A43839"/>
    <w:rsid w:val="00A471B6"/>
    <w:rsid w:val="00A47A88"/>
    <w:rsid w:val="00A50AA4"/>
    <w:rsid w:val="00A51289"/>
    <w:rsid w:val="00A61668"/>
    <w:rsid w:val="00A63E56"/>
    <w:rsid w:val="00A67A70"/>
    <w:rsid w:val="00A71D75"/>
    <w:rsid w:val="00A77AE1"/>
    <w:rsid w:val="00A77C5C"/>
    <w:rsid w:val="00A80740"/>
    <w:rsid w:val="00A81137"/>
    <w:rsid w:val="00A844E7"/>
    <w:rsid w:val="00A8546A"/>
    <w:rsid w:val="00A95879"/>
    <w:rsid w:val="00A97D13"/>
    <w:rsid w:val="00AA233D"/>
    <w:rsid w:val="00AA76E0"/>
    <w:rsid w:val="00AB36D7"/>
    <w:rsid w:val="00AB41DB"/>
    <w:rsid w:val="00AC1609"/>
    <w:rsid w:val="00AC41BD"/>
    <w:rsid w:val="00AC5BB2"/>
    <w:rsid w:val="00AD04CB"/>
    <w:rsid w:val="00AD67FE"/>
    <w:rsid w:val="00AE3DDD"/>
    <w:rsid w:val="00AF09C5"/>
    <w:rsid w:val="00AF1955"/>
    <w:rsid w:val="00AF4F16"/>
    <w:rsid w:val="00AF76D3"/>
    <w:rsid w:val="00B05CD4"/>
    <w:rsid w:val="00B14A9C"/>
    <w:rsid w:val="00B16AF1"/>
    <w:rsid w:val="00B21DB0"/>
    <w:rsid w:val="00B31AA7"/>
    <w:rsid w:val="00B3786C"/>
    <w:rsid w:val="00B42F42"/>
    <w:rsid w:val="00B43592"/>
    <w:rsid w:val="00B43745"/>
    <w:rsid w:val="00B47A1C"/>
    <w:rsid w:val="00B47D69"/>
    <w:rsid w:val="00B503C5"/>
    <w:rsid w:val="00B525D7"/>
    <w:rsid w:val="00B55FF8"/>
    <w:rsid w:val="00B60298"/>
    <w:rsid w:val="00B6065E"/>
    <w:rsid w:val="00B6396A"/>
    <w:rsid w:val="00B63981"/>
    <w:rsid w:val="00B65277"/>
    <w:rsid w:val="00B65B65"/>
    <w:rsid w:val="00B679A1"/>
    <w:rsid w:val="00B77DB2"/>
    <w:rsid w:val="00B85443"/>
    <w:rsid w:val="00B85C8B"/>
    <w:rsid w:val="00B86108"/>
    <w:rsid w:val="00B86B74"/>
    <w:rsid w:val="00B873E8"/>
    <w:rsid w:val="00B90BBB"/>
    <w:rsid w:val="00B91647"/>
    <w:rsid w:val="00B942A6"/>
    <w:rsid w:val="00B97BFB"/>
    <w:rsid w:val="00BA057F"/>
    <w:rsid w:val="00BA08E1"/>
    <w:rsid w:val="00BA4B27"/>
    <w:rsid w:val="00BB0E9B"/>
    <w:rsid w:val="00BB7A26"/>
    <w:rsid w:val="00BC046C"/>
    <w:rsid w:val="00BC193E"/>
    <w:rsid w:val="00BD0D79"/>
    <w:rsid w:val="00BD1868"/>
    <w:rsid w:val="00BD352E"/>
    <w:rsid w:val="00BD3CDC"/>
    <w:rsid w:val="00BD590B"/>
    <w:rsid w:val="00BD59B8"/>
    <w:rsid w:val="00BE4EFF"/>
    <w:rsid w:val="00BE5400"/>
    <w:rsid w:val="00BE6178"/>
    <w:rsid w:val="00BE6D12"/>
    <w:rsid w:val="00BE6F90"/>
    <w:rsid w:val="00BF5356"/>
    <w:rsid w:val="00BF6F36"/>
    <w:rsid w:val="00BF7879"/>
    <w:rsid w:val="00C01D08"/>
    <w:rsid w:val="00C03563"/>
    <w:rsid w:val="00C06516"/>
    <w:rsid w:val="00C16A0D"/>
    <w:rsid w:val="00C2339E"/>
    <w:rsid w:val="00C24A1F"/>
    <w:rsid w:val="00C25E85"/>
    <w:rsid w:val="00C31F3F"/>
    <w:rsid w:val="00C32F5B"/>
    <w:rsid w:val="00C37154"/>
    <w:rsid w:val="00C44625"/>
    <w:rsid w:val="00C46E1C"/>
    <w:rsid w:val="00C46FCE"/>
    <w:rsid w:val="00C56047"/>
    <w:rsid w:val="00C56D52"/>
    <w:rsid w:val="00C617C2"/>
    <w:rsid w:val="00C618CB"/>
    <w:rsid w:val="00C633A3"/>
    <w:rsid w:val="00C63530"/>
    <w:rsid w:val="00C65E2F"/>
    <w:rsid w:val="00C66C8A"/>
    <w:rsid w:val="00C66D26"/>
    <w:rsid w:val="00C67DF7"/>
    <w:rsid w:val="00C7577C"/>
    <w:rsid w:val="00C95B05"/>
    <w:rsid w:val="00C95F50"/>
    <w:rsid w:val="00C96CD6"/>
    <w:rsid w:val="00C9722F"/>
    <w:rsid w:val="00C977D0"/>
    <w:rsid w:val="00C97B30"/>
    <w:rsid w:val="00CA14B2"/>
    <w:rsid w:val="00CA2F57"/>
    <w:rsid w:val="00CB114B"/>
    <w:rsid w:val="00CB3642"/>
    <w:rsid w:val="00CB71DD"/>
    <w:rsid w:val="00CC0B96"/>
    <w:rsid w:val="00CC141C"/>
    <w:rsid w:val="00CC4401"/>
    <w:rsid w:val="00CC471F"/>
    <w:rsid w:val="00CC6A93"/>
    <w:rsid w:val="00CC7E6F"/>
    <w:rsid w:val="00CC7F3D"/>
    <w:rsid w:val="00CD344A"/>
    <w:rsid w:val="00CD4476"/>
    <w:rsid w:val="00CD78B8"/>
    <w:rsid w:val="00CE31DD"/>
    <w:rsid w:val="00CE4279"/>
    <w:rsid w:val="00CE66BD"/>
    <w:rsid w:val="00CE67E4"/>
    <w:rsid w:val="00CF2E7A"/>
    <w:rsid w:val="00CF34A1"/>
    <w:rsid w:val="00D0002E"/>
    <w:rsid w:val="00D03371"/>
    <w:rsid w:val="00D06034"/>
    <w:rsid w:val="00D10BAB"/>
    <w:rsid w:val="00D12932"/>
    <w:rsid w:val="00D1440D"/>
    <w:rsid w:val="00D15DCF"/>
    <w:rsid w:val="00D23D41"/>
    <w:rsid w:val="00D255B4"/>
    <w:rsid w:val="00D33B55"/>
    <w:rsid w:val="00D34342"/>
    <w:rsid w:val="00D35827"/>
    <w:rsid w:val="00D35B5E"/>
    <w:rsid w:val="00D41EE3"/>
    <w:rsid w:val="00D44DC6"/>
    <w:rsid w:val="00D514FB"/>
    <w:rsid w:val="00D54701"/>
    <w:rsid w:val="00D555BD"/>
    <w:rsid w:val="00D55F77"/>
    <w:rsid w:val="00D61C95"/>
    <w:rsid w:val="00D63940"/>
    <w:rsid w:val="00D6594C"/>
    <w:rsid w:val="00D65AD1"/>
    <w:rsid w:val="00D73B6C"/>
    <w:rsid w:val="00D745B1"/>
    <w:rsid w:val="00D75425"/>
    <w:rsid w:val="00D75D22"/>
    <w:rsid w:val="00D807BC"/>
    <w:rsid w:val="00D83966"/>
    <w:rsid w:val="00D83BE3"/>
    <w:rsid w:val="00D862AE"/>
    <w:rsid w:val="00D90B57"/>
    <w:rsid w:val="00D918E1"/>
    <w:rsid w:val="00DA05D6"/>
    <w:rsid w:val="00DA6F82"/>
    <w:rsid w:val="00DB26A2"/>
    <w:rsid w:val="00DC1E49"/>
    <w:rsid w:val="00DC6A82"/>
    <w:rsid w:val="00DD1D29"/>
    <w:rsid w:val="00DD4DF0"/>
    <w:rsid w:val="00DE36E0"/>
    <w:rsid w:val="00DE39F5"/>
    <w:rsid w:val="00DE50E0"/>
    <w:rsid w:val="00DE70D9"/>
    <w:rsid w:val="00DE7BA8"/>
    <w:rsid w:val="00DF1579"/>
    <w:rsid w:val="00DF69A5"/>
    <w:rsid w:val="00E01E1E"/>
    <w:rsid w:val="00E03031"/>
    <w:rsid w:val="00E06E88"/>
    <w:rsid w:val="00E13C50"/>
    <w:rsid w:val="00E15804"/>
    <w:rsid w:val="00E23702"/>
    <w:rsid w:val="00E23B47"/>
    <w:rsid w:val="00E24B40"/>
    <w:rsid w:val="00E3390B"/>
    <w:rsid w:val="00E35582"/>
    <w:rsid w:val="00E3745B"/>
    <w:rsid w:val="00E37536"/>
    <w:rsid w:val="00E37C9C"/>
    <w:rsid w:val="00E506B3"/>
    <w:rsid w:val="00E55410"/>
    <w:rsid w:val="00E56A48"/>
    <w:rsid w:val="00E62188"/>
    <w:rsid w:val="00E71B87"/>
    <w:rsid w:val="00E77362"/>
    <w:rsid w:val="00E77667"/>
    <w:rsid w:val="00E80886"/>
    <w:rsid w:val="00E81744"/>
    <w:rsid w:val="00E83DFB"/>
    <w:rsid w:val="00E84AAF"/>
    <w:rsid w:val="00E8718D"/>
    <w:rsid w:val="00E93235"/>
    <w:rsid w:val="00EA2E5B"/>
    <w:rsid w:val="00EA3CDD"/>
    <w:rsid w:val="00EB4E04"/>
    <w:rsid w:val="00EC1631"/>
    <w:rsid w:val="00ED09DC"/>
    <w:rsid w:val="00ED1BC6"/>
    <w:rsid w:val="00ED550E"/>
    <w:rsid w:val="00ED6914"/>
    <w:rsid w:val="00ED7A0B"/>
    <w:rsid w:val="00EE26BA"/>
    <w:rsid w:val="00EE2AE0"/>
    <w:rsid w:val="00EE33B1"/>
    <w:rsid w:val="00EE360A"/>
    <w:rsid w:val="00EE50FB"/>
    <w:rsid w:val="00EF0384"/>
    <w:rsid w:val="00EF08DD"/>
    <w:rsid w:val="00EF4B06"/>
    <w:rsid w:val="00EF5CF7"/>
    <w:rsid w:val="00EF6E55"/>
    <w:rsid w:val="00EF7ACB"/>
    <w:rsid w:val="00F035DA"/>
    <w:rsid w:val="00F063C5"/>
    <w:rsid w:val="00F101DD"/>
    <w:rsid w:val="00F16E57"/>
    <w:rsid w:val="00F17D88"/>
    <w:rsid w:val="00F21C19"/>
    <w:rsid w:val="00F23678"/>
    <w:rsid w:val="00F2597B"/>
    <w:rsid w:val="00F26F52"/>
    <w:rsid w:val="00F325FC"/>
    <w:rsid w:val="00F41D98"/>
    <w:rsid w:val="00F43E68"/>
    <w:rsid w:val="00F4481D"/>
    <w:rsid w:val="00F44ED3"/>
    <w:rsid w:val="00F45190"/>
    <w:rsid w:val="00F53D41"/>
    <w:rsid w:val="00F6697C"/>
    <w:rsid w:val="00F71A7C"/>
    <w:rsid w:val="00F7226B"/>
    <w:rsid w:val="00F731E6"/>
    <w:rsid w:val="00F8125C"/>
    <w:rsid w:val="00F827A0"/>
    <w:rsid w:val="00F831ED"/>
    <w:rsid w:val="00F84FCA"/>
    <w:rsid w:val="00F87638"/>
    <w:rsid w:val="00F907D9"/>
    <w:rsid w:val="00F90D88"/>
    <w:rsid w:val="00F933CC"/>
    <w:rsid w:val="00F96A6E"/>
    <w:rsid w:val="00F97563"/>
    <w:rsid w:val="00F97635"/>
    <w:rsid w:val="00FA12DA"/>
    <w:rsid w:val="00FA359C"/>
    <w:rsid w:val="00FA445B"/>
    <w:rsid w:val="00FA7C09"/>
    <w:rsid w:val="00FB3876"/>
    <w:rsid w:val="00FB7044"/>
    <w:rsid w:val="00FC52D6"/>
    <w:rsid w:val="00FC7BA3"/>
    <w:rsid w:val="00FD3D71"/>
    <w:rsid w:val="00FD7D1B"/>
    <w:rsid w:val="00FE6443"/>
    <w:rsid w:val="00FE645A"/>
    <w:rsid w:val="00FE74EC"/>
    <w:rsid w:val="00FF5903"/>
    <w:rsid w:val="00FF60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4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77E2F"/>
    <w:rPr>
      <w:i/>
      <w:iCs/>
    </w:rPr>
  </w:style>
  <w:style w:type="character" w:styleId="Strong">
    <w:name w:val="Strong"/>
    <w:basedOn w:val="DefaultParagraphFont"/>
    <w:uiPriority w:val="22"/>
    <w:qFormat/>
    <w:rsid w:val="00977E2F"/>
    <w:rPr>
      <w:b/>
      <w:bCs/>
    </w:rPr>
  </w:style>
  <w:style w:type="paragraph" w:styleId="NormalWeb">
    <w:name w:val="Normal (Web)"/>
    <w:basedOn w:val="Normal"/>
    <w:uiPriority w:val="99"/>
    <w:semiHidden/>
    <w:unhideWhenUsed/>
    <w:rsid w:val="00977E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90120112">
      <w:bodyDiv w:val="1"/>
      <w:marLeft w:val="0"/>
      <w:marRight w:val="0"/>
      <w:marTop w:val="0"/>
      <w:marBottom w:val="0"/>
      <w:divBdr>
        <w:top w:val="none" w:sz="0" w:space="0" w:color="auto"/>
        <w:left w:val="none" w:sz="0" w:space="0" w:color="auto"/>
        <w:bottom w:val="none" w:sz="0" w:space="0" w:color="auto"/>
        <w:right w:val="none" w:sz="0" w:space="0" w:color="auto"/>
      </w:divBdr>
      <w:divsChild>
        <w:div w:id="801656539">
          <w:marLeft w:val="0"/>
          <w:marRight w:val="0"/>
          <w:marTop w:val="100"/>
          <w:marBottom w:val="100"/>
          <w:divBdr>
            <w:top w:val="none" w:sz="0" w:space="0" w:color="auto"/>
            <w:left w:val="none" w:sz="0" w:space="0" w:color="auto"/>
            <w:bottom w:val="none" w:sz="0" w:space="0" w:color="auto"/>
            <w:right w:val="none" w:sz="0" w:space="0" w:color="auto"/>
          </w:divBdr>
          <w:divsChild>
            <w:div w:id="280187300">
              <w:marLeft w:val="0"/>
              <w:marRight w:val="0"/>
              <w:marTop w:val="0"/>
              <w:marBottom w:val="0"/>
              <w:divBdr>
                <w:top w:val="single" w:sz="6" w:space="0" w:color="DC881E"/>
                <w:left w:val="single" w:sz="2" w:space="0" w:color="auto"/>
                <w:bottom w:val="single" w:sz="6" w:space="0" w:color="C1C1C1"/>
                <w:right w:val="single" w:sz="2" w:space="0" w:color="auto"/>
              </w:divBdr>
              <w:divsChild>
                <w:div w:id="2084637197">
                  <w:marLeft w:val="0"/>
                  <w:marRight w:val="0"/>
                  <w:marTop w:val="0"/>
                  <w:marBottom w:val="0"/>
                  <w:divBdr>
                    <w:top w:val="none" w:sz="0" w:space="0" w:color="auto"/>
                    <w:left w:val="none" w:sz="0" w:space="0" w:color="auto"/>
                    <w:bottom w:val="none" w:sz="0" w:space="0" w:color="auto"/>
                    <w:right w:val="none" w:sz="0" w:space="0" w:color="auto"/>
                  </w:divBdr>
                  <w:divsChild>
                    <w:div w:id="935599142">
                      <w:marLeft w:val="0"/>
                      <w:marRight w:val="0"/>
                      <w:marTop w:val="0"/>
                      <w:marBottom w:val="0"/>
                      <w:divBdr>
                        <w:top w:val="none" w:sz="0" w:space="0" w:color="auto"/>
                        <w:left w:val="none" w:sz="0" w:space="0" w:color="auto"/>
                        <w:bottom w:val="none" w:sz="0" w:space="0" w:color="auto"/>
                        <w:right w:val="none" w:sz="0" w:space="0" w:color="auto"/>
                      </w:divBdr>
                      <w:divsChild>
                        <w:div w:id="755245116">
                          <w:marLeft w:val="0"/>
                          <w:marRight w:val="0"/>
                          <w:marTop w:val="0"/>
                          <w:marBottom w:val="0"/>
                          <w:divBdr>
                            <w:top w:val="none" w:sz="0" w:space="0" w:color="auto"/>
                            <w:left w:val="none" w:sz="0" w:space="0" w:color="auto"/>
                            <w:bottom w:val="none" w:sz="0" w:space="0" w:color="auto"/>
                            <w:right w:val="none" w:sz="0" w:space="0" w:color="auto"/>
                          </w:divBdr>
                          <w:divsChild>
                            <w:div w:id="197014010">
                              <w:marLeft w:val="0"/>
                              <w:marRight w:val="0"/>
                              <w:marTop w:val="0"/>
                              <w:marBottom w:val="0"/>
                              <w:divBdr>
                                <w:top w:val="none" w:sz="0" w:space="0" w:color="auto"/>
                                <w:left w:val="none" w:sz="0" w:space="0" w:color="auto"/>
                                <w:bottom w:val="none" w:sz="0" w:space="0" w:color="auto"/>
                                <w:right w:val="none" w:sz="0" w:space="0" w:color="auto"/>
                              </w:divBdr>
                            </w:div>
                            <w:div w:id="1507475766">
                              <w:marLeft w:val="0"/>
                              <w:marRight w:val="0"/>
                              <w:marTop w:val="0"/>
                              <w:marBottom w:val="0"/>
                              <w:divBdr>
                                <w:top w:val="none" w:sz="0" w:space="0" w:color="auto"/>
                                <w:left w:val="none" w:sz="0" w:space="0" w:color="auto"/>
                                <w:bottom w:val="none" w:sz="0" w:space="0" w:color="auto"/>
                                <w:right w:val="none" w:sz="0" w:space="0" w:color="auto"/>
                              </w:divBdr>
                            </w:div>
                            <w:div w:id="1293944612">
                              <w:marLeft w:val="0"/>
                              <w:marRight w:val="0"/>
                              <w:marTop w:val="0"/>
                              <w:marBottom w:val="0"/>
                              <w:divBdr>
                                <w:top w:val="none" w:sz="0" w:space="0" w:color="auto"/>
                                <w:left w:val="none" w:sz="0" w:space="0" w:color="auto"/>
                                <w:bottom w:val="none" w:sz="0" w:space="0" w:color="auto"/>
                                <w:right w:val="none" w:sz="0" w:space="0" w:color="auto"/>
                              </w:divBdr>
                            </w:div>
                            <w:div w:id="1906405382">
                              <w:marLeft w:val="0"/>
                              <w:marRight w:val="0"/>
                              <w:marTop w:val="0"/>
                              <w:marBottom w:val="0"/>
                              <w:divBdr>
                                <w:top w:val="none" w:sz="0" w:space="0" w:color="auto"/>
                                <w:left w:val="none" w:sz="0" w:space="0" w:color="auto"/>
                                <w:bottom w:val="none" w:sz="0" w:space="0" w:color="auto"/>
                                <w:right w:val="none" w:sz="0" w:space="0" w:color="auto"/>
                              </w:divBdr>
                            </w:div>
                            <w:div w:id="13142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3516</Characters>
  <Application>Microsoft Office Word</Application>
  <DocSecurity>0</DocSecurity>
  <Lines>29</Lines>
  <Paragraphs>8</Paragraphs>
  <ScaleCrop>false</ScaleCrop>
  <Company> </Company>
  <LinksUpToDate>false</LinksUpToDate>
  <CharactersWithSpaces>4124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2008-05-07T06:07:00Z</dcterms:created>
  <dcterms:modified xsi:type="dcterms:W3CDTF">2008-05-07T06:08:00Z</dcterms:modified>
</cp:coreProperties>
</file>