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E4A" w:rsidRDefault="00171E4A" w:rsidP="00171E4A">
      <w:pPr>
        <w:spacing w:before="100" w:beforeAutospacing="1" w:after="100" w:afterAutospacing="1" w:line="240" w:lineRule="auto"/>
        <w:outlineLvl w:val="1"/>
        <w:rPr>
          <w:rFonts w:ascii="Book Antiqua" w:eastAsia="Times New Roman" w:hAnsi="Book Antiqua" w:cs="Times New Roman"/>
          <w:b/>
          <w:bCs/>
          <w:sz w:val="36"/>
          <w:szCs w:val="36"/>
        </w:rPr>
      </w:pPr>
    </w:p>
    <w:p w:rsidR="00171E4A" w:rsidRPr="00171E4A" w:rsidRDefault="00216BA5" w:rsidP="00216BA5">
      <w:pPr>
        <w:spacing w:before="100" w:beforeAutospacing="1" w:after="100" w:afterAutospacing="1" w:line="240" w:lineRule="auto"/>
        <w:jc w:val="center"/>
        <w:outlineLvl w:val="1"/>
        <w:rPr>
          <w:rFonts w:ascii="Book Antiqua" w:eastAsia="Times New Roman" w:hAnsi="Book Antiqua" w:cs="Times New Roman"/>
          <w:b/>
          <w:bCs/>
          <w:sz w:val="36"/>
          <w:szCs w:val="36"/>
          <w:u w:val="single"/>
        </w:rPr>
      </w:pPr>
      <w:r w:rsidRPr="00216BA5">
        <w:rPr>
          <w:rFonts w:ascii="Book Antiqua" w:eastAsia="Times New Roman" w:hAnsi="Book Antiqua" w:cs="Times New Roman"/>
          <w:b/>
          <w:bCs/>
          <w:sz w:val="36"/>
          <w:szCs w:val="36"/>
          <w:u w:val="single"/>
        </w:rPr>
        <w:t>Provision for TDS</w:t>
      </w:r>
    </w:p>
    <w:p w:rsidR="00171E4A" w:rsidRPr="00171E4A" w:rsidRDefault="00171E4A" w:rsidP="00216BA5">
      <w:pPr>
        <w:spacing w:before="100" w:beforeAutospacing="1" w:after="100" w:afterAutospacing="1" w:line="240" w:lineRule="auto"/>
        <w:ind w:firstLine="720"/>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 xml:space="preserve">Nowadays delay in payment of TDS and in TDS return Filing makes an assessee liable to Late Payment Interest, Late Payment Penalty, Late Filing Fees, Late Filing Penalty and Further makes him liable to prosecution under the provision of the Income Tax Act, 1961. In this article we are discussing some of these provisions which makes it clear that TDS cannot be taken lightly and we should take utmost care in timely payment of TDS and filing of TDS return. </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u w:val="single"/>
        </w:rPr>
        <w:t>TDS payment and Return Filing</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The provision of TDS is getting stringent and from now it is becoming very necessary for all to comply the same and understand the importance of TDS.</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 xml:space="preserve">As per the provision of TDS is to be deducted on payment or credit whichever is earlier. </w:t>
      </w:r>
      <w:r w:rsidRPr="00171E4A">
        <w:rPr>
          <w:rFonts w:ascii="Book Antiqua" w:eastAsia="Times New Roman" w:hAnsi="Book Antiqua" w:cs="Times New Roman"/>
          <w:sz w:val="24"/>
          <w:szCs w:val="24"/>
        </w:rPr>
        <w:t>So for e.g. If bill date is 15/4/13 amounting to 25000/- but advance payment is made on 05/04/2013 amounting to Rs. 85,000/- than TDS has to be deducted on 85,000/- on 05/04/2013 and to be paid either on same day or next day. Though the due date of payment is 7</w:t>
      </w:r>
      <w:r w:rsidRPr="00171E4A">
        <w:rPr>
          <w:rFonts w:ascii="Book Antiqua" w:eastAsia="Times New Roman" w:hAnsi="Book Antiqua" w:cs="Times New Roman"/>
          <w:sz w:val="24"/>
          <w:szCs w:val="24"/>
          <w:vertAlign w:val="superscript"/>
        </w:rPr>
        <w:t xml:space="preserve">th </w:t>
      </w:r>
      <w:r w:rsidRPr="00171E4A">
        <w:rPr>
          <w:rFonts w:ascii="Book Antiqua" w:eastAsia="Times New Roman" w:hAnsi="Book Antiqua" w:cs="Times New Roman"/>
          <w:sz w:val="24"/>
          <w:szCs w:val="24"/>
        </w:rPr>
        <w:t>of next month but that is not to be considered as due date, it is just grace days provided by department for the convenience of the assessee. Hence as soon as you deduct TDS it has to be paid. Even if we pay the TDS on 7</w:t>
      </w:r>
      <w:r w:rsidRPr="00171E4A">
        <w:rPr>
          <w:rFonts w:ascii="Book Antiqua" w:eastAsia="Times New Roman" w:hAnsi="Book Antiqua" w:cs="Times New Roman"/>
          <w:sz w:val="24"/>
          <w:szCs w:val="24"/>
          <w:vertAlign w:val="superscript"/>
        </w:rPr>
        <w:t>th</w:t>
      </w:r>
      <w:r w:rsidRPr="00171E4A">
        <w:rPr>
          <w:rFonts w:ascii="Book Antiqua" w:eastAsia="Times New Roman" w:hAnsi="Book Antiqua" w:cs="Times New Roman"/>
          <w:sz w:val="24"/>
          <w:szCs w:val="24"/>
        </w:rPr>
        <w:t>,the challan would get process with 24-48 hours as per banking terms. Hence as per Income tax department the date would not be considered as 7</w:t>
      </w:r>
      <w:r w:rsidRPr="00171E4A">
        <w:rPr>
          <w:rFonts w:ascii="Book Antiqua" w:eastAsia="Times New Roman" w:hAnsi="Book Antiqua" w:cs="Times New Roman"/>
          <w:sz w:val="24"/>
          <w:szCs w:val="24"/>
          <w:vertAlign w:val="superscript"/>
        </w:rPr>
        <w:t xml:space="preserve">th </w:t>
      </w:r>
      <w:r w:rsidRPr="00171E4A">
        <w:rPr>
          <w:rFonts w:ascii="Book Antiqua" w:eastAsia="Times New Roman" w:hAnsi="Book Antiqua" w:cs="Times New Roman"/>
          <w:sz w:val="24"/>
          <w:szCs w:val="24"/>
        </w:rPr>
        <w:t>but it would 8</w:t>
      </w:r>
      <w:r w:rsidRPr="00171E4A">
        <w:rPr>
          <w:rFonts w:ascii="Book Antiqua" w:eastAsia="Times New Roman" w:hAnsi="Book Antiqua" w:cs="Times New Roman"/>
          <w:sz w:val="24"/>
          <w:szCs w:val="24"/>
          <w:vertAlign w:val="superscript"/>
        </w:rPr>
        <w:t xml:space="preserve">th </w:t>
      </w:r>
      <w:r w:rsidRPr="00171E4A">
        <w:rPr>
          <w:rFonts w:ascii="Book Antiqua" w:eastAsia="Times New Roman" w:hAnsi="Book Antiqua" w:cs="Times New Roman"/>
          <w:sz w:val="24"/>
          <w:szCs w:val="24"/>
        </w:rPr>
        <w:t>or 9</w:t>
      </w:r>
      <w:r w:rsidRPr="00171E4A">
        <w:rPr>
          <w:rFonts w:ascii="Book Antiqua" w:eastAsia="Times New Roman" w:hAnsi="Book Antiqua" w:cs="Times New Roman"/>
          <w:sz w:val="24"/>
          <w:szCs w:val="24"/>
          <w:vertAlign w:val="superscript"/>
        </w:rPr>
        <w:t xml:space="preserve">th </w:t>
      </w:r>
      <w:r w:rsidRPr="00171E4A">
        <w:rPr>
          <w:rFonts w:ascii="Book Antiqua" w:eastAsia="Times New Roman" w:hAnsi="Book Antiqua" w:cs="Times New Roman"/>
          <w:sz w:val="24"/>
          <w:szCs w:val="24"/>
        </w:rPr>
        <w:t>as per the bank processing. Hence late payment interest would be charged for 2 months i.e. from date of deduction to date of payment.</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If TDS is paid after 7</w:t>
      </w:r>
      <w:r w:rsidRPr="00171E4A">
        <w:rPr>
          <w:rFonts w:ascii="Book Antiqua" w:eastAsia="Times New Roman" w:hAnsi="Book Antiqua" w:cs="Times New Roman"/>
          <w:b/>
          <w:bCs/>
          <w:sz w:val="24"/>
          <w:szCs w:val="24"/>
          <w:vertAlign w:val="superscript"/>
        </w:rPr>
        <w:t>th</w:t>
      </w:r>
      <w:r w:rsidRPr="00171E4A">
        <w:rPr>
          <w:rFonts w:ascii="Book Antiqua" w:eastAsia="Times New Roman" w:hAnsi="Book Antiqua" w:cs="Times New Roman"/>
          <w:b/>
          <w:bCs/>
          <w:sz w:val="24"/>
          <w:szCs w:val="24"/>
        </w:rPr>
        <w:t xml:space="preserve">, Interest is charged at 1.5% p.m. (18% p.a.) from date of deduction till date of payment. </w:t>
      </w:r>
      <w:r w:rsidRPr="00171E4A">
        <w:rPr>
          <w:rFonts w:ascii="Book Antiqua" w:eastAsia="Times New Roman" w:hAnsi="Book Antiqua" w:cs="Times New Roman"/>
          <w:sz w:val="24"/>
          <w:szCs w:val="24"/>
        </w:rPr>
        <w:t>For e.g. if TDS is deducted on 15th April and paid on 9</w:t>
      </w:r>
      <w:r w:rsidRPr="00171E4A">
        <w:rPr>
          <w:rFonts w:ascii="Book Antiqua" w:eastAsia="Times New Roman" w:hAnsi="Book Antiqua" w:cs="Times New Roman"/>
          <w:sz w:val="24"/>
          <w:szCs w:val="24"/>
          <w:vertAlign w:val="superscript"/>
        </w:rPr>
        <w:t xml:space="preserve">th </w:t>
      </w:r>
      <w:r w:rsidRPr="00171E4A">
        <w:rPr>
          <w:rFonts w:ascii="Book Antiqua" w:eastAsia="Times New Roman" w:hAnsi="Book Antiqua" w:cs="Times New Roman"/>
          <w:sz w:val="24"/>
          <w:szCs w:val="24"/>
        </w:rPr>
        <w:t>May than interest would be calculated for 2 months i.e. April and May. Hence, it is advisable to pay TDS on date of deduction itself rather than waiting for 7</w:t>
      </w:r>
      <w:r w:rsidRPr="00171E4A">
        <w:rPr>
          <w:rFonts w:ascii="Book Antiqua" w:eastAsia="Times New Roman" w:hAnsi="Book Antiqua" w:cs="Times New Roman"/>
          <w:sz w:val="24"/>
          <w:szCs w:val="24"/>
          <w:vertAlign w:val="superscript"/>
        </w:rPr>
        <w:t xml:space="preserve">th </w:t>
      </w:r>
      <w:r w:rsidRPr="00171E4A">
        <w:rPr>
          <w:rFonts w:ascii="Book Antiqua" w:eastAsia="Times New Roman" w:hAnsi="Book Antiqua" w:cs="Times New Roman"/>
          <w:sz w:val="24"/>
          <w:szCs w:val="24"/>
        </w:rPr>
        <w:t xml:space="preserve">of next month for payment. </w:t>
      </w:r>
      <w:r w:rsidRPr="00171E4A">
        <w:rPr>
          <w:rFonts w:ascii="Book Antiqua" w:eastAsia="Times New Roman" w:hAnsi="Book Antiqua" w:cs="Times New Roman"/>
          <w:b/>
          <w:bCs/>
          <w:sz w:val="24"/>
          <w:szCs w:val="24"/>
        </w:rPr>
        <w:t>It is from now compulsory to pay online TDS for all assessee whose payment exceeds Rs. 1,00,000/- for the whole year. Hence if the assessee does not have online payment facility kindly get the same.</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u w:val="single"/>
        </w:rPr>
        <w:t>The chart for payment of TDS is as follows:</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0"/>
        <w:gridCol w:w="6712"/>
        <w:gridCol w:w="2032"/>
      </w:tblGrid>
      <w:tr w:rsidR="00171E4A" w:rsidRPr="00171E4A" w:rsidTr="00171E4A">
        <w:trPr>
          <w:tblCellSpacing w:w="0" w:type="dxa"/>
        </w:trPr>
        <w:tc>
          <w:tcPr>
            <w:tcW w:w="0" w:type="auto"/>
            <w:hideMark/>
          </w:tcPr>
          <w:p w:rsidR="00171E4A" w:rsidRPr="00171E4A" w:rsidRDefault="00171E4A" w:rsidP="00171E4A">
            <w:pPr>
              <w:spacing w:after="0"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S. No.</w:t>
            </w:r>
          </w:p>
        </w:tc>
        <w:tc>
          <w:tcPr>
            <w:tcW w:w="671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Particulars</w:t>
            </w:r>
          </w:p>
        </w:tc>
        <w:tc>
          <w:tcPr>
            <w:tcW w:w="203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Due Date</w:t>
            </w:r>
          </w:p>
        </w:tc>
      </w:tr>
      <w:tr w:rsidR="00171E4A" w:rsidRPr="00171E4A" w:rsidTr="00171E4A">
        <w:trPr>
          <w:tblCellSpacing w:w="0" w:type="dxa"/>
        </w:trPr>
        <w:tc>
          <w:tcPr>
            <w:tcW w:w="0" w:type="auto"/>
            <w:hideMark/>
          </w:tcPr>
          <w:p w:rsidR="00171E4A" w:rsidRPr="00171E4A" w:rsidRDefault="00171E4A" w:rsidP="00171E4A">
            <w:pPr>
              <w:spacing w:after="0"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sz w:val="24"/>
                <w:szCs w:val="24"/>
              </w:rPr>
              <w:t>1</w:t>
            </w:r>
          </w:p>
        </w:tc>
        <w:tc>
          <w:tcPr>
            <w:tcW w:w="671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Tax Deductible in</w:t>
            </w:r>
            <w:r>
              <w:rPr>
                <w:rFonts w:ascii="Book Antiqua" w:eastAsia="Times New Roman" w:hAnsi="Book Antiqua" w:cs="Times New Roman"/>
                <w:sz w:val="24"/>
                <w:szCs w:val="24"/>
              </w:rPr>
              <w:t xml:space="preserve"> </w:t>
            </w:r>
            <w:r w:rsidRPr="00171E4A">
              <w:rPr>
                <w:rFonts w:ascii="Book Antiqua" w:eastAsia="Times New Roman" w:hAnsi="Book Antiqua" w:cs="Times New Roman"/>
                <w:sz w:val="24"/>
                <w:szCs w:val="24"/>
              </w:rPr>
              <w:t>March</w:t>
            </w:r>
          </w:p>
        </w:tc>
        <w:tc>
          <w:tcPr>
            <w:tcW w:w="203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30th April</w:t>
            </w:r>
          </w:p>
        </w:tc>
      </w:tr>
      <w:tr w:rsidR="00171E4A" w:rsidRPr="00171E4A" w:rsidTr="00171E4A">
        <w:trPr>
          <w:tblCellSpacing w:w="0" w:type="dxa"/>
        </w:trPr>
        <w:tc>
          <w:tcPr>
            <w:tcW w:w="0" w:type="auto"/>
            <w:hideMark/>
          </w:tcPr>
          <w:p w:rsidR="00171E4A" w:rsidRPr="00171E4A" w:rsidRDefault="00171E4A" w:rsidP="00171E4A">
            <w:pPr>
              <w:spacing w:after="0"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sz w:val="24"/>
                <w:szCs w:val="24"/>
              </w:rPr>
              <w:t>2</w:t>
            </w:r>
          </w:p>
        </w:tc>
        <w:tc>
          <w:tcPr>
            <w:tcW w:w="671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Other Months and Tax opted to be deposited by the employer</w:t>
            </w:r>
          </w:p>
        </w:tc>
        <w:tc>
          <w:tcPr>
            <w:tcW w:w="203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7th of next month</w:t>
            </w:r>
          </w:p>
        </w:tc>
      </w:tr>
    </w:tbl>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 xml:space="preserve">Even if PAN is incorrect, TDS @ 20% needs to be deducted. Hence, always take PAN copy of the party and file return. </w:t>
      </w:r>
      <w:r w:rsidRPr="00171E4A">
        <w:rPr>
          <w:rFonts w:ascii="Book Antiqua" w:eastAsia="Times New Roman" w:hAnsi="Book Antiqua" w:cs="Times New Roman"/>
          <w:sz w:val="24"/>
          <w:szCs w:val="24"/>
        </w:rPr>
        <w:t xml:space="preserve">Now, only 2 digits and 2 letters of PAN are allowed to be changed in revised return which would cause more difficulties as if whole PAN is in correct it would be difficult to </w:t>
      </w:r>
      <w:r w:rsidRPr="00171E4A">
        <w:rPr>
          <w:rFonts w:ascii="Book Antiqua" w:eastAsia="Times New Roman" w:hAnsi="Book Antiqua" w:cs="Times New Roman"/>
          <w:sz w:val="24"/>
          <w:szCs w:val="24"/>
        </w:rPr>
        <w:lastRenderedPageBreak/>
        <w:t>change the same. Hence from now it is advisable that PAN copies is taken from all clients and then send all details.</w:t>
      </w:r>
    </w:p>
    <w:p w:rsidR="00171E4A" w:rsidRDefault="00171E4A" w:rsidP="00171E4A">
      <w:pPr>
        <w:spacing w:before="100" w:beforeAutospacing="1" w:after="100" w:afterAutospacing="1" w:line="240" w:lineRule="auto"/>
        <w:jc w:val="both"/>
        <w:rPr>
          <w:rFonts w:ascii="Book Antiqua" w:eastAsia="Times New Roman" w:hAnsi="Book Antiqua" w:cs="Times New Roman"/>
          <w:b/>
          <w:bCs/>
          <w:sz w:val="24"/>
          <w:szCs w:val="24"/>
          <w:u w:val="single"/>
        </w:rPr>
      </w:pP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u w:val="single"/>
        </w:rPr>
        <w:t xml:space="preserve">The due date of filing of TDS return is as follows: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99"/>
        <w:gridCol w:w="2539"/>
        <w:gridCol w:w="1673"/>
        <w:gridCol w:w="1820"/>
      </w:tblGrid>
      <w:tr w:rsidR="00171E4A" w:rsidRPr="00171E4A" w:rsidTr="00171E4A">
        <w:trPr>
          <w:tblCellSpacing w:w="0" w:type="dxa"/>
        </w:trPr>
        <w:tc>
          <w:tcPr>
            <w:tcW w:w="239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Quarter</w:t>
            </w:r>
          </w:p>
        </w:tc>
        <w:tc>
          <w:tcPr>
            <w:tcW w:w="253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Form Nos. 24Q &amp; 26Q</w:t>
            </w:r>
          </w:p>
        </w:tc>
        <w:tc>
          <w:tcPr>
            <w:tcW w:w="1673"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Form No. 27Q</w:t>
            </w:r>
          </w:p>
        </w:tc>
        <w:tc>
          <w:tcPr>
            <w:tcW w:w="1820"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Form No. 27EQ</w:t>
            </w:r>
          </w:p>
        </w:tc>
      </w:tr>
      <w:tr w:rsidR="00171E4A" w:rsidRPr="00171E4A" w:rsidTr="00171E4A">
        <w:trPr>
          <w:tblCellSpacing w:w="0" w:type="dxa"/>
        </w:trPr>
        <w:tc>
          <w:tcPr>
            <w:tcW w:w="239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April to June</w:t>
            </w:r>
          </w:p>
        </w:tc>
        <w:tc>
          <w:tcPr>
            <w:tcW w:w="253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July</w:t>
            </w:r>
          </w:p>
        </w:tc>
        <w:tc>
          <w:tcPr>
            <w:tcW w:w="1673"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July</w:t>
            </w:r>
          </w:p>
        </w:tc>
        <w:tc>
          <w:tcPr>
            <w:tcW w:w="1820"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July</w:t>
            </w:r>
          </w:p>
        </w:tc>
      </w:tr>
      <w:tr w:rsidR="00171E4A" w:rsidRPr="00171E4A" w:rsidTr="00171E4A">
        <w:trPr>
          <w:tblCellSpacing w:w="0" w:type="dxa"/>
        </w:trPr>
        <w:tc>
          <w:tcPr>
            <w:tcW w:w="239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July to September</w:t>
            </w:r>
          </w:p>
        </w:tc>
        <w:tc>
          <w:tcPr>
            <w:tcW w:w="253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October</w:t>
            </w:r>
          </w:p>
        </w:tc>
        <w:tc>
          <w:tcPr>
            <w:tcW w:w="1673"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October</w:t>
            </w:r>
          </w:p>
        </w:tc>
        <w:tc>
          <w:tcPr>
            <w:tcW w:w="1820"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October</w:t>
            </w:r>
          </w:p>
        </w:tc>
      </w:tr>
      <w:tr w:rsidR="00171E4A" w:rsidRPr="00171E4A" w:rsidTr="00171E4A">
        <w:trPr>
          <w:tblCellSpacing w:w="0" w:type="dxa"/>
        </w:trPr>
        <w:tc>
          <w:tcPr>
            <w:tcW w:w="239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October to December</w:t>
            </w:r>
          </w:p>
        </w:tc>
        <w:tc>
          <w:tcPr>
            <w:tcW w:w="253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January</w:t>
            </w:r>
          </w:p>
        </w:tc>
        <w:tc>
          <w:tcPr>
            <w:tcW w:w="1673"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January</w:t>
            </w:r>
          </w:p>
        </w:tc>
        <w:tc>
          <w:tcPr>
            <w:tcW w:w="1820"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January</w:t>
            </w:r>
          </w:p>
        </w:tc>
      </w:tr>
      <w:tr w:rsidR="00171E4A" w:rsidRPr="00171E4A" w:rsidTr="00171E4A">
        <w:trPr>
          <w:tblCellSpacing w:w="0" w:type="dxa"/>
        </w:trPr>
        <w:tc>
          <w:tcPr>
            <w:tcW w:w="239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January to March</w:t>
            </w:r>
          </w:p>
        </w:tc>
        <w:tc>
          <w:tcPr>
            <w:tcW w:w="253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May</w:t>
            </w:r>
          </w:p>
        </w:tc>
        <w:tc>
          <w:tcPr>
            <w:tcW w:w="1673"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May</w:t>
            </w:r>
          </w:p>
        </w:tc>
        <w:tc>
          <w:tcPr>
            <w:tcW w:w="1820"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15 May</w:t>
            </w:r>
          </w:p>
        </w:tc>
      </w:tr>
    </w:tbl>
    <w:p w:rsidR="00171E4A" w:rsidRPr="00171E4A" w:rsidRDefault="00171E4A" w:rsidP="00171E4A">
      <w:pPr>
        <w:spacing w:before="100" w:beforeAutospacing="1" w:after="100" w:afterAutospacing="1" w:line="240" w:lineRule="auto"/>
        <w:jc w:val="both"/>
        <w:rPr>
          <w:rFonts w:ascii="Book Antiqua" w:eastAsia="Times New Roman" w:hAnsi="Book Antiqua" w:cs="Times New Roman"/>
          <w:b/>
          <w:sz w:val="28"/>
          <w:szCs w:val="28"/>
          <w:u w:val="single"/>
        </w:rPr>
      </w:pPr>
      <w:r w:rsidRPr="00171E4A">
        <w:rPr>
          <w:rFonts w:ascii="Book Antiqua" w:eastAsia="Times New Roman" w:hAnsi="Book Antiqua" w:cs="Times New Roman"/>
          <w:b/>
          <w:bCs/>
          <w:sz w:val="28"/>
          <w:szCs w:val="28"/>
          <w:u w:val="single"/>
        </w:rPr>
        <w:t>Late filing consequences</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 xml:space="preserve">Fees for delay in furnishing the statements: (refer section 234E of Income Tax Act) </w:t>
      </w:r>
      <w:r w:rsidRPr="00171E4A">
        <w:rPr>
          <w:rFonts w:ascii="Book Antiqua" w:eastAsia="Times New Roman" w:hAnsi="Book Antiqua" w:cs="Times New Roman"/>
          <w:sz w:val="24"/>
          <w:szCs w:val="24"/>
        </w:rPr>
        <w:t xml:space="preserve">Effective from 1st July 2012, any delay in furnishing the eTDS statement will result in a </w:t>
      </w:r>
      <w:r w:rsidRPr="00171E4A">
        <w:rPr>
          <w:rFonts w:ascii="Book Antiqua" w:eastAsia="Times New Roman" w:hAnsi="Book Antiqua" w:cs="Times New Roman"/>
          <w:b/>
          <w:bCs/>
          <w:sz w:val="24"/>
          <w:szCs w:val="24"/>
        </w:rPr>
        <w:t xml:space="preserve">mandatory fees of Rs. 200 per day, </w:t>
      </w:r>
      <w:r w:rsidRPr="00171E4A">
        <w:rPr>
          <w:rFonts w:ascii="Book Antiqua" w:eastAsia="Times New Roman" w:hAnsi="Book Antiqua" w:cs="Times New Roman"/>
          <w:sz w:val="24"/>
          <w:szCs w:val="24"/>
        </w:rPr>
        <w:t>the total fees should not exceed the total amount of TDS made for the quarter. The late filing fee should be paid before filing such delayed eTDS statement.</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Penalty for failure to furnish statements and furnishing incorrect statements: (refer section 271H of Income Tax Act)</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 xml:space="preserve">Failure to file eTDS statement delaying more than an year or furnishing incorrect details in the statement filed like PAN, Challan and TDS Amount etc, </w:t>
      </w:r>
      <w:r w:rsidRPr="00171E4A">
        <w:rPr>
          <w:rFonts w:ascii="Book Antiqua" w:eastAsia="Times New Roman" w:hAnsi="Book Antiqua" w:cs="Times New Roman"/>
          <w:b/>
          <w:bCs/>
          <w:sz w:val="24"/>
          <w:szCs w:val="24"/>
        </w:rPr>
        <w:t>will result in a penalty ranging from Rs. 10,000 to one lac.</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u w:val="single"/>
        </w:rPr>
        <w:t xml:space="preserve">Due date for furnishing TDS certificate to the employee or deductee or payee is revised as under : </w:t>
      </w:r>
    </w:p>
    <w:tbl>
      <w:tblPr>
        <w:tblW w:w="1060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140"/>
        <w:gridCol w:w="2339"/>
        <w:gridCol w:w="5564"/>
      </w:tblGrid>
      <w:tr w:rsidR="00171E4A" w:rsidRPr="00171E4A" w:rsidTr="00171E4A">
        <w:trPr>
          <w:tblCellSpacing w:w="0" w:type="dxa"/>
        </w:trPr>
        <w:tc>
          <w:tcPr>
            <w:tcW w:w="559" w:type="dxa"/>
            <w:vAlign w:val="center"/>
            <w:hideMark/>
          </w:tcPr>
          <w:p w:rsidR="00171E4A" w:rsidRPr="00171E4A" w:rsidRDefault="00171E4A" w:rsidP="00171E4A">
            <w:pPr>
              <w:spacing w:after="0"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Sl. No.</w:t>
            </w:r>
          </w:p>
        </w:tc>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Category</w:t>
            </w:r>
          </w:p>
        </w:tc>
        <w:tc>
          <w:tcPr>
            <w:tcW w:w="2339"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Periodicity of furnishing TDS certificate</w:t>
            </w:r>
          </w:p>
        </w:tc>
        <w:tc>
          <w:tcPr>
            <w:tcW w:w="5564"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Due date</w:t>
            </w:r>
          </w:p>
        </w:tc>
      </w:tr>
      <w:tr w:rsidR="00171E4A" w:rsidRPr="00171E4A" w:rsidTr="00171E4A">
        <w:trPr>
          <w:tblCellSpacing w:w="0" w:type="dxa"/>
        </w:trPr>
        <w:tc>
          <w:tcPr>
            <w:tcW w:w="559" w:type="dxa"/>
            <w:hideMark/>
          </w:tcPr>
          <w:p w:rsidR="00171E4A" w:rsidRPr="00171E4A" w:rsidRDefault="00171E4A" w:rsidP="00171E4A">
            <w:pPr>
              <w:spacing w:after="0"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sz w:val="24"/>
                <w:szCs w:val="24"/>
              </w:rPr>
              <w:t>1.</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Salary                  (Form</w:t>
            </w:r>
            <w:r w:rsidRPr="00171E4A">
              <w:rPr>
                <w:rFonts w:ascii="Book Antiqua" w:eastAsia="Times New Roman" w:hAnsi="Book Antiqua" w:cs="Times New Roman"/>
                <w:sz w:val="24"/>
                <w:szCs w:val="24"/>
              </w:rPr>
              <w:br/>
              <w:t>No.16)</w:t>
            </w:r>
          </w:p>
        </w:tc>
        <w:tc>
          <w:tcPr>
            <w:tcW w:w="2339"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Annual</w:t>
            </w:r>
          </w:p>
        </w:tc>
        <w:tc>
          <w:tcPr>
            <w:tcW w:w="5564"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By 31</w:t>
            </w:r>
            <w:r w:rsidRPr="00171E4A">
              <w:rPr>
                <w:rFonts w:ascii="Book Antiqua" w:eastAsia="Times New Roman" w:hAnsi="Book Antiqua" w:cs="Times New Roman"/>
                <w:b/>
                <w:bCs/>
                <w:sz w:val="24"/>
                <w:szCs w:val="24"/>
                <w:vertAlign w:val="superscript"/>
              </w:rPr>
              <w:t>st</w:t>
            </w:r>
            <w:r w:rsidRPr="00171E4A">
              <w:rPr>
                <w:rFonts w:ascii="Book Antiqua" w:eastAsia="Times New Roman" w:hAnsi="Book Antiqua" w:cs="Times New Roman"/>
                <w:b/>
                <w:bCs/>
                <w:sz w:val="24"/>
                <w:szCs w:val="24"/>
              </w:rPr>
              <w:t xml:space="preserve"> day of May </w:t>
            </w:r>
            <w:r w:rsidRPr="00171E4A">
              <w:rPr>
                <w:rFonts w:ascii="Book Antiqua" w:eastAsia="Times New Roman" w:hAnsi="Book Antiqua" w:cs="Times New Roman"/>
                <w:sz w:val="24"/>
                <w:szCs w:val="24"/>
              </w:rPr>
              <w:t>of the financial year immediately following the financial year in which the income was paid and tax deducted</w:t>
            </w:r>
          </w:p>
        </w:tc>
      </w:tr>
      <w:tr w:rsidR="00171E4A" w:rsidRPr="00171E4A" w:rsidTr="00171E4A">
        <w:trPr>
          <w:tblCellSpacing w:w="0" w:type="dxa"/>
        </w:trPr>
        <w:tc>
          <w:tcPr>
            <w:tcW w:w="559" w:type="dxa"/>
            <w:hideMark/>
          </w:tcPr>
          <w:p w:rsidR="00171E4A" w:rsidRPr="00171E4A" w:rsidRDefault="00171E4A" w:rsidP="00171E4A">
            <w:pPr>
              <w:spacing w:after="0"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sz w:val="24"/>
                <w:szCs w:val="24"/>
              </w:rPr>
              <w:t>2.</w:t>
            </w:r>
          </w:p>
        </w:tc>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Non-Salary (Form No. 16A)</w:t>
            </w:r>
          </w:p>
        </w:tc>
        <w:tc>
          <w:tcPr>
            <w:tcW w:w="2339"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Quarterly</w:t>
            </w:r>
          </w:p>
        </w:tc>
        <w:tc>
          <w:tcPr>
            <w:tcW w:w="5564"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 xml:space="preserve">Within fifteen days </w:t>
            </w:r>
            <w:r w:rsidRPr="00171E4A">
              <w:rPr>
                <w:rFonts w:ascii="Book Antiqua" w:eastAsia="Times New Roman" w:hAnsi="Book Antiqua" w:cs="Times New Roman"/>
                <w:sz w:val="24"/>
                <w:szCs w:val="24"/>
              </w:rPr>
              <w:t>from the due date for furnishing the ‘statement of TDS’</w:t>
            </w:r>
          </w:p>
        </w:tc>
      </w:tr>
    </w:tbl>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 xml:space="preserve">Failure to issue TDS certificate within the time allowed, </w:t>
      </w:r>
      <w:r w:rsidRPr="00171E4A">
        <w:rPr>
          <w:rFonts w:ascii="Book Antiqua" w:eastAsia="Times New Roman" w:hAnsi="Book Antiqua" w:cs="Times New Roman"/>
          <w:b/>
          <w:bCs/>
          <w:sz w:val="24"/>
          <w:szCs w:val="24"/>
        </w:rPr>
        <w:t xml:space="preserve">attracts penalty of Rs. 100/- </w:t>
      </w:r>
      <w:r w:rsidRPr="00171E4A">
        <w:rPr>
          <w:rFonts w:ascii="Book Antiqua" w:eastAsia="Times New Roman" w:hAnsi="Book Antiqua" w:cs="Times New Roman"/>
          <w:sz w:val="24"/>
          <w:szCs w:val="24"/>
        </w:rPr>
        <w:t xml:space="preserve">per day of default </w:t>
      </w:r>
      <w:r w:rsidRPr="00171E4A">
        <w:rPr>
          <w:rFonts w:ascii="Book Antiqua" w:eastAsia="Times New Roman" w:hAnsi="Book Antiqua" w:cs="Times New Roman"/>
          <w:b/>
          <w:bCs/>
          <w:sz w:val="24"/>
          <w:szCs w:val="24"/>
        </w:rPr>
        <w:t xml:space="preserve">(Sec 272A(2)(g)). </w:t>
      </w:r>
      <w:r w:rsidRPr="00171E4A">
        <w:rPr>
          <w:rFonts w:ascii="Book Antiqua" w:eastAsia="Times New Roman" w:hAnsi="Book Antiqua" w:cs="Times New Roman"/>
          <w:sz w:val="24"/>
          <w:szCs w:val="24"/>
        </w:rPr>
        <w:t>However, penalty will not exceed the amount of tax deductible or collectible, as the case may be.</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lastRenderedPageBreak/>
        <w:t>As per Circular No. 01/2012 dated 09.04.2012, it mandatory for all deductors to issue TDS certificate in Form No. 16A after generating and downloading the same from TRACES website.</w:t>
      </w:r>
    </w:p>
    <w:p w:rsidR="00171E4A" w:rsidRDefault="00171E4A" w:rsidP="00171E4A">
      <w:pPr>
        <w:spacing w:before="100" w:beforeAutospacing="1" w:after="100" w:afterAutospacing="1" w:line="240" w:lineRule="auto"/>
        <w:jc w:val="both"/>
        <w:rPr>
          <w:rFonts w:ascii="Book Antiqua" w:eastAsia="Times New Roman" w:hAnsi="Book Antiqua" w:cs="Times New Roman"/>
          <w:b/>
          <w:bCs/>
          <w:sz w:val="24"/>
          <w:szCs w:val="24"/>
          <w:u w:val="single"/>
        </w:rPr>
      </w:pPr>
    </w:p>
    <w:p w:rsidR="00171E4A" w:rsidRDefault="00171E4A" w:rsidP="00171E4A">
      <w:pPr>
        <w:spacing w:before="100" w:beforeAutospacing="1" w:after="100" w:afterAutospacing="1" w:line="240" w:lineRule="auto"/>
        <w:jc w:val="both"/>
        <w:rPr>
          <w:rFonts w:ascii="Book Antiqua" w:eastAsia="Times New Roman" w:hAnsi="Book Antiqua" w:cs="Times New Roman"/>
          <w:b/>
          <w:bCs/>
          <w:sz w:val="24"/>
          <w:szCs w:val="24"/>
          <w:u w:val="single"/>
        </w:rPr>
      </w:pP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u w:val="single"/>
        </w:rPr>
        <w:t>Section 192 –  Payment of Salary and Wages</w:t>
      </w:r>
    </w:p>
    <w:p w:rsidR="00171E4A" w:rsidRPr="00171E4A" w:rsidRDefault="00171E4A" w:rsidP="00171E4A">
      <w:pPr>
        <w:numPr>
          <w:ilvl w:val="0"/>
          <w:numId w:val="1"/>
        </w:num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TDS is deducted if the estimated income of the employee is taxable.</w:t>
      </w:r>
    </w:p>
    <w:p w:rsidR="00171E4A" w:rsidRPr="00171E4A" w:rsidRDefault="00171E4A" w:rsidP="00171E4A">
      <w:pPr>
        <w:numPr>
          <w:ilvl w:val="0"/>
          <w:numId w:val="1"/>
        </w:num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Criteria of Deduction: -</w:t>
      </w:r>
      <w:r w:rsidRPr="00171E4A">
        <w:rPr>
          <w:rFonts w:ascii="Book Antiqua" w:eastAsia="Times New Roman" w:hAnsi="Book Antiqua" w:cs="Times New Roman"/>
          <w:sz w:val="24"/>
          <w:szCs w:val="24"/>
        </w:rPr>
        <w:t xml:space="preserve"> Employer must not deduct tax on non-taxable allowances like conveyance allowance, rent allowance, medical allowance and deductible investments under sections like 80C, 80CC, 80D, 80DD, 80DDB, 80E, 80GG and 80U.</w:t>
      </w:r>
    </w:p>
    <w:p w:rsidR="00171E4A" w:rsidRPr="00171E4A" w:rsidRDefault="00171E4A" w:rsidP="00171E4A">
      <w:pPr>
        <w:numPr>
          <w:ilvl w:val="0"/>
          <w:numId w:val="1"/>
        </w:num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No tax is required to be deducted at source if the estimated total income of the employee is less than the minimum taxable income (Rs. 2,20,000/- in case of Individual, HUF, AOP, BOD and AJP. Nil for others.)</w:t>
      </w:r>
    </w:p>
    <w:p w:rsidR="00171E4A" w:rsidRPr="00171E4A" w:rsidRDefault="00171E4A" w:rsidP="00171E4A">
      <w:pPr>
        <w:numPr>
          <w:ilvl w:val="0"/>
          <w:numId w:val="1"/>
        </w:num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TDS Rate -</w:t>
      </w:r>
      <w:r w:rsidRPr="00171E4A">
        <w:rPr>
          <w:rFonts w:ascii="Book Antiqua" w:eastAsia="Times New Roman" w:hAnsi="Book Antiqua" w:cs="Times New Roman"/>
          <w:sz w:val="24"/>
          <w:szCs w:val="24"/>
        </w:rPr>
        <w:t>  As per Income Tax, Surcharge and Education Cess rates applicable on the estimated income of employee for the year.</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TDS Rates on Payments other than Salary and Wages to Residents (including domestic companies)</w:t>
      </w:r>
    </w:p>
    <w:tbl>
      <w:tblPr>
        <w:tblW w:w="1008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57"/>
        <w:gridCol w:w="3131"/>
        <w:gridCol w:w="3416"/>
        <w:gridCol w:w="1785"/>
        <w:gridCol w:w="892"/>
      </w:tblGrid>
      <w:tr w:rsidR="00171E4A" w:rsidRPr="00171E4A" w:rsidTr="00216BA5">
        <w:trPr>
          <w:tblCellSpacing w:w="0" w:type="dxa"/>
        </w:trPr>
        <w:tc>
          <w:tcPr>
            <w:tcW w:w="0" w:type="auto"/>
            <w:hideMark/>
          </w:tcPr>
          <w:p w:rsidR="00171E4A" w:rsidRPr="00171E4A" w:rsidRDefault="00171E4A" w:rsidP="00171E4A">
            <w:pPr>
              <w:spacing w:before="100" w:beforeAutospacing="1" w:after="100" w:afterAutospacing="1"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Section</w:t>
            </w:r>
          </w:p>
        </w:tc>
        <w:tc>
          <w:tcPr>
            <w:tcW w:w="0" w:type="auto"/>
            <w:hideMark/>
          </w:tcPr>
          <w:p w:rsidR="00171E4A" w:rsidRPr="00171E4A" w:rsidRDefault="00171E4A" w:rsidP="00171E4A">
            <w:pPr>
              <w:spacing w:before="100" w:beforeAutospacing="1" w:after="100" w:afterAutospacing="1"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For Payment of</w:t>
            </w:r>
          </w:p>
        </w:tc>
        <w:tc>
          <w:tcPr>
            <w:tcW w:w="3416" w:type="dxa"/>
            <w:hideMark/>
          </w:tcPr>
          <w:p w:rsidR="00171E4A" w:rsidRPr="00171E4A" w:rsidRDefault="00171E4A" w:rsidP="00171E4A">
            <w:pPr>
              <w:spacing w:before="100" w:beforeAutospacing="1" w:after="100" w:afterAutospacing="1"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On Payments Exceeding</w:t>
            </w:r>
          </w:p>
        </w:tc>
        <w:tc>
          <w:tcPr>
            <w:tcW w:w="1785" w:type="dxa"/>
            <w:hideMark/>
          </w:tcPr>
          <w:p w:rsidR="00171E4A" w:rsidRPr="00171E4A" w:rsidRDefault="00171E4A" w:rsidP="00171E4A">
            <w:pPr>
              <w:spacing w:before="100" w:beforeAutospacing="1" w:after="100" w:afterAutospacing="1"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Individual/HUF</w:t>
            </w:r>
          </w:p>
        </w:tc>
        <w:tc>
          <w:tcPr>
            <w:tcW w:w="892" w:type="dxa"/>
            <w:hideMark/>
          </w:tcPr>
          <w:p w:rsidR="00171E4A" w:rsidRPr="00171E4A" w:rsidRDefault="00171E4A" w:rsidP="00171E4A">
            <w:pPr>
              <w:spacing w:before="100" w:beforeAutospacing="1" w:after="100" w:afterAutospacing="1" w:line="240" w:lineRule="auto"/>
              <w:jc w:val="center"/>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Others</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193</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Interest on Debentures</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5000/-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Deemed Dividend</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No minimum</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A</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Interest other than on securities by banks</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A</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Interest other than on securities by others</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5000/-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B</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Winnings from Lotteries / Puzzle / Game</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30%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30%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BB</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Winnings from Horse Race</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5000/-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30%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30%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C (1)</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Payment to Contractors</w:t>
            </w:r>
          </w:p>
        </w:tc>
        <w:tc>
          <w:tcPr>
            <w:tcW w:w="3416" w:type="dxa"/>
            <w:vMerge w:val="restart"/>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30000/- for single payment</w:t>
            </w:r>
          </w:p>
          <w:p w:rsidR="00171E4A" w:rsidRPr="00171E4A" w:rsidRDefault="00171E4A" w:rsidP="00171E4A">
            <w:pPr>
              <w:spacing w:before="100" w:beforeAutospacing="1" w:after="100" w:afterAutospacing="1"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75000/- for aggregate</w:t>
            </w:r>
            <w:r w:rsidRPr="00171E4A">
              <w:rPr>
                <w:rFonts w:ascii="Book Antiqua" w:eastAsia="Times New Roman" w:hAnsi="Book Antiqua" w:cs="Times New Roman"/>
                <w:sz w:val="24"/>
                <w:szCs w:val="24"/>
              </w:rPr>
              <w:br/>
              <w:t>payment during Financial Year</w:t>
            </w:r>
          </w:p>
        </w:tc>
        <w:tc>
          <w:tcPr>
            <w:tcW w:w="1785" w:type="dxa"/>
            <w:vMerge w:val="restart"/>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w:t>
            </w:r>
          </w:p>
        </w:tc>
        <w:tc>
          <w:tcPr>
            <w:tcW w:w="892" w:type="dxa"/>
            <w:vMerge w:val="restart"/>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C (2)</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Payment to Sub-Contractors / for Advertisements</w:t>
            </w:r>
          </w:p>
        </w:tc>
        <w:tc>
          <w:tcPr>
            <w:tcW w:w="3416" w:type="dxa"/>
            <w:vMerge/>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p>
        </w:tc>
        <w:tc>
          <w:tcPr>
            <w:tcW w:w="1785" w:type="dxa"/>
            <w:vMerge/>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p>
        </w:tc>
        <w:tc>
          <w:tcPr>
            <w:tcW w:w="892" w:type="dxa"/>
            <w:vMerge/>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D</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Payment of Insurance Commission</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20000/-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EE</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Payment of NSS Deposits</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2500/-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NA</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F</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Repurchase of units by Mutual Funds / UTI</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G</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 xml:space="preserve">Commission ons Sale of </w:t>
            </w:r>
            <w:r w:rsidRPr="00171E4A">
              <w:rPr>
                <w:rFonts w:ascii="Book Antiqua" w:eastAsia="Times New Roman" w:hAnsi="Book Antiqua" w:cs="Times New Roman"/>
                <w:sz w:val="24"/>
                <w:szCs w:val="24"/>
              </w:rPr>
              <w:lastRenderedPageBreak/>
              <w:t>Lottery tickets</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lastRenderedPageBreak/>
              <w:t>Rs. 1000/-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lastRenderedPageBreak/>
              <w:t>194 H</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Commission or Brokerage</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5000/-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vMerge w:val="restart"/>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I</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Rent of Land, Building or Furniture</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180000/-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vMerge/>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Rent of Plant &amp; Machinery</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180000/-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IA</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Transfer of Immovable Property (w.e.f. 01.06.2013)</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50 lacs</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J</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Professional / technical services, royalty</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30000/-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J (1)</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Remuneration / commission to director of the company</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J (ba)</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Any remuneration / fees / commission paid to a director of a company, other than those on which tax is deductible u/s 192.</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L</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Compensation on acquisition of Capital Asset</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r w:rsidR="00171E4A" w:rsidRPr="00171E4A" w:rsidTr="00216BA5">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194 LA</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Compensation on acquisition of certain immovable property</w:t>
            </w:r>
          </w:p>
        </w:tc>
        <w:tc>
          <w:tcPr>
            <w:tcW w:w="3416"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200000/-</w:t>
            </w:r>
          </w:p>
        </w:tc>
        <w:tc>
          <w:tcPr>
            <w:tcW w:w="1785"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c>
          <w:tcPr>
            <w:tcW w:w="89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10%</w:t>
            </w:r>
          </w:p>
        </w:tc>
      </w:tr>
    </w:tbl>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 </w:t>
      </w:r>
      <w:r w:rsidRPr="00171E4A">
        <w:rPr>
          <w:rFonts w:ascii="Book Antiqua" w:eastAsia="Times New Roman" w:hAnsi="Book Antiqua" w:cs="Times New Roman"/>
          <w:b/>
          <w:bCs/>
          <w:sz w:val="24"/>
          <w:szCs w:val="24"/>
        </w:rPr>
        <w:t>Notes:</w:t>
      </w:r>
    </w:p>
    <w:p w:rsidR="00171E4A" w:rsidRPr="00171E4A" w:rsidRDefault="00171E4A" w:rsidP="00171E4A">
      <w:pPr>
        <w:numPr>
          <w:ilvl w:val="0"/>
          <w:numId w:val="2"/>
        </w:num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No surcharge or education cess is deductible / collectible at source on payments made to residents {Individuals / HUF / Society / AOP / Firm / Domestic Company) on payment of incomes other than salary or wages.</w:t>
      </w:r>
    </w:p>
    <w:p w:rsidR="00171E4A" w:rsidRPr="00171E4A" w:rsidRDefault="00171E4A" w:rsidP="00171E4A">
      <w:pPr>
        <w:numPr>
          <w:ilvl w:val="0"/>
          <w:numId w:val="2"/>
        </w:num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TDS at higher rate of 20% has to be deducted if the deductee does not provide PAN to the deductor.(section 206AA)</w:t>
      </w:r>
    </w:p>
    <w:p w:rsidR="00171E4A" w:rsidRPr="00171E4A" w:rsidRDefault="00171E4A" w:rsidP="00171E4A">
      <w:pPr>
        <w:numPr>
          <w:ilvl w:val="0"/>
          <w:numId w:val="2"/>
        </w:num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All persons who are required to deduct tax at source or collect tax at source on behalf of Income Tax Department are required to apply for and obtain Tax Deduction or Tax Collection Account Number (TAN).</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 xml:space="preserve">The following are the list of consequences of TDS: </w:t>
      </w:r>
      <w:r w:rsidRPr="00171E4A">
        <w:rPr>
          <w:rFonts w:ascii="Book Antiqua" w:eastAsia="Times New Roman" w:hAnsi="Book Antiqua" w:cs="Times New Roman"/>
          <w:b/>
          <w:bCs/>
          <w:sz w:val="24"/>
          <w:szCs w:val="24"/>
          <w:u w:val="single"/>
        </w:rPr>
        <w:t xml:space="preserve">Consequences of TDS defaults </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Failure to deduct taxes or wrong deduction of TDS (non deposit, short deposit or late deposit):</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002"/>
        <w:gridCol w:w="1140"/>
        <w:gridCol w:w="1438"/>
        <w:gridCol w:w="3952"/>
      </w:tblGrid>
      <w:tr w:rsidR="00171E4A" w:rsidRPr="00171E4A" w:rsidTr="00171E4A">
        <w:trPr>
          <w:tblCellSpacing w:w="0" w:type="dxa"/>
        </w:trPr>
        <w:tc>
          <w:tcPr>
            <w:tcW w:w="0" w:type="auto"/>
            <w:gridSpan w:val="4"/>
            <w:vAlign w:val="center"/>
            <w:hideMark/>
          </w:tcPr>
          <w:p w:rsidR="00171E4A" w:rsidRDefault="00171E4A" w:rsidP="00171E4A">
            <w:pPr>
              <w:spacing w:after="0" w:line="240" w:lineRule="auto"/>
              <w:rPr>
                <w:rFonts w:ascii="Book Antiqua" w:eastAsia="Times New Roman" w:hAnsi="Book Antiqua" w:cs="Times New Roman"/>
                <w:b/>
                <w:bCs/>
                <w:sz w:val="24"/>
                <w:szCs w:val="24"/>
              </w:rPr>
            </w:pPr>
            <w:r w:rsidRPr="00171E4A">
              <w:rPr>
                <w:rFonts w:ascii="Book Antiqua" w:eastAsia="Times New Roman" w:hAnsi="Book Antiqua" w:cs="Times New Roman"/>
                <w:b/>
                <w:bCs/>
                <w:sz w:val="24"/>
                <w:szCs w:val="24"/>
              </w:rPr>
              <w:t>Default/ Failure           </w:t>
            </w:r>
            <w:r>
              <w:rPr>
                <w:rFonts w:ascii="Book Antiqua" w:eastAsia="Times New Roman" w:hAnsi="Book Antiqua" w:cs="Times New Roman"/>
                <w:b/>
                <w:bCs/>
                <w:sz w:val="24"/>
                <w:szCs w:val="24"/>
              </w:rPr>
              <w:t xml:space="preserve">                         </w:t>
            </w:r>
            <w:r w:rsidRPr="00171E4A">
              <w:rPr>
                <w:rFonts w:ascii="Book Antiqua" w:eastAsia="Times New Roman" w:hAnsi="Book Antiqua" w:cs="Times New Roman"/>
                <w:b/>
                <w:bCs/>
                <w:sz w:val="24"/>
                <w:szCs w:val="24"/>
              </w:rPr>
              <w:t>   Section      Nature</w:t>
            </w:r>
            <w:r>
              <w:rPr>
                <w:rFonts w:ascii="Book Antiqua" w:eastAsia="Times New Roman" w:hAnsi="Book Antiqua" w:cs="Times New Roman"/>
                <w:b/>
                <w:bCs/>
                <w:sz w:val="24"/>
                <w:szCs w:val="24"/>
              </w:rPr>
              <w:t xml:space="preserve">       </w:t>
            </w:r>
            <w:r w:rsidRPr="00171E4A">
              <w:rPr>
                <w:rFonts w:ascii="Book Antiqua" w:eastAsia="Times New Roman" w:hAnsi="Book Antiqua" w:cs="Times New Roman"/>
                <w:b/>
                <w:bCs/>
                <w:sz w:val="24"/>
                <w:szCs w:val="24"/>
              </w:rPr>
              <w:t xml:space="preserve"> </w:t>
            </w:r>
            <w:r>
              <w:rPr>
                <w:rFonts w:ascii="Book Antiqua" w:eastAsia="Times New Roman" w:hAnsi="Book Antiqua" w:cs="Times New Roman"/>
                <w:b/>
                <w:bCs/>
                <w:sz w:val="24"/>
                <w:szCs w:val="24"/>
              </w:rPr>
              <w:t xml:space="preserve">   </w:t>
            </w:r>
            <w:r w:rsidRPr="00171E4A">
              <w:rPr>
                <w:rFonts w:ascii="Book Antiqua" w:eastAsia="Times New Roman" w:hAnsi="Book Antiqua" w:cs="Times New Roman"/>
                <w:b/>
                <w:bCs/>
                <w:sz w:val="24"/>
                <w:szCs w:val="24"/>
              </w:rPr>
              <w:t>Quantum of demand or penalty</w:t>
            </w:r>
          </w:p>
          <w:p w:rsidR="00171E4A" w:rsidRPr="00171E4A" w:rsidRDefault="00171E4A" w:rsidP="00171E4A">
            <w:pPr>
              <w:spacing w:after="0" w:line="240" w:lineRule="auto"/>
              <w:rPr>
                <w:rFonts w:ascii="Book Antiqua" w:eastAsia="Times New Roman" w:hAnsi="Book Antiqua" w:cs="Times New Roman"/>
                <w:sz w:val="24"/>
                <w:szCs w:val="24"/>
              </w:rPr>
            </w:pPr>
            <w:r>
              <w:rPr>
                <w:rFonts w:ascii="Book Antiqua" w:eastAsia="Times New Roman" w:hAnsi="Book Antiqua" w:cs="Times New Roman"/>
                <w:b/>
                <w:bCs/>
                <w:sz w:val="24"/>
                <w:szCs w:val="24"/>
              </w:rPr>
              <w:t xml:space="preserve">                                                                                      </w:t>
            </w:r>
            <w:r w:rsidRPr="00171E4A">
              <w:rPr>
                <w:rFonts w:ascii="Book Antiqua" w:eastAsia="Times New Roman" w:hAnsi="Book Antiqua" w:cs="Times New Roman"/>
                <w:b/>
                <w:bCs/>
                <w:sz w:val="24"/>
                <w:szCs w:val="24"/>
              </w:rPr>
              <w:t>of Demand</w:t>
            </w:r>
          </w:p>
        </w:tc>
      </w:tr>
      <w:tr w:rsidR="00171E4A" w:rsidRPr="00171E4A" w:rsidTr="00171E4A">
        <w:trPr>
          <w:tblCellSpacing w:w="0" w:type="dxa"/>
        </w:trPr>
        <w:tc>
          <w:tcPr>
            <w:tcW w:w="0" w:type="auto"/>
            <w:vMerge w:val="restart"/>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Failure to deduct tax at source</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201(1)</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Tax demand</w:t>
            </w:r>
          </w:p>
        </w:tc>
        <w:tc>
          <w:tcPr>
            <w:tcW w:w="395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Equal to tax amount deductible but not deducted</w:t>
            </w:r>
          </w:p>
        </w:tc>
      </w:tr>
      <w:tr w:rsidR="00171E4A" w:rsidRPr="00171E4A" w:rsidTr="00171E4A">
        <w:trPr>
          <w:tblCellSpacing w:w="0" w:type="dxa"/>
        </w:trPr>
        <w:tc>
          <w:tcPr>
            <w:tcW w:w="0" w:type="auto"/>
            <w:vMerge/>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p>
        </w:tc>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201(1A)</w:t>
            </w:r>
          </w:p>
        </w:tc>
        <w:tc>
          <w:tcPr>
            <w:tcW w:w="1438"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Interest</w:t>
            </w:r>
          </w:p>
        </w:tc>
        <w:tc>
          <w:tcPr>
            <w:tcW w:w="395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@1 % p.m. of tax deductible</w:t>
            </w:r>
          </w:p>
        </w:tc>
      </w:tr>
      <w:tr w:rsidR="00171E4A" w:rsidRPr="00171E4A" w:rsidTr="00171E4A">
        <w:trPr>
          <w:tblCellSpacing w:w="0" w:type="dxa"/>
        </w:trPr>
        <w:tc>
          <w:tcPr>
            <w:tcW w:w="0" w:type="auto"/>
            <w:vMerge/>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271C</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Penalty</w:t>
            </w:r>
          </w:p>
        </w:tc>
        <w:tc>
          <w:tcPr>
            <w:tcW w:w="395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Equal amount of tax deductible but not deducted</w:t>
            </w:r>
          </w:p>
        </w:tc>
      </w:tr>
      <w:tr w:rsidR="00171E4A" w:rsidRPr="00171E4A" w:rsidTr="00171E4A">
        <w:trPr>
          <w:tblCellSpacing w:w="0" w:type="dxa"/>
        </w:trPr>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Failure to deposit tax at source</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201(1)</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Tax demand</w:t>
            </w:r>
          </w:p>
        </w:tc>
        <w:tc>
          <w:tcPr>
            <w:tcW w:w="395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Equal to tax amount not deposited</w:t>
            </w:r>
          </w:p>
        </w:tc>
      </w:tr>
      <w:tr w:rsidR="00171E4A" w:rsidRPr="00171E4A" w:rsidTr="00171E4A">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 </w:t>
            </w:r>
          </w:p>
        </w:tc>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201(1A)</w:t>
            </w:r>
          </w:p>
        </w:tc>
        <w:tc>
          <w:tcPr>
            <w:tcW w:w="1438"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Interest</w:t>
            </w:r>
          </w:p>
        </w:tc>
        <w:tc>
          <w:tcPr>
            <w:tcW w:w="395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@1.5% p.m. of tax not deducted</w:t>
            </w:r>
          </w:p>
        </w:tc>
      </w:tr>
      <w:tr w:rsidR="00171E4A" w:rsidRPr="00171E4A" w:rsidTr="00171E4A">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 </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276B</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Prosecution</w:t>
            </w:r>
          </w:p>
        </w:tc>
        <w:tc>
          <w:tcPr>
            <w:tcW w:w="395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Rigorous imprisonment for a term for a minimum of 3 months which may extend to 7 years and with fine</w:t>
            </w:r>
          </w:p>
        </w:tc>
      </w:tr>
      <w:tr w:rsidR="00171E4A" w:rsidRPr="00171E4A" w:rsidTr="00171E4A">
        <w:trPr>
          <w:tblCellSpacing w:w="0" w:type="dxa"/>
        </w:trPr>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Failure to apply for TAN No. u/s 203A</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272BB</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Penalty</w:t>
            </w:r>
          </w:p>
        </w:tc>
        <w:tc>
          <w:tcPr>
            <w:tcW w:w="395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10000</w:t>
            </w:r>
          </w:p>
        </w:tc>
      </w:tr>
      <w:tr w:rsidR="00171E4A" w:rsidRPr="00171E4A" w:rsidTr="00171E4A">
        <w:trPr>
          <w:tblCellSpacing w:w="0" w:type="dxa"/>
        </w:trPr>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Failure to furnish prescribed statements u/s 200(3)</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272A(2)(k)</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Penalty</w:t>
            </w:r>
          </w:p>
        </w:tc>
        <w:tc>
          <w:tcPr>
            <w:tcW w:w="395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 every day during which the failure continues subject to maximum of TDS amount</w:t>
            </w:r>
          </w:p>
        </w:tc>
      </w:tr>
      <w:tr w:rsidR="00171E4A" w:rsidRPr="00171E4A" w:rsidTr="00171E4A">
        <w:trPr>
          <w:tblCellSpacing w:w="0" w:type="dxa"/>
        </w:trPr>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Failure to issue TDS certificate u/s 203</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272(A)(g)</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Penalty</w:t>
            </w:r>
          </w:p>
        </w:tc>
        <w:tc>
          <w:tcPr>
            <w:tcW w:w="3952" w:type="dxa"/>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 every day during which the failure continues subject to maximum of TDS amount.</w:t>
            </w:r>
          </w:p>
        </w:tc>
      </w:tr>
      <w:tr w:rsidR="00171E4A" w:rsidRPr="00171E4A" w:rsidTr="00171E4A">
        <w:trPr>
          <w:tblCellSpacing w:w="0" w:type="dxa"/>
        </w:trPr>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Failure      to      furnish</w:t>
            </w:r>
          </w:p>
          <w:p w:rsidR="00171E4A" w:rsidRPr="00171E4A" w:rsidRDefault="00171E4A" w:rsidP="00171E4A">
            <w:pPr>
              <w:spacing w:before="100" w:beforeAutospacing="1" w:after="100" w:afterAutospacing="1"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statement                      of</w:t>
            </w:r>
            <w:r w:rsidRPr="00171E4A">
              <w:rPr>
                <w:rFonts w:ascii="Book Antiqua" w:eastAsia="Times New Roman" w:hAnsi="Book Antiqua" w:cs="Times New Roman"/>
                <w:b/>
                <w:bCs/>
                <w:sz w:val="24"/>
                <w:szCs w:val="24"/>
              </w:rPr>
              <w:br/>
              <w:t>perquisite or profit in</w:t>
            </w:r>
          </w:p>
          <w:p w:rsidR="00171E4A" w:rsidRPr="00171E4A" w:rsidRDefault="00171E4A" w:rsidP="00171E4A">
            <w:pPr>
              <w:spacing w:before="100" w:beforeAutospacing="1" w:after="100" w:afterAutospacing="1"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lieu     of     salary     u/s</w:t>
            </w:r>
            <w:r w:rsidRPr="00171E4A">
              <w:rPr>
                <w:rFonts w:ascii="Book Antiqua" w:eastAsia="Times New Roman" w:hAnsi="Book Antiqua" w:cs="Times New Roman"/>
                <w:b/>
                <w:bCs/>
                <w:sz w:val="24"/>
                <w:szCs w:val="24"/>
              </w:rPr>
              <w:br/>
              <w:t>192(2C)</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272(A)(i)</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Penalty</w:t>
            </w:r>
          </w:p>
        </w:tc>
        <w:tc>
          <w:tcPr>
            <w:tcW w:w="395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 every day during which the failure continues subject to maximum of TDS amount</w:t>
            </w:r>
          </w:p>
        </w:tc>
      </w:tr>
      <w:tr w:rsidR="00171E4A" w:rsidRPr="00171E4A" w:rsidTr="00171E4A">
        <w:trPr>
          <w:tblCellSpacing w:w="0" w:type="dxa"/>
        </w:trPr>
        <w:tc>
          <w:tcPr>
            <w:tcW w:w="0" w:type="auto"/>
            <w:vAlign w:val="center"/>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Failure to mention PAN of the deductee in the TDS statements and certificates</w:t>
            </w:r>
          </w:p>
        </w:tc>
        <w:tc>
          <w:tcPr>
            <w:tcW w:w="0" w:type="auto"/>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272B</w:t>
            </w:r>
          </w:p>
        </w:tc>
        <w:tc>
          <w:tcPr>
            <w:tcW w:w="1438"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Penalty</w:t>
            </w:r>
          </w:p>
        </w:tc>
        <w:tc>
          <w:tcPr>
            <w:tcW w:w="3952" w:type="dxa"/>
            <w:hideMark/>
          </w:tcPr>
          <w:p w:rsidR="00171E4A" w:rsidRPr="00171E4A" w:rsidRDefault="00171E4A" w:rsidP="00171E4A">
            <w:pPr>
              <w:spacing w:after="0" w:line="240" w:lineRule="auto"/>
              <w:rPr>
                <w:rFonts w:ascii="Book Antiqua" w:eastAsia="Times New Roman" w:hAnsi="Book Antiqua" w:cs="Times New Roman"/>
                <w:sz w:val="24"/>
                <w:szCs w:val="24"/>
              </w:rPr>
            </w:pPr>
            <w:r w:rsidRPr="00171E4A">
              <w:rPr>
                <w:rFonts w:ascii="Book Antiqua" w:eastAsia="Times New Roman" w:hAnsi="Book Antiqua" w:cs="Times New Roman"/>
                <w:sz w:val="24"/>
                <w:szCs w:val="24"/>
              </w:rPr>
              <w:t>Rs. 10000</w:t>
            </w:r>
          </w:p>
        </w:tc>
      </w:tr>
    </w:tbl>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u w:val="single"/>
        </w:rPr>
        <w:t xml:space="preserve">Now we can even get the refund of excess TDS paid by us in the following manner: </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b/>
          <w:bCs/>
          <w:sz w:val="24"/>
          <w:szCs w:val="24"/>
        </w:rPr>
        <w:t>GUIDELINES- REQUEST FOR REFUND</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It is mandatory to register digital signature on TRACES to submit the refund request.</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Request for refund can be submitted only if there is no outstanding demand against the TAN. Refund request can be submitted after total outstanding demand is closed.</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A refund request can contain maximum of five challans. For claiming more challans, submit new request. Maximum refund amount will be the minimum challan balance amount in the challan history.</w:t>
      </w:r>
    </w:p>
    <w:p w:rsidR="00171E4A" w:rsidRP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t>Available amount per challan must be greater than Rs.100/- Ensure that all statement in which the challan has been claimed have been processed before claiming refund for the challan.</w:t>
      </w:r>
    </w:p>
    <w:p w:rsid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r w:rsidRPr="00171E4A">
        <w:rPr>
          <w:rFonts w:ascii="Book Antiqua" w:eastAsia="Times New Roman" w:hAnsi="Book Antiqua" w:cs="Times New Roman"/>
          <w:sz w:val="24"/>
          <w:szCs w:val="24"/>
        </w:rPr>
        <w:lastRenderedPageBreak/>
        <w:t>Hence now it is becoming necessary to comply with the provisions of TDS timely and with extra care</w:t>
      </w:r>
    </w:p>
    <w:p w:rsidR="00171E4A" w:rsidRDefault="00171E4A" w:rsidP="00171E4A">
      <w:pPr>
        <w:spacing w:before="100" w:beforeAutospacing="1" w:after="100" w:afterAutospacing="1" w:line="240" w:lineRule="auto"/>
        <w:jc w:val="both"/>
        <w:rPr>
          <w:rFonts w:ascii="Book Antiqua" w:eastAsia="Times New Roman" w:hAnsi="Book Antiqua" w:cs="Times New Roman"/>
          <w:sz w:val="24"/>
          <w:szCs w:val="24"/>
        </w:rPr>
      </w:pPr>
    </w:p>
    <w:p w:rsidR="00171E4A" w:rsidRPr="00171E4A" w:rsidRDefault="00171E4A" w:rsidP="00171E4A">
      <w:pPr>
        <w:spacing w:before="100" w:beforeAutospacing="1" w:after="100" w:afterAutospacing="1" w:line="240" w:lineRule="auto"/>
        <w:jc w:val="center"/>
        <w:rPr>
          <w:rFonts w:ascii="Book Antiqua" w:eastAsia="Times New Roman" w:hAnsi="Book Antiqua" w:cs="Times New Roman"/>
          <w:sz w:val="24"/>
          <w:szCs w:val="24"/>
        </w:rPr>
      </w:pPr>
      <w:r>
        <w:rPr>
          <w:rFonts w:ascii="Book Antiqua" w:eastAsia="Times New Roman" w:hAnsi="Book Antiqua" w:cs="Times New Roman"/>
          <w:sz w:val="24"/>
          <w:szCs w:val="24"/>
        </w:rPr>
        <w:t>***************************************************************</w:t>
      </w:r>
    </w:p>
    <w:sectPr w:rsidR="00171E4A" w:rsidRPr="00171E4A" w:rsidSect="00171E4A">
      <w:headerReference w:type="default" r:id="rId8"/>
      <w:footerReference w:type="default" r:id="rId9"/>
      <w:pgSz w:w="12240" w:h="15840"/>
      <w:pgMar w:top="864" w:right="864" w:bottom="864"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7F5" w:rsidRDefault="007A27F5" w:rsidP="00216BA5">
      <w:pPr>
        <w:spacing w:after="0" w:line="240" w:lineRule="auto"/>
      </w:pPr>
      <w:r>
        <w:separator/>
      </w:r>
    </w:p>
  </w:endnote>
  <w:endnote w:type="continuationSeparator" w:id="1">
    <w:p w:rsidR="007A27F5" w:rsidRDefault="007A27F5" w:rsidP="00216B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9360"/>
      <w:docPartObj>
        <w:docPartGallery w:val="Page Numbers (Bottom of Page)"/>
        <w:docPartUnique/>
      </w:docPartObj>
    </w:sdtPr>
    <w:sdtEndPr>
      <w:rPr>
        <w:i/>
      </w:rPr>
    </w:sdtEndPr>
    <w:sdtContent>
      <w:p w:rsidR="00216BA5" w:rsidRPr="00216BA5" w:rsidRDefault="00216BA5" w:rsidP="00216BA5">
        <w:pPr>
          <w:spacing w:before="100" w:beforeAutospacing="1" w:after="100" w:afterAutospacing="1" w:line="240" w:lineRule="auto"/>
          <w:jc w:val="center"/>
          <w:outlineLvl w:val="1"/>
          <w:rPr>
            <w:rFonts w:ascii="Book Antiqua" w:eastAsia="Times New Roman" w:hAnsi="Book Antiqua" w:cs="Times New Roman"/>
            <w:bCs/>
            <w:i/>
            <w:sz w:val="18"/>
            <w:szCs w:val="18"/>
          </w:rPr>
        </w:pPr>
        <w:r w:rsidRPr="00216BA5">
          <w:rPr>
            <w:rFonts w:ascii="Book Antiqua" w:eastAsia="Times New Roman" w:hAnsi="Book Antiqua" w:cs="Times New Roman"/>
            <w:bCs/>
            <w:i/>
            <w:sz w:val="18"/>
            <w:szCs w:val="18"/>
          </w:rPr>
          <w:t>Provision for TDS</w:t>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rFonts w:ascii="Book Antiqua" w:eastAsia="Times New Roman" w:hAnsi="Book Antiqua" w:cs="Times New Roman"/>
            <w:bCs/>
            <w:i/>
            <w:sz w:val="18"/>
            <w:szCs w:val="18"/>
          </w:rPr>
          <w:tab/>
        </w:r>
        <w:r w:rsidRPr="00216BA5">
          <w:rPr>
            <w:i/>
          </w:rPr>
          <w:t xml:space="preserve">Page- </w:t>
        </w:r>
        <w:r w:rsidRPr="00216BA5">
          <w:rPr>
            <w:i/>
          </w:rPr>
          <w:fldChar w:fldCharType="begin"/>
        </w:r>
        <w:r w:rsidRPr="00216BA5">
          <w:rPr>
            <w:i/>
          </w:rPr>
          <w:instrText xml:space="preserve"> PAGE   \* MERGEFORMAT </w:instrText>
        </w:r>
        <w:r w:rsidRPr="00216BA5">
          <w:rPr>
            <w:i/>
          </w:rPr>
          <w:fldChar w:fldCharType="separate"/>
        </w:r>
        <w:r>
          <w:rPr>
            <w:i/>
            <w:noProof/>
          </w:rPr>
          <w:t>1</w:t>
        </w:r>
        <w:r w:rsidRPr="00216BA5">
          <w:rPr>
            <w:i/>
          </w:rPr>
          <w:fldChar w:fldCharType="end"/>
        </w:r>
      </w:p>
    </w:sdtContent>
  </w:sdt>
  <w:p w:rsidR="00216BA5" w:rsidRDefault="00216B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7F5" w:rsidRDefault="007A27F5" w:rsidP="00216BA5">
      <w:pPr>
        <w:spacing w:after="0" w:line="240" w:lineRule="auto"/>
      </w:pPr>
      <w:r>
        <w:separator/>
      </w:r>
    </w:p>
  </w:footnote>
  <w:footnote w:type="continuationSeparator" w:id="1">
    <w:p w:rsidR="007A27F5" w:rsidRDefault="007A27F5" w:rsidP="00216B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BA5" w:rsidRDefault="00216BA5" w:rsidP="00216BA5">
    <w:pPr>
      <w:pStyle w:val="Header"/>
      <w:jc w:val="right"/>
      <w:rPr>
        <w:b/>
        <w:i/>
      </w:rPr>
    </w:pPr>
    <w:r w:rsidRPr="00216BA5">
      <w:rPr>
        <w:b/>
        <w:i/>
      </w:rPr>
      <w:t>Vikas Tailor</w:t>
    </w:r>
  </w:p>
  <w:p w:rsidR="00216BA5" w:rsidRPr="00216BA5" w:rsidRDefault="00216BA5" w:rsidP="00216BA5">
    <w:pPr>
      <w:pStyle w:val="Header"/>
      <w:jc w:val="right"/>
      <w:rPr>
        <w:b/>
        <w:i/>
      </w:rPr>
    </w:pPr>
    <w:r>
      <w:rPr>
        <w:b/>
        <w:i/>
      </w:rPr>
      <w:t>Best Of Luckvikas@gmail.com</w:t>
    </w:r>
  </w:p>
  <w:sdt>
    <w:sdtPr>
      <w:id w:val="12349380"/>
      <w:docPartObj>
        <w:docPartGallery w:val="Watermarks"/>
        <w:docPartUnique/>
      </w:docPartObj>
    </w:sdtPr>
    <w:sdtContent>
      <w:p w:rsidR="00216BA5" w:rsidRDefault="00216BA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45486" o:spid="_x0000_s2049" type="#_x0000_t136" style="position:absolute;margin-left:0;margin-top:0;width:602.05pt;height:138.9pt;rotation:315;z-index:-251656192;mso-position-horizontal:center;mso-position-horizontal-relative:margin;mso-position-vertical:center;mso-position-vertical-relative:margin" o:allowincell="f" fillcolor="black [3213]" stroked="f">
              <v:fill opacity=".5"/>
              <v:textpath style="font-family:&quot;Calibri&quot;;font-size:1pt" string="Provision for TDS"/>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E2E62"/>
    <w:multiLevelType w:val="multilevel"/>
    <w:tmpl w:val="5D66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2A442A"/>
    <w:multiLevelType w:val="multilevel"/>
    <w:tmpl w:val="84C0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171E4A"/>
    <w:rsid w:val="00171E4A"/>
    <w:rsid w:val="00216BA5"/>
    <w:rsid w:val="007A27F5"/>
    <w:rsid w:val="009F21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115"/>
  </w:style>
  <w:style w:type="paragraph" w:styleId="Heading2">
    <w:name w:val="heading 2"/>
    <w:basedOn w:val="Normal"/>
    <w:link w:val="Heading2Char"/>
    <w:uiPriority w:val="9"/>
    <w:qFormat/>
    <w:rsid w:val="00171E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1E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171E4A"/>
  </w:style>
  <w:style w:type="character" w:customStyle="1" w:styleId="Heading2Char">
    <w:name w:val="Heading 2 Char"/>
    <w:basedOn w:val="DefaultParagraphFont"/>
    <w:link w:val="Heading2"/>
    <w:uiPriority w:val="9"/>
    <w:rsid w:val="00171E4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71E4A"/>
    <w:rPr>
      <w:color w:val="0000FF"/>
      <w:u w:val="single"/>
    </w:rPr>
  </w:style>
  <w:style w:type="paragraph" w:styleId="Header">
    <w:name w:val="header"/>
    <w:basedOn w:val="Normal"/>
    <w:link w:val="HeaderChar"/>
    <w:uiPriority w:val="99"/>
    <w:unhideWhenUsed/>
    <w:rsid w:val="0021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BA5"/>
  </w:style>
  <w:style w:type="paragraph" w:styleId="Footer">
    <w:name w:val="footer"/>
    <w:basedOn w:val="Normal"/>
    <w:link w:val="FooterChar"/>
    <w:uiPriority w:val="99"/>
    <w:unhideWhenUsed/>
    <w:rsid w:val="0021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BA5"/>
  </w:style>
  <w:style w:type="paragraph" w:styleId="BalloonText">
    <w:name w:val="Balloon Text"/>
    <w:basedOn w:val="Normal"/>
    <w:link w:val="BalloonTextChar"/>
    <w:uiPriority w:val="99"/>
    <w:semiHidden/>
    <w:unhideWhenUsed/>
    <w:rsid w:val="00216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B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3619378">
      <w:bodyDiv w:val="1"/>
      <w:marLeft w:val="0"/>
      <w:marRight w:val="0"/>
      <w:marTop w:val="0"/>
      <w:marBottom w:val="0"/>
      <w:divBdr>
        <w:top w:val="none" w:sz="0" w:space="0" w:color="auto"/>
        <w:left w:val="none" w:sz="0" w:space="0" w:color="auto"/>
        <w:bottom w:val="none" w:sz="0" w:space="0" w:color="auto"/>
        <w:right w:val="none" w:sz="0" w:space="0" w:color="auto"/>
      </w:divBdr>
    </w:div>
    <w:div w:id="161882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D18B1"/>
    <w:rsid w:val="000876DA"/>
    <w:rsid w:val="005D18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9A315C68BE4EAC907FEAADC623A4FF">
    <w:name w:val="EF9A315C68BE4EAC907FEAADC623A4FF"/>
    <w:rsid w:val="005D18B1"/>
  </w:style>
  <w:style w:type="paragraph" w:customStyle="1" w:styleId="D49339C40B8643A28D46CCF4F08D66B6">
    <w:name w:val="D49339C40B8643A28D46CCF4F08D66B6"/>
    <w:rsid w:val="005D18B1"/>
  </w:style>
  <w:style w:type="paragraph" w:customStyle="1" w:styleId="248ECE9C2187496C8AF30BC6D62C3300">
    <w:name w:val="248ECE9C2187496C8AF30BC6D62C3300"/>
    <w:rsid w:val="005D18B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CCB38-B686-47F9-B881-EBF684A1E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1474</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9863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Vikas Tailor</dc:title>
  <dc:subject/>
  <dc:creator>CHANGE_ME1</dc:creator>
  <cp:keywords/>
  <dc:description/>
  <cp:lastModifiedBy>CHANGE_ME1</cp:lastModifiedBy>
  <cp:revision>1</cp:revision>
  <dcterms:created xsi:type="dcterms:W3CDTF">2014-03-20T06:47:00Z</dcterms:created>
  <dcterms:modified xsi:type="dcterms:W3CDTF">2014-03-20T07:04:00Z</dcterms:modified>
</cp:coreProperties>
</file>