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C99" w:rsidRPr="00025C99" w:rsidRDefault="00025C99" w:rsidP="00025C99">
      <w:pPr>
        <w:spacing w:before="100" w:beforeAutospacing="1" w:after="100" w:afterAutospacing="1" w:line="528" w:lineRule="atLeast"/>
        <w:jc w:val="center"/>
        <w:rPr>
          <w:rFonts w:eastAsia="Times New Roman" w:cs="Arial"/>
          <w:b/>
          <w:color w:val="0D0D0D" w:themeColor="text1" w:themeTint="F2"/>
          <w:sz w:val="26"/>
          <w:szCs w:val="26"/>
        </w:rPr>
      </w:pPr>
      <w:r w:rsidRPr="00025C99">
        <w:rPr>
          <w:rFonts w:eastAsia="Times New Roman" w:cs="Arial"/>
          <w:b/>
          <w:color w:val="0D0D0D" w:themeColor="text1" w:themeTint="F2"/>
          <w:sz w:val="26"/>
          <w:szCs w:val="26"/>
        </w:rPr>
        <w:t>Alternate Minimum Tax –Sec 115 JC to JF</w:t>
      </w:r>
    </w:p>
    <w:p w:rsidR="00381108" w:rsidRPr="00381108" w:rsidRDefault="00381108" w:rsidP="00381108">
      <w:pPr>
        <w:pStyle w:val="ListParagraph"/>
        <w:numPr>
          <w:ilvl w:val="0"/>
          <w:numId w:val="1"/>
        </w:numPr>
        <w:spacing w:before="100" w:beforeAutospacing="1" w:after="100" w:afterAutospacing="1" w:line="528" w:lineRule="atLeast"/>
        <w:jc w:val="both"/>
        <w:rPr>
          <w:rFonts w:eastAsia="Times New Roman" w:cs="Arial"/>
          <w:color w:val="0D0D0D" w:themeColor="text1" w:themeTint="F2"/>
        </w:rPr>
      </w:pPr>
      <w:r w:rsidRPr="00381108">
        <w:rPr>
          <w:rFonts w:eastAsia="Times New Roman" w:cs="Arial"/>
          <w:color w:val="0D0D0D" w:themeColor="text1" w:themeTint="F2"/>
        </w:rPr>
        <w:t>Minimum Alternate Tax (MAT) is one of the ways of pocketing the minimum tax from the tax payers.</w:t>
      </w:r>
    </w:p>
    <w:p w:rsidR="00381108" w:rsidRPr="00381108" w:rsidRDefault="00381108" w:rsidP="00381108">
      <w:pPr>
        <w:pStyle w:val="ListParagraph"/>
        <w:numPr>
          <w:ilvl w:val="0"/>
          <w:numId w:val="1"/>
        </w:numPr>
        <w:spacing w:before="100" w:beforeAutospacing="1" w:after="100" w:afterAutospacing="1" w:line="528" w:lineRule="atLeast"/>
        <w:jc w:val="both"/>
        <w:rPr>
          <w:rFonts w:eastAsia="Times New Roman" w:cs="Arial"/>
          <w:color w:val="0D0D0D" w:themeColor="text1" w:themeTint="F2"/>
        </w:rPr>
      </w:pPr>
      <w:r w:rsidRPr="00381108">
        <w:rPr>
          <w:rFonts w:eastAsia="Times New Roman" w:cs="Arial"/>
          <w:color w:val="0D0D0D" w:themeColor="text1" w:themeTint="F2"/>
        </w:rPr>
        <w:t>The Finance Ministry is on the way to have corporate and non-corporate assessees on the parallel track to the extent possible. The intention is clearly reflected in the new section 115 JC amended by the Finance Act, 2013 applicable from the A.Y. 2013-14 to all non-corporate assesses.</w:t>
      </w:r>
    </w:p>
    <w:p w:rsidR="00381108" w:rsidRPr="00381108" w:rsidRDefault="00381108" w:rsidP="00381108">
      <w:pPr>
        <w:pStyle w:val="ListParagraph"/>
        <w:numPr>
          <w:ilvl w:val="0"/>
          <w:numId w:val="1"/>
        </w:numPr>
        <w:spacing w:before="100" w:beforeAutospacing="1" w:after="100" w:afterAutospacing="1" w:line="528" w:lineRule="atLeast"/>
        <w:jc w:val="both"/>
        <w:rPr>
          <w:rFonts w:eastAsia="Times New Roman" w:cs="Arial"/>
          <w:color w:val="0D0D0D" w:themeColor="text1" w:themeTint="F2"/>
        </w:rPr>
      </w:pPr>
      <w:r w:rsidRPr="00381108">
        <w:rPr>
          <w:rFonts w:eastAsia="Times New Roman" w:cs="Arial"/>
          <w:color w:val="0D0D0D" w:themeColor="text1" w:themeTint="F2"/>
        </w:rPr>
        <w:t>Provision of the section 115 JC as given in the Act is as under.</w:t>
      </w:r>
    </w:p>
    <w:p w:rsidR="00381108" w:rsidRPr="00381108" w:rsidRDefault="00381108" w:rsidP="00381108">
      <w:pPr>
        <w:pStyle w:val="ListParagraph"/>
        <w:spacing w:before="100" w:beforeAutospacing="1" w:after="100" w:afterAutospacing="1" w:line="528" w:lineRule="atLeast"/>
        <w:jc w:val="both"/>
        <w:rPr>
          <w:rFonts w:eastAsia="Times New Roman" w:cs="Arial"/>
          <w:i/>
          <w:color w:val="0D0D0D" w:themeColor="text1" w:themeTint="F2"/>
          <w:sz w:val="20"/>
          <w:szCs w:val="20"/>
        </w:rPr>
      </w:pPr>
      <w:r w:rsidRPr="00381108">
        <w:rPr>
          <w:rFonts w:eastAsia="Times New Roman" w:cs="Arial"/>
          <w:i/>
          <w:color w:val="0D0D0D" w:themeColor="text1" w:themeTint="F2"/>
          <w:sz w:val="20"/>
          <w:szCs w:val="20"/>
        </w:rPr>
        <w:t xml:space="preserve"> (1) Notwithstanding anything contained in this Act, where the regular income-tax payable for a previous year by a person, other than a company, is less than the alternate minimum tax payable for such previous year, the adjusted total income shall be deemed to be the total income of that person for such previous year and he shall be liable to pay income-tax on such total income at the rate of eighteen and one-half per cent.</w:t>
      </w:r>
    </w:p>
    <w:p w:rsidR="00381108" w:rsidRPr="00381108" w:rsidRDefault="00381108" w:rsidP="00381108">
      <w:pPr>
        <w:pStyle w:val="ListParagraph"/>
        <w:spacing w:before="100" w:beforeAutospacing="1" w:after="100" w:afterAutospacing="1" w:line="528" w:lineRule="atLeast"/>
        <w:jc w:val="both"/>
        <w:rPr>
          <w:rFonts w:eastAsia="Times New Roman" w:cs="Arial"/>
          <w:i/>
          <w:color w:val="0D0D0D" w:themeColor="text1" w:themeTint="F2"/>
          <w:sz w:val="20"/>
          <w:szCs w:val="20"/>
        </w:rPr>
      </w:pPr>
      <w:r w:rsidRPr="00381108">
        <w:rPr>
          <w:rFonts w:eastAsia="Times New Roman" w:cs="Arial"/>
          <w:i/>
          <w:color w:val="0D0D0D" w:themeColor="text1" w:themeTint="F2"/>
          <w:sz w:val="20"/>
          <w:szCs w:val="20"/>
        </w:rPr>
        <w:t>(2) Adjusted total income referred to in sub-section (1) shall be the total income before giving effect to this Chapter as increased by—</w:t>
      </w:r>
    </w:p>
    <w:p w:rsidR="00381108" w:rsidRPr="00381108" w:rsidRDefault="00381108" w:rsidP="00381108">
      <w:pPr>
        <w:pStyle w:val="ListParagraph"/>
        <w:numPr>
          <w:ilvl w:val="1"/>
          <w:numId w:val="1"/>
        </w:numPr>
        <w:spacing w:before="100" w:beforeAutospacing="1" w:after="100" w:afterAutospacing="1" w:line="528" w:lineRule="atLeast"/>
        <w:jc w:val="both"/>
        <w:rPr>
          <w:rFonts w:eastAsia="Times New Roman" w:cs="Arial"/>
          <w:i/>
          <w:color w:val="0D0D0D" w:themeColor="text1" w:themeTint="F2"/>
          <w:sz w:val="20"/>
          <w:szCs w:val="20"/>
        </w:rPr>
      </w:pPr>
      <w:r w:rsidRPr="00381108">
        <w:rPr>
          <w:rFonts w:eastAsia="Times New Roman" w:cs="Arial"/>
          <w:i/>
          <w:color w:val="0D0D0D" w:themeColor="text1" w:themeTint="F2"/>
          <w:sz w:val="20"/>
          <w:szCs w:val="20"/>
        </w:rPr>
        <w:t>deductions claimed, if any, under any section (other than section 80P) included in Chapter VI-A under the heading “C.—Deductions in respect of certain incomes”; and</w:t>
      </w:r>
    </w:p>
    <w:p w:rsidR="00381108" w:rsidRPr="00381108" w:rsidRDefault="00381108" w:rsidP="00381108">
      <w:pPr>
        <w:pStyle w:val="ListParagraph"/>
        <w:numPr>
          <w:ilvl w:val="1"/>
          <w:numId w:val="1"/>
        </w:numPr>
        <w:spacing w:before="100" w:beforeAutospacing="1" w:after="100" w:afterAutospacing="1" w:line="528" w:lineRule="atLeast"/>
        <w:jc w:val="both"/>
        <w:rPr>
          <w:rFonts w:eastAsia="Times New Roman" w:cs="Arial"/>
          <w:i/>
          <w:color w:val="0D0D0D" w:themeColor="text1" w:themeTint="F2"/>
          <w:sz w:val="20"/>
          <w:szCs w:val="20"/>
        </w:rPr>
      </w:pPr>
      <w:r w:rsidRPr="00381108">
        <w:rPr>
          <w:rFonts w:eastAsia="Times New Roman" w:cs="Arial"/>
          <w:i/>
          <w:color w:val="0D0D0D" w:themeColor="text1" w:themeTint="F2"/>
          <w:sz w:val="20"/>
          <w:szCs w:val="20"/>
        </w:rPr>
        <w:t>deduction claimed, if any, under section 10AA.</w:t>
      </w:r>
    </w:p>
    <w:p w:rsidR="00381108" w:rsidRDefault="00381108" w:rsidP="00381108">
      <w:pPr>
        <w:pStyle w:val="ListParagraph"/>
        <w:spacing w:before="100" w:beforeAutospacing="1" w:after="100" w:afterAutospacing="1" w:line="528" w:lineRule="atLeast"/>
        <w:jc w:val="both"/>
        <w:rPr>
          <w:rFonts w:eastAsia="Times New Roman" w:cs="Arial"/>
          <w:i/>
          <w:color w:val="0D0D0D" w:themeColor="text1" w:themeTint="F2"/>
          <w:sz w:val="20"/>
          <w:szCs w:val="20"/>
        </w:rPr>
      </w:pPr>
      <w:r w:rsidRPr="00381108">
        <w:rPr>
          <w:rFonts w:eastAsia="Times New Roman" w:cs="Arial"/>
          <w:i/>
          <w:color w:val="0D0D0D" w:themeColor="text1" w:themeTint="F2"/>
          <w:sz w:val="20"/>
          <w:szCs w:val="20"/>
        </w:rPr>
        <w:t xml:space="preserve">(3) </w:t>
      </w:r>
      <w:r w:rsidRPr="000F51BD">
        <w:rPr>
          <w:rFonts w:eastAsia="Times New Roman" w:cs="Arial"/>
          <w:i/>
          <w:color w:val="0D0D0D" w:themeColor="text1" w:themeTint="F2"/>
          <w:sz w:val="20"/>
          <w:szCs w:val="20"/>
          <w:highlight w:val="yellow"/>
        </w:rPr>
        <w:t>Every person to whom this section applies shall obtain a report</w:t>
      </w:r>
      <w:r w:rsidRPr="00381108">
        <w:rPr>
          <w:rFonts w:eastAsia="Times New Roman" w:cs="Arial"/>
          <w:i/>
          <w:color w:val="0D0D0D" w:themeColor="text1" w:themeTint="F2"/>
          <w:sz w:val="20"/>
          <w:szCs w:val="20"/>
        </w:rPr>
        <w:t>, in such form as may be prescribed, from an accountant, certifying that the adjusted total income and the alternate minimum tax have been computed in accordance with the provisions of this Chapter and furnish such report on or before the due date of furnishing of return of income under sub-section (1) of section 139.”</w:t>
      </w:r>
    </w:p>
    <w:p w:rsidR="00025C99" w:rsidRPr="00381108" w:rsidRDefault="00025C99" w:rsidP="00381108">
      <w:pPr>
        <w:pStyle w:val="ListParagraph"/>
        <w:spacing w:before="100" w:beforeAutospacing="1" w:after="100" w:afterAutospacing="1" w:line="528" w:lineRule="atLeast"/>
        <w:jc w:val="both"/>
        <w:rPr>
          <w:rFonts w:eastAsia="Times New Roman" w:cs="Arial"/>
          <w:i/>
          <w:color w:val="0D0D0D" w:themeColor="text1" w:themeTint="F2"/>
          <w:sz w:val="20"/>
          <w:szCs w:val="20"/>
        </w:rPr>
      </w:pPr>
    </w:p>
    <w:p w:rsidR="00381108" w:rsidRPr="00381108" w:rsidRDefault="00381108" w:rsidP="00381108">
      <w:pPr>
        <w:pStyle w:val="ListParagraph"/>
        <w:numPr>
          <w:ilvl w:val="0"/>
          <w:numId w:val="1"/>
        </w:numPr>
        <w:spacing w:before="100" w:beforeAutospacing="1" w:after="100" w:afterAutospacing="1" w:line="528" w:lineRule="atLeast"/>
        <w:jc w:val="both"/>
        <w:rPr>
          <w:rFonts w:eastAsia="Times New Roman" w:cs="Arial"/>
          <w:color w:val="0D0D0D" w:themeColor="text1" w:themeTint="F2"/>
        </w:rPr>
      </w:pPr>
      <w:r w:rsidRPr="00381108">
        <w:rPr>
          <w:rFonts w:eastAsia="Times New Roman" w:cs="Arial"/>
          <w:color w:val="0D0D0D" w:themeColor="text1" w:themeTint="F2"/>
        </w:rPr>
        <w:lastRenderedPageBreak/>
        <w:t>Section 115 JC was first made applicable from the A.Y. 2012-13 to the LLPs. Now, from the A.Y. 2013-14 the same has been amended to cover all the non-corporate assessees in its ambit. Just like the provisions of section 115 JB applicable to corporate assessees, provisions of the section 115 JC requires adjustments for certain deductions claimed by the non-corporate assessees under certain sections covered under chapter VI-A and section 10AA.</w:t>
      </w:r>
    </w:p>
    <w:p w:rsidR="00381108" w:rsidRPr="00381108" w:rsidRDefault="00381108" w:rsidP="00381108">
      <w:pPr>
        <w:pStyle w:val="ListParagraph"/>
        <w:numPr>
          <w:ilvl w:val="0"/>
          <w:numId w:val="1"/>
        </w:numPr>
        <w:spacing w:before="100" w:beforeAutospacing="1" w:after="100" w:afterAutospacing="1" w:line="528" w:lineRule="atLeast"/>
        <w:jc w:val="both"/>
        <w:rPr>
          <w:rFonts w:eastAsia="Times New Roman" w:cs="Arial"/>
          <w:color w:val="0D0D0D" w:themeColor="text1" w:themeTint="F2"/>
        </w:rPr>
      </w:pPr>
      <w:r w:rsidRPr="00381108">
        <w:rPr>
          <w:rFonts w:eastAsia="Times New Roman" w:cs="Arial"/>
          <w:color w:val="0D0D0D" w:themeColor="text1" w:themeTint="F2"/>
        </w:rPr>
        <w:t>There are two parts of the adjustments to be done.</w:t>
      </w:r>
      <w:r>
        <w:rPr>
          <w:rFonts w:eastAsia="Times New Roman" w:cs="Arial"/>
          <w:color w:val="0D0D0D" w:themeColor="text1" w:themeTint="F2"/>
        </w:rPr>
        <w:t xml:space="preserve"> </w:t>
      </w:r>
      <w:r w:rsidRPr="00381108">
        <w:rPr>
          <w:rFonts w:eastAsia="Times New Roman" w:cs="Arial"/>
          <w:color w:val="0D0D0D" w:themeColor="text1" w:themeTint="F2"/>
        </w:rPr>
        <w:t>First part is regarding deduction under any section covered by chapter VI-A covered under part C – ‘deductions in respect of certain incomes’. Here only those deductions, which are claimed in regards to incomes, are covered. Hence any deductions claimed under sections 80C to 80GGC are not covered. However any deductions claimed under any section after that i.e. 80H on wards (other than section 80P) are covered and are required to be added to find out adjusted total income.</w:t>
      </w:r>
    </w:p>
    <w:p w:rsidR="00381108" w:rsidRPr="00381108" w:rsidRDefault="00381108" w:rsidP="00381108">
      <w:pPr>
        <w:pStyle w:val="ListParagraph"/>
        <w:numPr>
          <w:ilvl w:val="0"/>
          <w:numId w:val="1"/>
        </w:numPr>
        <w:spacing w:before="100" w:beforeAutospacing="1" w:after="100" w:afterAutospacing="1" w:line="528" w:lineRule="atLeast"/>
        <w:jc w:val="both"/>
        <w:rPr>
          <w:rFonts w:eastAsia="Times New Roman" w:cs="Arial"/>
          <w:color w:val="0D0D0D" w:themeColor="text1" w:themeTint="F2"/>
        </w:rPr>
      </w:pPr>
      <w:r w:rsidRPr="00381108">
        <w:rPr>
          <w:rFonts w:eastAsia="Times New Roman" w:cs="Arial"/>
          <w:color w:val="0D0D0D" w:themeColor="text1" w:themeTint="F2"/>
        </w:rPr>
        <w:t>Interestingly, reading the provisions plainly and considering there is no clarity, even deduction claimed for interest on deposits (other than time deposits) under section 80TTA, is available to individual and HUF from A.Y. 2013-14, is also required to be adjusted under section 115 JC. Strictly speaking, they should have been excluded from the provisions of section 115JC as it is a deduction in respect of non-business income.</w:t>
      </w:r>
    </w:p>
    <w:p w:rsidR="00381108" w:rsidRPr="00381108" w:rsidRDefault="00381108" w:rsidP="00381108">
      <w:pPr>
        <w:pStyle w:val="ListParagraph"/>
        <w:numPr>
          <w:ilvl w:val="0"/>
          <w:numId w:val="1"/>
        </w:numPr>
        <w:spacing w:before="100" w:beforeAutospacing="1" w:after="100" w:afterAutospacing="1" w:line="528" w:lineRule="atLeast"/>
        <w:jc w:val="both"/>
        <w:rPr>
          <w:rFonts w:eastAsia="Times New Roman" w:cs="Arial"/>
          <w:color w:val="0D0D0D" w:themeColor="text1" w:themeTint="F2"/>
        </w:rPr>
      </w:pPr>
      <w:r w:rsidRPr="00381108">
        <w:rPr>
          <w:rFonts w:eastAsia="Times New Roman" w:cs="Arial"/>
          <w:color w:val="0D0D0D" w:themeColor="text1" w:themeTint="F2"/>
        </w:rPr>
        <w:t>Second part of the provision requires adjustment for deduction claimed under section 10AA.</w:t>
      </w:r>
    </w:p>
    <w:p w:rsidR="00381108" w:rsidRDefault="00381108" w:rsidP="00381108">
      <w:pPr>
        <w:pStyle w:val="ListParagraph"/>
        <w:numPr>
          <w:ilvl w:val="0"/>
          <w:numId w:val="1"/>
        </w:numPr>
        <w:spacing w:before="100" w:beforeAutospacing="1" w:after="100" w:afterAutospacing="1" w:line="528" w:lineRule="atLeast"/>
        <w:jc w:val="both"/>
        <w:rPr>
          <w:rFonts w:eastAsia="Times New Roman" w:cs="Arial"/>
          <w:color w:val="0D0D0D" w:themeColor="text1" w:themeTint="F2"/>
        </w:rPr>
      </w:pPr>
      <w:r w:rsidRPr="00381108">
        <w:rPr>
          <w:rFonts w:eastAsia="Times New Roman" w:cs="Arial"/>
          <w:color w:val="0D0D0D" w:themeColor="text1" w:themeTint="F2"/>
        </w:rPr>
        <w:t>Alternate minimum tax on such adjusted total income is chargeable @ 18.5% + 3% education and secondary &amp; higher secondary education cess. Calculation of the same is as under.</w:t>
      </w:r>
    </w:p>
    <w:p w:rsidR="000F51BD" w:rsidRPr="00381108" w:rsidRDefault="000F51BD" w:rsidP="000F51BD">
      <w:pPr>
        <w:pStyle w:val="ListParagraph"/>
        <w:spacing w:before="100" w:beforeAutospacing="1" w:after="100" w:afterAutospacing="1" w:line="528" w:lineRule="atLeast"/>
        <w:jc w:val="both"/>
        <w:rPr>
          <w:rFonts w:eastAsia="Times New Roman" w:cs="Arial"/>
          <w:color w:val="0D0D0D" w:themeColor="text1" w:themeTint="F2"/>
        </w:rPr>
      </w:pPr>
    </w:p>
    <w:p w:rsidR="000F51BD" w:rsidRDefault="00381108" w:rsidP="000F51BD">
      <w:pPr>
        <w:pStyle w:val="ListParagraph"/>
        <w:numPr>
          <w:ilvl w:val="2"/>
          <w:numId w:val="1"/>
        </w:numPr>
        <w:spacing w:before="100" w:beforeAutospacing="1" w:after="100" w:afterAutospacing="1" w:line="528" w:lineRule="atLeast"/>
        <w:ind w:left="1800"/>
        <w:jc w:val="both"/>
        <w:rPr>
          <w:rFonts w:eastAsia="Times New Roman" w:cs="Arial"/>
          <w:color w:val="0D0D0D" w:themeColor="text1" w:themeTint="F2"/>
        </w:rPr>
      </w:pPr>
      <w:r w:rsidRPr="00381108">
        <w:rPr>
          <w:rFonts w:eastAsia="Times New Roman" w:cs="Arial"/>
          <w:color w:val="0D0D0D" w:themeColor="text1" w:themeTint="F2"/>
        </w:rPr>
        <w:t>Calculate tax payable on the total income as per normal provisions of the Act without considering section 115JC.</w:t>
      </w:r>
    </w:p>
    <w:p w:rsidR="000F51BD" w:rsidRDefault="00381108" w:rsidP="000F51BD">
      <w:pPr>
        <w:pStyle w:val="ListParagraph"/>
        <w:numPr>
          <w:ilvl w:val="2"/>
          <w:numId w:val="1"/>
        </w:numPr>
        <w:spacing w:before="100" w:beforeAutospacing="1" w:after="100" w:afterAutospacing="1" w:line="528" w:lineRule="atLeast"/>
        <w:ind w:left="1800"/>
        <w:jc w:val="both"/>
        <w:rPr>
          <w:rFonts w:eastAsia="Times New Roman" w:cs="Arial"/>
          <w:color w:val="0D0D0D" w:themeColor="text1" w:themeTint="F2"/>
        </w:rPr>
      </w:pPr>
      <w:r w:rsidRPr="00381108">
        <w:rPr>
          <w:rFonts w:eastAsia="Times New Roman" w:cs="Arial"/>
          <w:color w:val="0D0D0D" w:themeColor="text1" w:themeTint="F2"/>
        </w:rPr>
        <w:t xml:space="preserve"> Calculate adjusted total income as per the provisions of section 115 JC.</w:t>
      </w:r>
    </w:p>
    <w:p w:rsidR="000F51BD" w:rsidRDefault="00381108" w:rsidP="000F51BD">
      <w:pPr>
        <w:pStyle w:val="ListParagraph"/>
        <w:numPr>
          <w:ilvl w:val="2"/>
          <w:numId w:val="1"/>
        </w:numPr>
        <w:spacing w:before="100" w:beforeAutospacing="1" w:after="100" w:afterAutospacing="1" w:line="528" w:lineRule="atLeast"/>
        <w:ind w:left="1800"/>
        <w:jc w:val="both"/>
        <w:rPr>
          <w:rFonts w:eastAsia="Times New Roman" w:cs="Arial"/>
          <w:color w:val="0D0D0D" w:themeColor="text1" w:themeTint="F2"/>
        </w:rPr>
      </w:pPr>
      <w:r w:rsidRPr="00381108">
        <w:rPr>
          <w:rFonts w:eastAsia="Times New Roman" w:cs="Arial"/>
          <w:color w:val="0D0D0D" w:themeColor="text1" w:themeTint="F2"/>
        </w:rPr>
        <w:lastRenderedPageBreak/>
        <w:t xml:space="preserve"> Calculate alternate minimum tax @ 19.055% (18.5%+2%+1%) on the adjusted total income calculated in b above.</w:t>
      </w:r>
    </w:p>
    <w:p w:rsidR="000F51BD" w:rsidRDefault="00381108" w:rsidP="000F51BD">
      <w:pPr>
        <w:pStyle w:val="ListParagraph"/>
        <w:numPr>
          <w:ilvl w:val="2"/>
          <w:numId w:val="1"/>
        </w:numPr>
        <w:spacing w:before="100" w:beforeAutospacing="1" w:after="100" w:afterAutospacing="1" w:line="528" w:lineRule="atLeast"/>
        <w:ind w:left="1800"/>
        <w:jc w:val="both"/>
        <w:rPr>
          <w:rFonts w:eastAsia="Times New Roman" w:cs="Arial"/>
          <w:color w:val="0D0D0D" w:themeColor="text1" w:themeTint="F2"/>
        </w:rPr>
      </w:pPr>
      <w:r w:rsidRPr="00381108">
        <w:rPr>
          <w:rFonts w:eastAsia="Times New Roman" w:cs="Arial"/>
          <w:color w:val="0D0D0D" w:themeColor="text1" w:themeTint="F2"/>
        </w:rPr>
        <w:t xml:space="preserve"> If the tax calculated in c above is higher than the tax calculated in a, then the adjusted total income as calculated in b is deemed to be the total income the assessee and alternate minimum tax calculated in b is required to be paid.</w:t>
      </w:r>
    </w:p>
    <w:p w:rsidR="00381108" w:rsidRDefault="00381108" w:rsidP="000F51BD">
      <w:pPr>
        <w:pStyle w:val="ListParagraph"/>
        <w:numPr>
          <w:ilvl w:val="2"/>
          <w:numId w:val="1"/>
        </w:numPr>
        <w:spacing w:before="100" w:beforeAutospacing="1" w:after="100" w:afterAutospacing="1" w:line="528" w:lineRule="atLeast"/>
        <w:ind w:left="1800"/>
        <w:jc w:val="both"/>
        <w:rPr>
          <w:rFonts w:eastAsia="Times New Roman" w:cs="Arial"/>
          <w:color w:val="0D0D0D" w:themeColor="text1" w:themeTint="F2"/>
        </w:rPr>
      </w:pPr>
      <w:r w:rsidRPr="00381108">
        <w:rPr>
          <w:rFonts w:eastAsia="Times New Roman" w:cs="Arial"/>
          <w:color w:val="0D0D0D" w:themeColor="text1" w:themeTint="F2"/>
        </w:rPr>
        <w:t xml:space="preserve"> Excess of tax paid, as calculated in c over the tax calculated in a, is allowed as credit to the assessee under section 115JD. The same can be utilized within next 10 assessment years against the tax payable under normal provisions of the Act to the extent it exceeds alternate minimum tax payable for that year.</w:t>
      </w:r>
    </w:p>
    <w:p w:rsidR="007A056E" w:rsidRPr="00381108" w:rsidRDefault="007A056E" w:rsidP="007A056E">
      <w:pPr>
        <w:pStyle w:val="ListParagraph"/>
        <w:spacing w:before="100" w:beforeAutospacing="1" w:after="100" w:afterAutospacing="1" w:line="528" w:lineRule="atLeast"/>
        <w:ind w:left="1800"/>
        <w:jc w:val="both"/>
        <w:rPr>
          <w:rFonts w:eastAsia="Times New Roman" w:cs="Arial"/>
          <w:color w:val="0D0D0D" w:themeColor="text1" w:themeTint="F2"/>
        </w:rPr>
      </w:pPr>
    </w:p>
    <w:p w:rsidR="007A056E" w:rsidRPr="007A056E" w:rsidRDefault="007A056E" w:rsidP="007A056E">
      <w:pPr>
        <w:pStyle w:val="ListParagraph"/>
        <w:numPr>
          <w:ilvl w:val="0"/>
          <w:numId w:val="1"/>
        </w:numPr>
        <w:spacing w:before="100" w:beforeAutospacing="1" w:after="100" w:afterAutospacing="1" w:line="480" w:lineRule="auto"/>
        <w:jc w:val="both"/>
        <w:rPr>
          <w:rFonts w:eastAsia="Times New Roman" w:cs="Arial"/>
          <w:color w:val="0D0D0D" w:themeColor="text1" w:themeTint="F2"/>
        </w:rPr>
      </w:pPr>
      <w:r w:rsidRPr="007A056E">
        <w:rPr>
          <w:rFonts w:eastAsia="Times New Roman" w:cs="Arial"/>
          <w:color w:val="0D0D0D" w:themeColor="text1" w:themeTint="F2"/>
        </w:rPr>
        <w:t>The provisions of this chapter is applicable to a person who has claimed any deduction specified under Sec 115JEE</w:t>
      </w:r>
      <w:r w:rsidRPr="007A056E">
        <w:rPr>
          <w:rFonts w:cs="Arial"/>
          <w:color w:val="0D0D0D" w:themeColor="text1" w:themeTint="F2"/>
        </w:rPr>
        <w:t xml:space="preserve"> which is interpreted as follows</w:t>
      </w:r>
      <w:r w:rsidRPr="007A056E">
        <w:rPr>
          <w:color w:val="000000"/>
          <w:sz w:val="20"/>
          <w:szCs w:val="20"/>
        </w:rPr>
        <w:t xml:space="preserve"> </w:t>
      </w:r>
    </w:p>
    <w:p w:rsidR="007A056E" w:rsidRPr="007A056E" w:rsidRDefault="007A056E" w:rsidP="007A056E">
      <w:pPr>
        <w:pStyle w:val="ListParagraph"/>
        <w:spacing w:before="100" w:beforeAutospacing="1" w:after="100" w:afterAutospacing="1" w:line="480" w:lineRule="auto"/>
        <w:jc w:val="both"/>
        <w:rPr>
          <w:rFonts w:eastAsia="Times New Roman" w:cs="Arial"/>
          <w:color w:val="0D0D0D" w:themeColor="text1" w:themeTint="F2"/>
        </w:rPr>
      </w:pPr>
      <w:r w:rsidRPr="007A056E">
        <w:rPr>
          <w:rFonts w:eastAsia="Times New Roman" w:cs="Arial"/>
          <w:iCs/>
          <w:color w:val="0D0D0D" w:themeColor="text1" w:themeTint="F2"/>
        </w:rPr>
        <w:t xml:space="preserve">(a) </w:t>
      </w:r>
      <w:r w:rsidR="00025C99" w:rsidRPr="007A056E">
        <w:rPr>
          <w:rFonts w:eastAsia="Times New Roman" w:cs="Arial"/>
          <w:iCs/>
          <w:color w:val="0D0D0D" w:themeColor="text1" w:themeTint="F2"/>
        </w:rPr>
        <w:t>Any</w:t>
      </w:r>
      <w:r w:rsidRPr="007A056E">
        <w:rPr>
          <w:rFonts w:eastAsia="Times New Roman" w:cs="Arial"/>
          <w:iCs/>
          <w:color w:val="0D0D0D" w:themeColor="text1" w:themeTint="F2"/>
        </w:rPr>
        <w:t xml:space="preserve"> section (other than section 80P) included in Chapter VI-A under the heading “C.—Deductions in respect of certain incomes”; or</w:t>
      </w:r>
    </w:p>
    <w:p w:rsidR="007A056E" w:rsidRPr="007A056E" w:rsidRDefault="007A056E" w:rsidP="007A056E">
      <w:pPr>
        <w:pStyle w:val="ListParagraph"/>
        <w:spacing w:before="100" w:beforeAutospacing="1" w:after="100" w:afterAutospacing="1" w:line="480" w:lineRule="auto"/>
        <w:jc w:val="both"/>
        <w:rPr>
          <w:rFonts w:eastAsia="Times New Roman" w:cs="Arial"/>
          <w:color w:val="0D0D0D" w:themeColor="text1" w:themeTint="F2"/>
        </w:rPr>
      </w:pPr>
      <w:r w:rsidRPr="007A056E">
        <w:rPr>
          <w:rFonts w:eastAsia="Times New Roman" w:cs="Arial"/>
          <w:iCs/>
          <w:color w:val="0D0D0D" w:themeColor="text1" w:themeTint="F2"/>
        </w:rPr>
        <w:t xml:space="preserve">(b) </w:t>
      </w:r>
      <w:r w:rsidR="00025C99" w:rsidRPr="007A056E">
        <w:rPr>
          <w:rFonts w:eastAsia="Times New Roman" w:cs="Arial"/>
          <w:iCs/>
          <w:color w:val="0D0D0D" w:themeColor="text1" w:themeTint="F2"/>
        </w:rPr>
        <w:t>Section</w:t>
      </w:r>
      <w:r w:rsidRPr="007A056E">
        <w:rPr>
          <w:rFonts w:eastAsia="Times New Roman" w:cs="Arial"/>
          <w:iCs/>
          <w:color w:val="0D0D0D" w:themeColor="text1" w:themeTint="F2"/>
        </w:rPr>
        <w:t xml:space="preserve"> 10AA.and</w:t>
      </w:r>
    </w:p>
    <w:p w:rsidR="00025C99" w:rsidRDefault="007A056E" w:rsidP="00025C99">
      <w:pPr>
        <w:pStyle w:val="ListParagraph"/>
        <w:spacing w:before="100" w:beforeAutospacing="1" w:after="100" w:afterAutospacing="1" w:line="480" w:lineRule="auto"/>
        <w:jc w:val="both"/>
        <w:rPr>
          <w:rFonts w:eastAsia="Times New Roman" w:cs="Arial"/>
          <w:iCs/>
          <w:color w:val="0D0D0D" w:themeColor="text1" w:themeTint="F2"/>
        </w:rPr>
      </w:pPr>
      <w:r w:rsidRPr="007A056E">
        <w:rPr>
          <w:rFonts w:eastAsia="Times New Roman" w:cs="Arial"/>
          <w:iCs/>
          <w:color w:val="0D0D0D" w:themeColor="text1" w:themeTint="F2"/>
        </w:rPr>
        <w:t xml:space="preserve"> The provisions of this Chapter shall not apply to an individual or a Hindu undivided family or an </w:t>
      </w:r>
      <w:r>
        <w:rPr>
          <w:rFonts w:eastAsia="Times New Roman" w:cs="Arial"/>
          <w:iCs/>
          <w:color w:val="0D0D0D" w:themeColor="text1" w:themeTint="F2"/>
        </w:rPr>
        <w:t xml:space="preserve"> </w:t>
      </w:r>
      <w:r w:rsidRPr="007A056E">
        <w:rPr>
          <w:rFonts w:eastAsia="Times New Roman" w:cs="Arial"/>
          <w:iCs/>
          <w:color w:val="0D0D0D" w:themeColor="text1" w:themeTint="F2"/>
        </w:rPr>
        <w:t xml:space="preserve">association of persons or a body of individuals, whether incorporated or not, or an artificial </w:t>
      </w:r>
      <w:r>
        <w:rPr>
          <w:rFonts w:eastAsia="Times New Roman" w:cs="Arial"/>
          <w:iCs/>
          <w:color w:val="0D0D0D" w:themeColor="text1" w:themeTint="F2"/>
        </w:rPr>
        <w:t xml:space="preserve"> </w:t>
      </w:r>
      <w:r w:rsidRPr="007A056E">
        <w:rPr>
          <w:rFonts w:eastAsia="Times New Roman" w:cs="Arial"/>
          <w:iCs/>
          <w:color w:val="0D0D0D" w:themeColor="text1" w:themeTint="F2"/>
        </w:rPr>
        <w:t>juridical person referred to in sub-clause (vii) of clause (31) of section 2, if the adjusted total income of such person does not exceed twenty lakh rupees.</w:t>
      </w:r>
      <w:r w:rsidRPr="007A056E">
        <w:rPr>
          <w:rStyle w:val="Emphasis"/>
          <w:i w:val="0"/>
          <w:color w:val="000000"/>
        </w:rPr>
        <w:t>’.</w:t>
      </w:r>
    </w:p>
    <w:p w:rsidR="00025C99" w:rsidRPr="00025C99" w:rsidRDefault="00025C99" w:rsidP="00025C99">
      <w:pPr>
        <w:pStyle w:val="NormalWeb"/>
        <w:numPr>
          <w:ilvl w:val="0"/>
          <w:numId w:val="1"/>
        </w:numPr>
        <w:rPr>
          <w:rFonts w:asciiTheme="minorHAnsi" w:hAnsiTheme="minorHAnsi"/>
          <w:b/>
          <w:bCs/>
          <w:iCs/>
          <w:color w:val="0D0D0D" w:themeColor="text1" w:themeTint="F2"/>
          <w:sz w:val="22"/>
          <w:szCs w:val="22"/>
        </w:rPr>
      </w:pPr>
      <w:r w:rsidRPr="00025C99">
        <w:rPr>
          <w:rFonts w:asciiTheme="minorHAnsi" w:hAnsiTheme="minorHAnsi"/>
          <w:bCs/>
          <w:iCs/>
          <w:color w:val="0D0D0D" w:themeColor="text1" w:themeTint="F2"/>
          <w:sz w:val="22"/>
          <w:szCs w:val="22"/>
        </w:rPr>
        <w:t>Effective sections for AY 2013-14 which will be hit by AMT</w:t>
      </w:r>
      <w:r w:rsidRPr="00025C99">
        <w:rPr>
          <w:rFonts w:asciiTheme="minorHAnsi" w:hAnsiTheme="minorHAnsi"/>
          <w:b/>
          <w:bCs/>
          <w:iCs/>
          <w:color w:val="0D0D0D" w:themeColor="text1" w:themeTint="F2"/>
          <w:sz w:val="22"/>
          <w:szCs w:val="22"/>
        </w:rPr>
        <w:t>:</w:t>
      </w:r>
    </w:p>
    <w:p w:rsidR="00897CBC" w:rsidRPr="00897CBC" w:rsidRDefault="00897CBC" w:rsidP="00897CBC">
      <w:pPr>
        <w:pStyle w:val="NormalWeb"/>
        <w:ind w:left="720"/>
        <w:rPr>
          <w:rFonts w:asciiTheme="minorHAnsi" w:hAnsiTheme="minorHAnsi"/>
          <w:bCs/>
          <w:iCs/>
          <w:color w:val="0D0D0D" w:themeColor="text1" w:themeTint="F2"/>
          <w:sz w:val="22"/>
          <w:szCs w:val="22"/>
        </w:rPr>
      </w:pPr>
      <w:r w:rsidRPr="00897CBC">
        <w:rPr>
          <w:rFonts w:asciiTheme="minorHAnsi" w:hAnsiTheme="minorHAnsi"/>
          <w:bCs/>
          <w:iCs/>
          <w:color w:val="0D0D0D" w:themeColor="text1" w:themeTint="F2"/>
          <w:sz w:val="22"/>
          <w:szCs w:val="22"/>
        </w:rPr>
        <w:t>(i)</w:t>
      </w:r>
      <w:r w:rsidRPr="00897CBC">
        <w:rPr>
          <w:rFonts w:asciiTheme="minorHAnsi" w:hAnsiTheme="minorHAnsi"/>
          <w:bCs/>
          <w:iCs/>
          <w:color w:val="0D0D0D" w:themeColor="text1" w:themeTint="F2"/>
          <w:sz w:val="22"/>
          <w:szCs w:val="22"/>
        </w:rPr>
        <w:tab/>
        <w:t>Section 10AA- SEZ units.</w:t>
      </w:r>
    </w:p>
    <w:p w:rsidR="00897CBC" w:rsidRDefault="00897CBC" w:rsidP="00897CBC">
      <w:pPr>
        <w:pStyle w:val="NormalWeb"/>
        <w:ind w:left="720"/>
        <w:rPr>
          <w:rFonts w:asciiTheme="minorHAnsi" w:hAnsiTheme="minorHAnsi"/>
          <w:bCs/>
          <w:iCs/>
          <w:color w:val="0D0D0D" w:themeColor="text1" w:themeTint="F2"/>
          <w:sz w:val="22"/>
          <w:szCs w:val="22"/>
        </w:rPr>
      </w:pPr>
      <w:r w:rsidRPr="00897CBC">
        <w:rPr>
          <w:rFonts w:asciiTheme="minorHAnsi" w:hAnsiTheme="minorHAnsi"/>
          <w:bCs/>
          <w:iCs/>
          <w:color w:val="0D0D0D" w:themeColor="text1" w:themeTint="F2"/>
          <w:sz w:val="22"/>
          <w:szCs w:val="22"/>
        </w:rPr>
        <w:t>(ii)</w:t>
      </w:r>
      <w:r w:rsidRPr="00897CBC">
        <w:rPr>
          <w:rFonts w:asciiTheme="minorHAnsi" w:hAnsiTheme="minorHAnsi"/>
          <w:bCs/>
          <w:iCs/>
          <w:color w:val="0D0D0D" w:themeColor="text1" w:themeTint="F2"/>
          <w:sz w:val="22"/>
          <w:szCs w:val="22"/>
        </w:rPr>
        <w:tab/>
        <w:t>Sections of Chapter VIA- C:</w:t>
      </w:r>
    </w:p>
    <w:p w:rsidR="00897CBC" w:rsidRPr="00025C99" w:rsidRDefault="00897CBC" w:rsidP="00025C99">
      <w:pPr>
        <w:pStyle w:val="NormalWeb"/>
        <w:spacing w:line="480" w:lineRule="auto"/>
        <w:ind w:left="1440"/>
        <w:rPr>
          <w:rFonts w:asciiTheme="minorHAnsi" w:hAnsiTheme="minorHAnsi" w:cs="Arial"/>
          <w:iCs/>
          <w:color w:val="0D0D0D" w:themeColor="text1" w:themeTint="F2"/>
          <w:sz w:val="22"/>
          <w:szCs w:val="22"/>
        </w:rPr>
      </w:pPr>
      <w:r w:rsidRPr="00025C99">
        <w:rPr>
          <w:rFonts w:asciiTheme="minorHAnsi" w:hAnsiTheme="minorHAnsi" w:cs="Arial"/>
          <w:iCs/>
          <w:color w:val="0D0D0D" w:themeColor="text1" w:themeTint="F2"/>
          <w:sz w:val="22"/>
          <w:szCs w:val="22"/>
        </w:rPr>
        <w:lastRenderedPageBreak/>
        <w:t>Many of deductions under Chapter VIA –</w:t>
      </w:r>
      <w:proofErr w:type="gramStart"/>
      <w:r w:rsidRPr="00025C99">
        <w:rPr>
          <w:rFonts w:asciiTheme="minorHAnsi" w:hAnsiTheme="minorHAnsi" w:cs="Arial"/>
          <w:iCs/>
          <w:color w:val="0D0D0D" w:themeColor="text1" w:themeTint="F2"/>
          <w:sz w:val="22"/>
          <w:szCs w:val="22"/>
        </w:rPr>
        <w:t>C,</w:t>
      </w:r>
      <w:proofErr w:type="gramEnd"/>
      <w:r w:rsidRPr="00025C99">
        <w:rPr>
          <w:rFonts w:asciiTheme="minorHAnsi" w:hAnsiTheme="minorHAnsi" w:cs="Arial"/>
          <w:iCs/>
          <w:color w:val="0D0D0D" w:themeColor="text1" w:themeTint="F2"/>
          <w:sz w:val="22"/>
          <w:szCs w:val="22"/>
        </w:rPr>
        <w:t xml:space="preserve"> have been phased out and only few are still </w:t>
      </w:r>
      <w:r w:rsidR="00025C99" w:rsidRPr="00025C99">
        <w:rPr>
          <w:rFonts w:asciiTheme="minorHAnsi" w:hAnsiTheme="minorHAnsi" w:cs="Arial"/>
          <w:iCs/>
          <w:color w:val="0D0D0D" w:themeColor="text1" w:themeTint="F2"/>
          <w:sz w:val="22"/>
          <w:szCs w:val="22"/>
        </w:rPr>
        <w:t xml:space="preserve">  </w:t>
      </w:r>
      <w:r w:rsidRPr="00025C99">
        <w:rPr>
          <w:rFonts w:asciiTheme="minorHAnsi" w:hAnsiTheme="minorHAnsi" w:cs="Arial"/>
          <w:iCs/>
          <w:color w:val="0D0D0D" w:themeColor="text1" w:themeTint="F2"/>
          <w:sz w:val="22"/>
          <w:szCs w:val="22"/>
        </w:rPr>
        <w:t>in force. The effective deductions shall also have limited effective life and they will be phased out or become ineffective gradually over some years.</w:t>
      </w:r>
    </w:p>
    <w:p w:rsidR="00897CBC" w:rsidRPr="00025C99" w:rsidRDefault="00897CBC" w:rsidP="00025C99">
      <w:pPr>
        <w:pStyle w:val="NormalWeb"/>
        <w:spacing w:line="480" w:lineRule="auto"/>
        <w:ind w:left="1440"/>
        <w:rPr>
          <w:rFonts w:asciiTheme="minorHAnsi" w:hAnsiTheme="minorHAnsi" w:cs="Arial"/>
          <w:iCs/>
          <w:color w:val="0D0D0D" w:themeColor="text1" w:themeTint="F2"/>
          <w:sz w:val="22"/>
          <w:szCs w:val="22"/>
        </w:rPr>
      </w:pPr>
      <w:r w:rsidRPr="00025C99">
        <w:rPr>
          <w:rFonts w:asciiTheme="minorHAnsi" w:hAnsiTheme="minorHAnsi" w:cs="Arial"/>
          <w:iCs/>
          <w:color w:val="0D0D0D" w:themeColor="text1" w:themeTint="F2"/>
          <w:sz w:val="22"/>
          <w:szCs w:val="22"/>
        </w:rPr>
        <w:t>The effective sections under which claims against certain incomes will be available for AY 2013-14 and which will be hit by provisions of AMT are as follows:</w:t>
      </w:r>
    </w:p>
    <w:p w:rsidR="00897CBC" w:rsidRPr="00897CBC" w:rsidRDefault="00897CBC" w:rsidP="00025C99">
      <w:pPr>
        <w:pStyle w:val="NormalWeb"/>
        <w:numPr>
          <w:ilvl w:val="0"/>
          <w:numId w:val="2"/>
        </w:numPr>
        <w:spacing w:line="600" w:lineRule="auto"/>
        <w:rPr>
          <w:rFonts w:asciiTheme="minorHAnsi" w:hAnsiTheme="minorHAnsi"/>
          <w:bCs/>
          <w:iCs/>
          <w:color w:val="0D0D0D" w:themeColor="text1" w:themeTint="F2"/>
          <w:sz w:val="22"/>
          <w:szCs w:val="22"/>
        </w:rPr>
      </w:pPr>
      <w:r w:rsidRPr="00897CBC">
        <w:rPr>
          <w:rFonts w:asciiTheme="minorHAnsi" w:hAnsiTheme="minorHAnsi"/>
          <w:bCs/>
          <w:iCs/>
          <w:color w:val="0D0D0D" w:themeColor="text1" w:themeTint="F2"/>
          <w:sz w:val="22"/>
          <w:szCs w:val="22"/>
        </w:rPr>
        <w:t>Section 80-IA – infrastructure development</w:t>
      </w:r>
    </w:p>
    <w:p w:rsidR="00897CBC" w:rsidRPr="00897CBC" w:rsidRDefault="00897CBC" w:rsidP="00025C99">
      <w:pPr>
        <w:pStyle w:val="NormalWeb"/>
        <w:numPr>
          <w:ilvl w:val="0"/>
          <w:numId w:val="2"/>
        </w:numPr>
        <w:spacing w:line="600" w:lineRule="auto"/>
        <w:rPr>
          <w:rFonts w:asciiTheme="minorHAnsi" w:hAnsiTheme="minorHAnsi"/>
          <w:bCs/>
          <w:iCs/>
          <w:color w:val="0D0D0D" w:themeColor="text1" w:themeTint="F2"/>
          <w:sz w:val="22"/>
          <w:szCs w:val="22"/>
        </w:rPr>
      </w:pPr>
      <w:r w:rsidRPr="00897CBC">
        <w:rPr>
          <w:rFonts w:asciiTheme="minorHAnsi" w:hAnsiTheme="minorHAnsi"/>
          <w:bCs/>
          <w:iCs/>
          <w:color w:val="0D0D0D" w:themeColor="text1" w:themeTint="F2"/>
          <w:sz w:val="22"/>
          <w:szCs w:val="22"/>
        </w:rPr>
        <w:t>Section 80-IAB – development of SEZ.</w:t>
      </w:r>
    </w:p>
    <w:p w:rsidR="00897CBC" w:rsidRPr="00897CBC" w:rsidRDefault="00897CBC" w:rsidP="00025C99">
      <w:pPr>
        <w:pStyle w:val="NormalWeb"/>
        <w:numPr>
          <w:ilvl w:val="0"/>
          <w:numId w:val="2"/>
        </w:numPr>
        <w:spacing w:line="600" w:lineRule="auto"/>
        <w:rPr>
          <w:rFonts w:asciiTheme="minorHAnsi" w:hAnsiTheme="minorHAnsi"/>
          <w:bCs/>
          <w:iCs/>
          <w:color w:val="0D0D0D" w:themeColor="text1" w:themeTint="F2"/>
          <w:sz w:val="22"/>
          <w:szCs w:val="22"/>
        </w:rPr>
      </w:pPr>
      <w:r w:rsidRPr="00897CBC">
        <w:rPr>
          <w:rFonts w:asciiTheme="minorHAnsi" w:hAnsiTheme="minorHAnsi"/>
          <w:bCs/>
          <w:iCs/>
          <w:color w:val="0D0D0D" w:themeColor="text1" w:themeTint="F2"/>
          <w:sz w:val="22"/>
          <w:szCs w:val="22"/>
        </w:rPr>
        <w:t xml:space="preserve">Section 80 IB- certain industrial undertakings and </w:t>
      </w:r>
      <w:proofErr w:type="gramStart"/>
      <w:r w:rsidRPr="00897CBC">
        <w:rPr>
          <w:rFonts w:asciiTheme="minorHAnsi" w:hAnsiTheme="minorHAnsi"/>
          <w:bCs/>
          <w:iCs/>
          <w:color w:val="0D0D0D" w:themeColor="text1" w:themeTint="F2"/>
          <w:sz w:val="22"/>
          <w:szCs w:val="22"/>
        </w:rPr>
        <w:t>enterprises .</w:t>
      </w:r>
      <w:proofErr w:type="gramEnd"/>
    </w:p>
    <w:p w:rsidR="00897CBC" w:rsidRPr="00897CBC" w:rsidRDefault="00897CBC" w:rsidP="00025C99">
      <w:pPr>
        <w:pStyle w:val="NormalWeb"/>
        <w:numPr>
          <w:ilvl w:val="0"/>
          <w:numId w:val="2"/>
        </w:numPr>
        <w:spacing w:line="600" w:lineRule="auto"/>
        <w:rPr>
          <w:rFonts w:asciiTheme="minorHAnsi" w:hAnsiTheme="minorHAnsi"/>
          <w:bCs/>
          <w:iCs/>
          <w:color w:val="0D0D0D" w:themeColor="text1" w:themeTint="F2"/>
          <w:sz w:val="22"/>
          <w:szCs w:val="22"/>
        </w:rPr>
      </w:pPr>
      <w:r w:rsidRPr="00897CBC">
        <w:rPr>
          <w:rFonts w:asciiTheme="minorHAnsi" w:hAnsiTheme="minorHAnsi"/>
          <w:bCs/>
          <w:iCs/>
          <w:color w:val="0D0D0D" w:themeColor="text1" w:themeTint="F2"/>
          <w:sz w:val="22"/>
          <w:szCs w:val="22"/>
        </w:rPr>
        <w:t>Section 80-IC- undertakings in certain special category states.</w:t>
      </w:r>
    </w:p>
    <w:p w:rsidR="00897CBC" w:rsidRPr="00897CBC" w:rsidRDefault="00897CBC" w:rsidP="00025C99">
      <w:pPr>
        <w:pStyle w:val="NormalWeb"/>
        <w:numPr>
          <w:ilvl w:val="0"/>
          <w:numId w:val="2"/>
        </w:numPr>
        <w:spacing w:line="600" w:lineRule="auto"/>
        <w:rPr>
          <w:rFonts w:asciiTheme="minorHAnsi" w:hAnsiTheme="minorHAnsi"/>
          <w:bCs/>
          <w:iCs/>
          <w:color w:val="0D0D0D" w:themeColor="text1" w:themeTint="F2"/>
          <w:sz w:val="22"/>
          <w:szCs w:val="22"/>
        </w:rPr>
      </w:pPr>
      <w:r w:rsidRPr="00897CBC">
        <w:rPr>
          <w:rFonts w:asciiTheme="minorHAnsi" w:hAnsiTheme="minorHAnsi"/>
          <w:bCs/>
          <w:iCs/>
          <w:color w:val="0D0D0D" w:themeColor="text1" w:themeTint="F2"/>
          <w:sz w:val="22"/>
          <w:szCs w:val="22"/>
        </w:rPr>
        <w:t>Section 80-ID- hotel and convention centers in specified area.</w:t>
      </w:r>
    </w:p>
    <w:p w:rsidR="00897CBC" w:rsidRPr="00897CBC" w:rsidRDefault="00897CBC" w:rsidP="00025C99">
      <w:pPr>
        <w:pStyle w:val="NormalWeb"/>
        <w:numPr>
          <w:ilvl w:val="0"/>
          <w:numId w:val="2"/>
        </w:numPr>
        <w:spacing w:line="600" w:lineRule="auto"/>
        <w:rPr>
          <w:rFonts w:asciiTheme="minorHAnsi" w:hAnsiTheme="minorHAnsi"/>
          <w:bCs/>
          <w:iCs/>
          <w:color w:val="0D0D0D" w:themeColor="text1" w:themeTint="F2"/>
          <w:sz w:val="22"/>
          <w:szCs w:val="22"/>
        </w:rPr>
      </w:pPr>
      <w:r w:rsidRPr="00897CBC">
        <w:rPr>
          <w:rFonts w:asciiTheme="minorHAnsi" w:hAnsiTheme="minorHAnsi"/>
          <w:bCs/>
          <w:iCs/>
          <w:color w:val="0D0D0D" w:themeColor="text1" w:themeTint="F2"/>
          <w:sz w:val="22"/>
          <w:szCs w:val="22"/>
        </w:rPr>
        <w:t>Section 80-IE- certain undertaking in North Eastern States.</w:t>
      </w:r>
    </w:p>
    <w:p w:rsidR="00897CBC" w:rsidRPr="00897CBC" w:rsidRDefault="00897CBC" w:rsidP="00025C99">
      <w:pPr>
        <w:pStyle w:val="NormalWeb"/>
        <w:numPr>
          <w:ilvl w:val="0"/>
          <w:numId w:val="2"/>
        </w:numPr>
        <w:spacing w:line="600" w:lineRule="auto"/>
        <w:rPr>
          <w:rFonts w:asciiTheme="minorHAnsi" w:hAnsiTheme="minorHAnsi"/>
          <w:bCs/>
          <w:iCs/>
          <w:color w:val="0D0D0D" w:themeColor="text1" w:themeTint="F2"/>
          <w:sz w:val="22"/>
          <w:szCs w:val="22"/>
        </w:rPr>
      </w:pPr>
      <w:r w:rsidRPr="00897CBC">
        <w:rPr>
          <w:rFonts w:asciiTheme="minorHAnsi" w:hAnsiTheme="minorHAnsi"/>
          <w:bCs/>
          <w:iCs/>
          <w:color w:val="0D0D0D" w:themeColor="text1" w:themeTint="F2"/>
          <w:sz w:val="22"/>
          <w:szCs w:val="22"/>
        </w:rPr>
        <w:t>Section 80JJA- collection and processing of bio degradable waste.</w:t>
      </w:r>
    </w:p>
    <w:p w:rsidR="00897CBC" w:rsidRPr="00897CBC" w:rsidRDefault="00897CBC" w:rsidP="00025C99">
      <w:pPr>
        <w:pStyle w:val="NormalWeb"/>
        <w:numPr>
          <w:ilvl w:val="0"/>
          <w:numId w:val="2"/>
        </w:numPr>
        <w:spacing w:line="600" w:lineRule="auto"/>
        <w:rPr>
          <w:rFonts w:asciiTheme="minorHAnsi" w:hAnsiTheme="minorHAnsi"/>
          <w:bCs/>
          <w:iCs/>
          <w:color w:val="0D0D0D" w:themeColor="text1" w:themeTint="F2"/>
          <w:sz w:val="22"/>
          <w:szCs w:val="22"/>
        </w:rPr>
      </w:pPr>
      <w:r w:rsidRPr="00897CBC">
        <w:rPr>
          <w:rFonts w:asciiTheme="minorHAnsi" w:hAnsiTheme="minorHAnsi"/>
          <w:bCs/>
          <w:iCs/>
          <w:color w:val="0D0D0D" w:themeColor="text1" w:themeTint="F2"/>
          <w:sz w:val="22"/>
          <w:szCs w:val="22"/>
        </w:rPr>
        <w:t>Section 80JJAA- employment of new workman.</w:t>
      </w:r>
    </w:p>
    <w:p w:rsidR="00897CBC" w:rsidRPr="00897CBC" w:rsidRDefault="00897CBC" w:rsidP="00025C99">
      <w:pPr>
        <w:pStyle w:val="NormalWeb"/>
        <w:numPr>
          <w:ilvl w:val="0"/>
          <w:numId w:val="2"/>
        </w:numPr>
        <w:spacing w:line="600" w:lineRule="auto"/>
        <w:rPr>
          <w:rFonts w:asciiTheme="minorHAnsi" w:hAnsiTheme="minorHAnsi"/>
          <w:bCs/>
          <w:iCs/>
          <w:color w:val="0D0D0D" w:themeColor="text1" w:themeTint="F2"/>
          <w:sz w:val="22"/>
          <w:szCs w:val="22"/>
        </w:rPr>
      </w:pPr>
      <w:r w:rsidRPr="00897CBC">
        <w:rPr>
          <w:rFonts w:asciiTheme="minorHAnsi" w:hAnsiTheme="minorHAnsi"/>
          <w:bCs/>
          <w:iCs/>
          <w:color w:val="0D0D0D" w:themeColor="text1" w:themeTint="F2"/>
          <w:sz w:val="22"/>
          <w:szCs w:val="22"/>
        </w:rPr>
        <w:t xml:space="preserve">Section 80LA – offshore banking </w:t>
      </w:r>
      <w:proofErr w:type="gramStart"/>
      <w:r w:rsidRPr="00897CBC">
        <w:rPr>
          <w:rFonts w:asciiTheme="minorHAnsi" w:hAnsiTheme="minorHAnsi"/>
          <w:bCs/>
          <w:iCs/>
          <w:color w:val="0D0D0D" w:themeColor="text1" w:themeTint="F2"/>
          <w:sz w:val="22"/>
          <w:szCs w:val="22"/>
        </w:rPr>
        <w:t>units  and</w:t>
      </w:r>
      <w:proofErr w:type="gramEnd"/>
      <w:r w:rsidRPr="00897CBC">
        <w:rPr>
          <w:rFonts w:asciiTheme="minorHAnsi" w:hAnsiTheme="minorHAnsi"/>
          <w:bCs/>
          <w:iCs/>
          <w:color w:val="0D0D0D" w:themeColor="text1" w:themeTint="F2"/>
          <w:sz w:val="22"/>
          <w:szCs w:val="22"/>
        </w:rPr>
        <w:t xml:space="preserve"> international financial service center.</w:t>
      </w:r>
    </w:p>
    <w:p w:rsidR="00897CBC" w:rsidRPr="00897CBC" w:rsidRDefault="00897CBC" w:rsidP="00025C99">
      <w:pPr>
        <w:pStyle w:val="NormalWeb"/>
        <w:numPr>
          <w:ilvl w:val="0"/>
          <w:numId w:val="2"/>
        </w:numPr>
        <w:spacing w:line="600" w:lineRule="auto"/>
        <w:rPr>
          <w:rFonts w:asciiTheme="minorHAnsi" w:hAnsiTheme="minorHAnsi"/>
          <w:bCs/>
          <w:iCs/>
          <w:color w:val="0D0D0D" w:themeColor="text1" w:themeTint="F2"/>
          <w:sz w:val="22"/>
          <w:szCs w:val="22"/>
        </w:rPr>
      </w:pPr>
      <w:r w:rsidRPr="00897CBC">
        <w:rPr>
          <w:rFonts w:asciiTheme="minorHAnsi" w:hAnsiTheme="minorHAnsi"/>
          <w:bCs/>
          <w:iCs/>
          <w:color w:val="0D0D0D" w:themeColor="text1" w:themeTint="F2"/>
          <w:sz w:val="22"/>
          <w:szCs w:val="22"/>
        </w:rPr>
        <w:t>Section 80 QQB- certain royalty to authors of books.</w:t>
      </w:r>
    </w:p>
    <w:p w:rsidR="00897CBC" w:rsidRPr="00897CBC" w:rsidRDefault="00897CBC" w:rsidP="00025C99">
      <w:pPr>
        <w:pStyle w:val="NormalWeb"/>
        <w:numPr>
          <w:ilvl w:val="0"/>
          <w:numId w:val="2"/>
        </w:numPr>
        <w:spacing w:line="600" w:lineRule="auto"/>
        <w:rPr>
          <w:rFonts w:asciiTheme="minorHAnsi" w:hAnsiTheme="minorHAnsi"/>
          <w:bCs/>
          <w:iCs/>
          <w:color w:val="0D0D0D" w:themeColor="text1" w:themeTint="F2"/>
          <w:sz w:val="22"/>
          <w:szCs w:val="22"/>
        </w:rPr>
      </w:pPr>
      <w:r w:rsidRPr="00897CBC">
        <w:rPr>
          <w:rFonts w:asciiTheme="minorHAnsi" w:hAnsiTheme="minorHAnsi"/>
          <w:bCs/>
          <w:iCs/>
          <w:color w:val="0D0D0D" w:themeColor="text1" w:themeTint="F2"/>
          <w:sz w:val="22"/>
          <w:szCs w:val="22"/>
        </w:rPr>
        <w:t>Section 80RRB – Royalty on patents.</w:t>
      </w:r>
    </w:p>
    <w:p w:rsidR="00025C99" w:rsidRDefault="00025C99" w:rsidP="00025C99">
      <w:pPr>
        <w:pStyle w:val="ListParagraph"/>
        <w:numPr>
          <w:ilvl w:val="0"/>
          <w:numId w:val="1"/>
        </w:numPr>
        <w:spacing w:before="100" w:beforeAutospacing="1" w:after="100" w:afterAutospacing="1" w:line="480" w:lineRule="auto"/>
        <w:jc w:val="both"/>
        <w:rPr>
          <w:rFonts w:eastAsia="Times New Roman" w:cs="Arial"/>
          <w:iCs/>
          <w:color w:val="0D0D0D" w:themeColor="text1" w:themeTint="F2"/>
        </w:rPr>
      </w:pPr>
      <w:r w:rsidRPr="00897CBC">
        <w:rPr>
          <w:rFonts w:eastAsia="Times New Roman" w:cs="Arial"/>
          <w:iCs/>
          <w:color w:val="0D0D0D" w:themeColor="text1" w:themeTint="F2"/>
        </w:rPr>
        <w:t>Any non-corporate assessee, who is required to pay alternate minimum tax, is required to obtain a report in Form No. 29C from a Chartered Accountant.</w:t>
      </w:r>
    </w:p>
    <w:p w:rsidR="00025C99" w:rsidRDefault="00025C99" w:rsidP="00025C99">
      <w:pPr>
        <w:pStyle w:val="NormalWeb"/>
        <w:spacing w:line="600" w:lineRule="auto"/>
        <w:ind w:left="720"/>
        <w:rPr>
          <w:b/>
          <w:bCs/>
          <w:iCs/>
          <w:color w:val="0D0D0D" w:themeColor="text1" w:themeTint="F2"/>
        </w:rPr>
      </w:pPr>
      <w:r>
        <w:rPr>
          <w:b/>
          <w:bCs/>
          <w:iCs/>
          <w:color w:val="0D0D0D" w:themeColor="text1" w:themeTint="F2"/>
        </w:rPr>
        <w:t>Mamith V</w:t>
      </w:r>
    </w:p>
    <w:p w:rsidR="00897CBC" w:rsidRPr="00897CBC" w:rsidRDefault="00897CBC" w:rsidP="00025C99">
      <w:pPr>
        <w:pStyle w:val="NormalWeb"/>
        <w:spacing w:line="600" w:lineRule="auto"/>
        <w:ind w:left="720"/>
        <w:rPr>
          <w:b/>
          <w:bCs/>
          <w:iCs/>
          <w:color w:val="0D0D0D" w:themeColor="text1" w:themeTint="F2"/>
        </w:rPr>
      </w:pPr>
      <w:r w:rsidRPr="00897CBC">
        <w:rPr>
          <w:b/>
          <w:bCs/>
          <w:iCs/>
          <w:color w:val="0D0D0D" w:themeColor="text1" w:themeTint="F2"/>
        </w:rPr>
        <w:lastRenderedPageBreak/>
        <w:tab/>
      </w:r>
    </w:p>
    <w:p w:rsidR="00897CBC" w:rsidRPr="00897CBC" w:rsidRDefault="00897CBC" w:rsidP="00897CBC">
      <w:pPr>
        <w:pStyle w:val="NormalWeb"/>
        <w:ind w:left="720"/>
        <w:rPr>
          <w:b/>
          <w:bCs/>
          <w:iCs/>
          <w:color w:val="0D0D0D" w:themeColor="text1" w:themeTint="F2"/>
        </w:rPr>
      </w:pPr>
    </w:p>
    <w:p w:rsidR="00C328BB" w:rsidRPr="00897CBC" w:rsidRDefault="00C328BB" w:rsidP="00897CBC">
      <w:pPr>
        <w:pStyle w:val="NormalWeb"/>
        <w:ind w:left="720"/>
        <w:rPr>
          <w:rFonts w:asciiTheme="minorHAnsi" w:hAnsiTheme="minorHAnsi"/>
          <w:color w:val="0D0D0D" w:themeColor="text1" w:themeTint="F2"/>
          <w:sz w:val="22"/>
          <w:szCs w:val="22"/>
        </w:rPr>
      </w:pPr>
    </w:p>
    <w:sectPr w:rsidR="00C328BB" w:rsidRPr="00897CBC" w:rsidSect="00C328B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9E0CA5"/>
    <w:multiLevelType w:val="hybridMultilevel"/>
    <w:tmpl w:val="B07AE80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76AD2325"/>
    <w:multiLevelType w:val="hybridMultilevel"/>
    <w:tmpl w:val="7B7A81B8"/>
    <w:lvl w:ilvl="0" w:tplc="180005B4">
      <w:start w:val="1"/>
      <w:numFmt w:val="decimal"/>
      <w:lvlText w:val="%1."/>
      <w:lvlJc w:val="left"/>
      <w:pPr>
        <w:ind w:left="720" w:hanging="360"/>
      </w:pPr>
      <w:rPr>
        <w:b w:val="0"/>
      </w:rPr>
    </w:lvl>
    <w:lvl w:ilvl="1" w:tplc="B33ECCE2">
      <w:start w:val="1"/>
      <w:numFmt w:val="lowerRoman"/>
      <w:lvlText w:val="(%2)"/>
      <w:lvlJc w:val="left"/>
      <w:pPr>
        <w:ind w:left="1800" w:hanging="720"/>
      </w:pPr>
      <w:rPr>
        <w:rFonts w:hint="default"/>
      </w:rPr>
    </w:lvl>
    <w:lvl w:ilvl="2" w:tplc="CC4E523E">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81108"/>
    <w:rsid w:val="00025C99"/>
    <w:rsid w:val="000F51BD"/>
    <w:rsid w:val="00381108"/>
    <w:rsid w:val="006E6CF6"/>
    <w:rsid w:val="00705FF0"/>
    <w:rsid w:val="007A056E"/>
    <w:rsid w:val="00853EB8"/>
    <w:rsid w:val="00897CBC"/>
    <w:rsid w:val="00B75A0B"/>
    <w:rsid w:val="00C328BB"/>
    <w:rsid w:val="00D773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8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81108"/>
    <w:rPr>
      <w:strike w:val="0"/>
      <w:dstrike w:val="0"/>
      <w:color w:val="4265A7"/>
      <w:u w:val="none"/>
      <w:effect w:val="none"/>
    </w:rPr>
  </w:style>
  <w:style w:type="paragraph" w:styleId="NormalWeb">
    <w:name w:val="Normal (Web)"/>
    <w:basedOn w:val="Normal"/>
    <w:uiPriority w:val="99"/>
    <w:unhideWhenUsed/>
    <w:rsid w:val="003811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y-author">
    <w:name w:val="by-author"/>
    <w:basedOn w:val="DefaultParagraphFont"/>
    <w:rsid w:val="00381108"/>
  </w:style>
  <w:style w:type="character" w:customStyle="1" w:styleId="sep">
    <w:name w:val="sep"/>
    <w:basedOn w:val="DefaultParagraphFont"/>
    <w:rsid w:val="00381108"/>
  </w:style>
  <w:style w:type="character" w:customStyle="1" w:styleId="titan-author">
    <w:name w:val="titan-author"/>
    <w:basedOn w:val="DefaultParagraphFont"/>
    <w:rsid w:val="00381108"/>
  </w:style>
  <w:style w:type="paragraph" w:styleId="ListParagraph">
    <w:name w:val="List Paragraph"/>
    <w:basedOn w:val="Normal"/>
    <w:uiPriority w:val="34"/>
    <w:qFormat/>
    <w:rsid w:val="00381108"/>
    <w:pPr>
      <w:ind w:left="720"/>
      <w:contextualSpacing/>
    </w:pPr>
  </w:style>
  <w:style w:type="character" w:styleId="Emphasis">
    <w:name w:val="Emphasis"/>
    <w:basedOn w:val="DefaultParagraphFont"/>
    <w:uiPriority w:val="20"/>
    <w:qFormat/>
    <w:rsid w:val="007A056E"/>
    <w:rPr>
      <w:i/>
      <w:iCs/>
    </w:rPr>
  </w:style>
  <w:style w:type="character" w:styleId="Strong">
    <w:name w:val="Strong"/>
    <w:basedOn w:val="DefaultParagraphFont"/>
    <w:uiPriority w:val="22"/>
    <w:qFormat/>
    <w:rsid w:val="00897CBC"/>
    <w:rPr>
      <w:b/>
      <w:bCs/>
    </w:rPr>
  </w:style>
</w:styles>
</file>

<file path=word/webSettings.xml><?xml version="1.0" encoding="utf-8"?>
<w:webSettings xmlns:r="http://schemas.openxmlformats.org/officeDocument/2006/relationships" xmlns:w="http://schemas.openxmlformats.org/wordprocessingml/2006/main">
  <w:divs>
    <w:div w:id="334264193">
      <w:bodyDiv w:val="1"/>
      <w:marLeft w:val="75"/>
      <w:marRight w:val="75"/>
      <w:marTop w:val="75"/>
      <w:marBottom w:val="75"/>
      <w:divBdr>
        <w:top w:val="none" w:sz="0" w:space="0" w:color="auto"/>
        <w:left w:val="none" w:sz="0" w:space="0" w:color="auto"/>
        <w:bottom w:val="none" w:sz="0" w:space="0" w:color="auto"/>
        <w:right w:val="none" w:sz="0" w:space="0" w:color="auto"/>
      </w:divBdr>
      <w:divsChild>
        <w:div w:id="1283077204">
          <w:marLeft w:val="0"/>
          <w:marRight w:val="0"/>
          <w:marTop w:val="0"/>
          <w:marBottom w:val="0"/>
          <w:divBdr>
            <w:top w:val="none" w:sz="0" w:space="0" w:color="auto"/>
            <w:left w:val="none" w:sz="0" w:space="0" w:color="auto"/>
            <w:bottom w:val="none" w:sz="0" w:space="0" w:color="auto"/>
            <w:right w:val="none" w:sz="0" w:space="0" w:color="auto"/>
          </w:divBdr>
        </w:div>
      </w:divsChild>
    </w:div>
    <w:div w:id="1040209033">
      <w:bodyDiv w:val="1"/>
      <w:marLeft w:val="0"/>
      <w:marRight w:val="0"/>
      <w:marTop w:val="0"/>
      <w:marBottom w:val="0"/>
      <w:divBdr>
        <w:top w:val="none" w:sz="0" w:space="0" w:color="auto"/>
        <w:left w:val="none" w:sz="0" w:space="0" w:color="auto"/>
        <w:bottom w:val="none" w:sz="0" w:space="0" w:color="auto"/>
        <w:right w:val="none" w:sz="0" w:space="0" w:color="auto"/>
      </w:divBdr>
      <w:divsChild>
        <w:div w:id="806119947">
          <w:marLeft w:val="0"/>
          <w:marRight w:val="0"/>
          <w:marTop w:val="0"/>
          <w:marBottom w:val="0"/>
          <w:divBdr>
            <w:top w:val="none" w:sz="0" w:space="0" w:color="auto"/>
            <w:left w:val="none" w:sz="0" w:space="0" w:color="auto"/>
            <w:bottom w:val="none" w:sz="0" w:space="0" w:color="auto"/>
            <w:right w:val="none" w:sz="0" w:space="0" w:color="auto"/>
          </w:divBdr>
          <w:divsChild>
            <w:div w:id="1662811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50808562">
      <w:bodyDiv w:val="1"/>
      <w:marLeft w:val="0"/>
      <w:marRight w:val="0"/>
      <w:marTop w:val="0"/>
      <w:marBottom w:val="0"/>
      <w:divBdr>
        <w:top w:val="none" w:sz="0" w:space="0" w:color="auto"/>
        <w:left w:val="none" w:sz="0" w:space="0" w:color="auto"/>
        <w:bottom w:val="none" w:sz="0" w:space="0" w:color="auto"/>
        <w:right w:val="none" w:sz="0" w:space="0" w:color="auto"/>
      </w:divBdr>
      <w:divsChild>
        <w:div w:id="2058624397">
          <w:marLeft w:val="0"/>
          <w:marRight w:val="0"/>
          <w:marTop w:val="0"/>
          <w:marBottom w:val="0"/>
          <w:divBdr>
            <w:top w:val="none" w:sz="0" w:space="0" w:color="auto"/>
            <w:left w:val="none" w:sz="0" w:space="0" w:color="auto"/>
            <w:bottom w:val="none" w:sz="0" w:space="0" w:color="auto"/>
            <w:right w:val="none" w:sz="0" w:space="0" w:color="auto"/>
          </w:divBdr>
          <w:divsChild>
            <w:div w:id="304971154">
              <w:marLeft w:val="0"/>
              <w:marRight w:val="0"/>
              <w:marTop w:val="0"/>
              <w:marBottom w:val="0"/>
              <w:divBdr>
                <w:top w:val="none" w:sz="0" w:space="0" w:color="auto"/>
                <w:left w:val="none" w:sz="0" w:space="0" w:color="auto"/>
                <w:bottom w:val="none" w:sz="0" w:space="0" w:color="auto"/>
                <w:right w:val="none" w:sz="0" w:space="0" w:color="auto"/>
              </w:divBdr>
              <w:divsChild>
                <w:div w:id="1689060106">
                  <w:marLeft w:val="0"/>
                  <w:marRight w:val="0"/>
                  <w:marTop w:val="0"/>
                  <w:marBottom w:val="0"/>
                  <w:divBdr>
                    <w:top w:val="none" w:sz="0" w:space="0" w:color="auto"/>
                    <w:left w:val="none" w:sz="0" w:space="0" w:color="auto"/>
                    <w:bottom w:val="none" w:sz="0" w:space="0" w:color="auto"/>
                    <w:right w:val="none" w:sz="0" w:space="0" w:color="auto"/>
                  </w:divBdr>
                  <w:divsChild>
                    <w:div w:id="1679891974">
                      <w:marLeft w:val="0"/>
                      <w:marRight w:val="0"/>
                      <w:marTop w:val="0"/>
                      <w:marBottom w:val="225"/>
                      <w:divBdr>
                        <w:top w:val="single" w:sz="6" w:space="15" w:color="EFEAE4"/>
                        <w:left w:val="none" w:sz="0" w:space="0" w:color="auto"/>
                        <w:bottom w:val="none" w:sz="0" w:space="0" w:color="auto"/>
                        <w:right w:val="none" w:sz="0" w:space="0" w:color="auto"/>
                      </w:divBdr>
                      <w:divsChild>
                        <w:div w:id="1716999243">
                          <w:marLeft w:val="0"/>
                          <w:marRight w:val="0"/>
                          <w:marTop w:val="0"/>
                          <w:marBottom w:val="0"/>
                          <w:divBdr>
                            <w:top w:val="none" w:sz="0" w:space="0" w:color="auto"/>
                            <w:left w:val="none" w:sz="0" w:space="0" w:color="auto"/>
                            <w:bottom w:val="none" w:sz="0" w:space="0" w:color="auto"/>
                            <w:right w:val="none" w:sz="0" w:space="0" w:color="auto"/>
                          </w:divBdr>
                        </w:div>
                      </w:divsChild>
                    </w:div>
                    <w:div w:id="1248271918">
                      <w:marLeft w:val="196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914</Words>
  <Characters>5210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Tax</dc:creator>
  <cp:keywords/>
  <dc:description/>
  <cp:lastModifiedBy>lpucms.udp</cp:lastModifiedBy>
  <cp:revision>2</cp:revision>
  <dcterms:created xsi:type="dcterms:W3CDTF">2014-03-18T08:18:00Z</dcterms:created>
  <dcterms:modified xsi:type="dcterms:W3CDTF">2014-03-18T08:18:00Z</dcterms:modified>
</cp:coreProperties>
</file>