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37F8E" w:rsidRPr="00437F8E" w:rsidRDefault="00437F8E" w:rsidP="00437F8E">
      <w:pPr>
        <w:spacing w:before="100" w:beforeAutospacing="1" w:after="0" w:line="240" w:lineRule="auto"/>
        <w:jc w:val="both"/>
        <w:outlineLvl w:val="2"/>
        <w:rPr>
          <w:rFonts w:asciiTheme="majorHAnsi" w:eastAsia="Times New Roman" w:hAnsiTheme="majorHAnsi" w:cs="Times New Roman"/>
          <w:b/>
          <w:bCs/>
          <w:sz w:val="27"/>
          <w:szCs w:val="27"/>
          <w:lang w:val="en-US"/>
        </w:rPr>
      </w:pPr>
      <w:r w:rsidRPr="00437F8E">
        <w:rPr>
          <w:rFonts w:asciiTheme="majorHAnsi" w:eastAsia="Times New Roman" w:hAnsiTheme="majorHAnsi" w:cs="Times New Roman"/>
          <w:b/>
          <w:bCs/>
          <w:sz w:val="41"/>
          <w:szCs w:val="27"/>
          <w:lang w:val="en-US"/>
        </w:rPr>
        <w:t>No TDS on Service Tax in 194J: -</w:t>
      </w:r>
    </w:p>
    <w:p w:rsidR="003570BC" w:rsidRPr="00437F8E" w:rsidRDefault="003570BC" w:rsidP="00437F8E">
      <w:pPr>
        <w:spacing w:after="0"/>
        <w:jc w:val="both"/>
        <w:rPr>
          <w:rFonts w:asciiTheme="majorHAnsi" w:hAnsiTheme="majorHAnsi"/>
        </w:rPr>
      </w:pPr>
    </w:p>
    <w:p w:rsidR="00437F8E" w:rsidRPr="00437F8E" w:rsidRDefault="00437F8E" w:rsidP="00437F8E">
      <w:pPr>
        <w:spacing w:after="0"/>
        <w:jc w:val="both"/>
        <w:rPr>
          <w:rFonts w:asciiTheme="majorHAnsi" w:hAnsiTheme="majorHAnsi"/>
        </w:rPr>
      </w:pPr>
      <w:r w:rsidRPr="00437F8E">
        <w:rPr>
          <w:rFonts w:asciiTheme="majorHAnsi" w:hAnsiTheme="majorHAnsi"/>
        </w:rPr>
        <w:t>Income Tax Department has issued a Circular No. 1/2014 [F.NO.275/59/2012-</w:t>
      </w:r>
      <w:proofErr w:type="gramStart"/>
      <w:r w:rsidRPr="00437F8E">
        <w:rPr>
          <w:rFonts w:asciiTheme="majorHAnsi" w:hAnsiTheme="majorHAnsi"/>
        </w:rPr>
        <w:t>IT(</w:t>
      </w:r>
      <w:proofErr w:type="gramEnd"/>
      <w:r w:rsidRPr="00437F8E">
        <w:rPr>
          <w:rFonts w:asciiTheme="majorHAnsi" w:hAnsiTheme="majorHAnsi"/>
        </w:rPr>
        <w:t>B)], dated 13.01.2014 regarding clarification on TDS on 194J or 194-I without including the service tax component if service tax is to be paid separately as per the terms of agreement be</w:t>
      </w:r>
      <w:r w:rsidR="00D35F9D">
        <w:rPr>
          <w:rFonts w:asciiTheme="majorHAnsi" w:hAnsiTheme="majorHAnsi"/>
        </w:rPr>
        <w:t>tween the payer and the payee.</w:t>
      </w:r>
      <w:bookmarkStart w:id="0" w:name="_GoBack"/>
      <w:bookmarkEnd w:id="0"/>
    </w:p>
    <w:p w:rsidR="00437F8E" w:rsidRPr="00437F8E" w:rsidRDefault="00437F8E" w:rsidP="00437F8E">
      <w:pPr>
        <w:spacing w:after="0"/>
        <w:jc w:val="both"/>
        <w:rPr>
          <w:rFonts w:asciiTheme="majorHAnsi" w:hAnsiTheme="majorHAnsi"/>
        </w:rPr>
      </w:pPr>
    </w:p>
    <w:p w:rsidR="00437F8E" w:rsidRPr="00437F8E" w:rsidRDefault="00437F8E" w:rsidP="00437F8E">
      <w:pPr>
        <w:spacing w:after="0"/>
        <w:jc w:val="both"/>
        <w:rPr>
          <w:rFonts w:asciiTheme="majorHAnsi" w:hAnsiTheme="majorHAnsi"/>
        </w:rPr>
      </w:pPr>
      <w:r w:rsidRPr="00437F8E">
        <w:rPr>
          <w:rFonts w:asciiTheme="majorHAnsi" w:hAnsiTheme="majorHAnsi"/>
        </w:rPr>
        <w:t xml:space="preserve">SECTION 194-I OF THE INCOME-TAX ACT, 1961 - DEDUCTION OF TAX AT SOURCE -  RENT – CLARIFICATION REGARDING TDS UNDER CHAPTER XVII-B ON SERVICE TAX  COMPONENT COMPRISED OF PAYMENTS MADE TO RESIDENTS </w:t>
      </w:r>
    </w:p>
    <w:p w:rsidR="00437F8E" w:rsidRPr="00437F8E" w:rsidRDefault="00437F8E" w:rsidP="00437F8E">
      <w:pPr>
        <w:spacing w:after="0"/>
        <w:jc w:val="both"/>
        <w:rPr>
          <w:rFonts w:asciiTheme="majorHAnsi" w:hAnsiTheme="majorHAnsi"/>
        </w:rPr>
      </w:pPr>
    </w:p>
    <w:p w:rsidR="00437F8E" w:rsidRPr="00437F8E" w:rsidRDefault="00437F8E" w:rsidP="00437F8E">
      <w:pPr>
        <w:spacing w:after="0"/>
        <w:jc w:val="both"/>
        <w:rPr>
          <w:rFonts w:asciiTheme="majorHAnsi" w:hAnsiTheme="majorHAnsi"/>
        </w:rPr>
      </w:pPr>
      <w:r w:rsidRPr="00437F8E">
        <w:rPr>
          <w:rFonts w:asciiTheme="majorHAnsi" w:hAnsiTheme="majorHAnsi"/>
        </w:rPr>
        <w:t xml:space="preserve">CIRCULAR NO. 1/2014 [F.NO.275/59/2012-IT(B)], DATED 13-1-2014 </w:t>
      </w:r>
    </w:p>
    <w:p w:rsidR="00437F8E" w:rsidRPr="00437F8E" w:rsidRDefault="00437F8E" w:rsidP="00437F8E">
      <w:pPr>
        <w:spacing w:after="0"/>
        <w:jc w:val="both"/>
        <w:rPr>
          <w:rFonts w:asciiTheme="majorHAnsi" w:hAnsiTheme="majorHAnsi"/>
        </w:rPr>
      </w:pPr>
    </w:p>
    <w:p w:rsidR="00437F8E" w:rsidRPr="00437F8E" w:rsidRDefault="00437F8E" w:rsidP="00437F8E">
      <w:pPr>
        <w:spacing w:after="0"/>
        <w:jc w:val="both"/>
        <w:rPr>
          <w:rFonts w:asciiTheme="majorHAnsi" w:hAnsiTheme="majorHAnsi"/>
        </w:rPr>
      </w:pPr>
      <w:r w:rsidRPr="00437F8E">
        <w:rPr>
          <w:rFonts w:asciiTheme="majorHAnsi" w:hAnsiTheme="majorHAnsi"/>
        </w:rPr>
        <w:t xml:space="preserve">The Board had issued a Circular No.4/2008 dated 28-04-2008 wherein it was clarified that tax is to be  deducted at source under section 194-I of the Income-tax Act, 1961 (hereafter referred to as 'the Act'), on the amount of rent paid/payable without including the service tax component.  Representations/letters has been received seeking clarification whether such principle can be extended to other provisions of the Act also. </w:t>
      </w:r>
    </w:p>
    <w:p w:rsidR="00437F8E" w:rsidRPr="00437F8E" w:rsidRDefault="00437F8E" w:rsidP="00437F8E">
      <w:pPr>
        <w:spacing w:after="0"/>
        <w:jc w:val="both"/>
        <w:rPr>
          <w:rFonts w:asciiTheme="majorHAnsi" w:hAnsiTheme="majorHAnsi"/>
        </w:rPr>
      </w:pPr>
    </w:p>
    <w:p w:rsidR="00437F8E" w:rsidRPr="00437F8E" w:rsidRDefault="00437F8E" w:rsidP="00437F8E">
      <w:pPr>
        <w:spacing w:after="0"/>
        <w:jc w:val="both"/>
        <w:rPr>
          <w:rFonts w:asciiTheme="majorHAnsi" w:hAnsiTheme="majorHAnsi"/>
        </w:rPr>
      </w:pPr>
      <w:r w:rsidRPr="00437F8E">
        <w:rPr>
          <w:rFonts w:asciiTheme="majorHAnsi" w:hAnsiTheme="majorHAnsi"/>
        </w:rPr>
        <w:t xml:space="preserve">2. Attention of CBDT has also been drawn to the judgement of the Hon'ble Rajasthan High Court dated  1-7-2013, in the case of CIT (TDS) Jaipur v. Rajasthan Urban Infrastructure (Income-tax Appeal  No.235, 222, 238 and 239/2011), holding that if as per the terms of the agreement between the payer and the payee, the amount of service tax is to be paid separately and was not included in the fees for professional services or technical services, no TDS is required to be made on the service tax component u/s 194J of the Act. </w:t>
      </w:r>
    </w:p>
    <w:p w:rsidR="00437F8E" w:rsidRPr="00437F8E" w:rsidRDefault="00437F8E" w:rsidP="00437F8E">
      <w:pPr>
        <w:spacing w:after="0"/>
        <w:jc w:val="both"/>
        <w:rPr>
          <w:rFonts w:asciiTheme="majorHAnsi" w:hAnsiTheme="majorHAnsi"/>
        </w:rPr>
      </w:pPr>
    </w:p>
    <w:p w:rsidR="00437F8E" w:rsidRPr="00437F8E" w:rsidRDefault="00437F8E" w:rsidP="00437F8E">
      <w:pPr>
        <w:spacing w:after="0"/>
        <w:jc w:val="both"/>
        <w:rPr>
          <w:rFonts w:asciiTheme="majorHAnsi" w:hAnsiTheme="majorHAnsi"/>
        </w:rPr>
      </w:pPr>
      <w:r w:rsidRPr="00437F8E">
        <w:rPr>
          <w:rFonts w:asciiTheme="majorHAnsi" w:hAnsiTheme="majorHAnsi"/>
        </w:rPr>
        <w:t xml:space="preserve">3. The matter has been examined afresh. In exercise of the powers conferred under section 119 of the Act, the Board has decided that wherever in terms of the agreement/contract between the payer and the payee, the service tax component comprised in the amount payable to a resident is indicated separately, tax shall be deducted at source under Chapter XVII-B of the Act on the amount paid/payable without including such service tax component. </w:t>
      </w:r>
    </w:p>
    <w:p w:rsidR="00437F8E" w:rsidRPr="00437F8E" w:rsidRDefault="00437F8E" w:rsidP="00437F8E">
      <w:pPr>
        <w:spacing w:after="0"/>
        <w:jc w:val="both"/>
        <w:rPr>
          <w:rFonts w:asciiTheme="majorHAnsi" w:hAnsiTheme="majorHAnsi"/>
        </w:rPr>
      </w:pPr>
    </w:p>
    <w:p w:rsidR="00437F8E" w:rsidRPr="00437F8E" w:rsidRDefault="00437F8E" w:rsidP="00437F8E">
      <w:pPr>
        <w:spacing w:after="0"/>
        <w:jc w:val="both"/>
        <w:rPr>
          <w:rFonts w:asciiTheme="majorHAnsi" w:hAnsiTheme="majorHAnsi"/>
        </w:rPr>
      </w:pPr>
      <w:r w:rsidRPr="00437F8E">
        <w:rPr>
          <w:rFonts w:asciiTheme="majorHAnsi" w:hAnsiTheme="majorHAnsi"/>
        </w:rPr>
        <w:t>4. This circular may be brought to the notice of all officers for compliance.</w:t>
      </w:r>
    </w:p>
    <w:sectPr w:rsidR="00437F8E" w:rsidRPr="00437F8E">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D85CD2" w:rsidRDefault="00D85CD2" w:rsidP="00437F8E">
      <w:pPr>
        <w:spacing w:after="0" w:line="240" w:lineRule="auto"/>
      </w:pPr>
      <w:r>
        <w:separator/>
      </w:r>
    </w:p>
  </w:endnote>
  <w:endnote w:type="continuationSeparator" w:id="0">
    <w:p w:rsidR="00D85CD2" w:rsidRDefault="00D85CD2" w:rsidP="00437F8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20002A87" w:usb1="80000000" w:usb2="00000008"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37F8E" w:rsidRDefault="00D85CD2" w:rsidP="00437F8E">
    <w:pPr>
      <w:pStyle w:val="Footer"/>
      <w:jc w:val="center"/>
    </w:pPr>
    <w:hyperlink r:id="rId1" w:history="1">
      <w:r w:rsidR="00437F8E" w:rsidRPr="00437F8E">
        <w:rPr>
          <w:rStyle w:val="Hyperlink"/>
        </w:rPr>
        <w:t>www.sandeepchaure.webnode.com</w:t>
      </w:r>
    </w:hyperlink>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D85CD2" w:rsidRDefault="00D85CD2" w:rsidP="00437F8E">
      <w:pPr>
        <w:spacing w:after="0" w:line="240" w:lineRule="auto"/>
      </w:pPr>
      <w:r>
        <w:separator/>
      </w:r>
    </w:p>
  </w:footnote>
  <w:footnote w:type="continuationSeparator" w:id="0">
    <w:p w:rsidR="00D85CD2" w:rsidRDefault="00D85CD2" w:rsidP="00437F8E">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0"/>
  <w:proofState w:spelling="clean" w:grammar="clean"/>
  <w:documentProtection w:edit="readOnly" w:enforcement="1" w:cryptProviderType="rsaFull" w:cryptAlgorithmClass="hash" w:cryptAlgorithmType="typeAny" w:cryptAlgorithmSid="4" w:cryptSpinCount="100000" w:hash="nujzZvGMhmo6Ir5pN8J3lRVCv+k=" w:salt="oOmYL43Jk4iZiJverzyHDw=="/>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37F8E"/>
    <w:rsid w:val="003570BC"/>
    <w:rsid w:val="00437F8E"/>
    <w:rsid w:val="00D1336B"/>
    <w:rsid w:val="00D35F9D"/>
    <w:rsid w:val="00D85CD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N"/>
    </w:rPr>
  </w:style>
  <w:style w:type="paragraph" w:styleId="Heading3">
    <w:name w:val="heading 3"/>
    <w:basedOn w:val="Normal"/>
    <w:link w:val="Heading3Char"/>
    <w:uiPriority w:val="9"/>
    <w:qFormat/>
    <w:rsid w:val="00437F8E"/>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7F8E"/>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437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F8E"/>
    <w:rPr>
      <w:lang w:val="en-IN"/>
    </w:rPr>
  </w:style>
  <w:style w:type="paragraph" w:styleId="Footer">
    <w:name w:val="footer"/>
    <w:basedOn w:val="Normal"/>
    <w:link w:val="FooterChar"/>
    <w:uiPriority w:val="99"/>
    <w:unhideWhenUsed/>
    <w:rsid w:val="00437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F8E"/>
    <w:rPr>
      <w:lang w:val="en-IN"/>
    </w:rPr>
  </w:style>
  <w:style w:type="character" w:styleId="Hyperlink">
    <w:name w:val="Hyperlink"/>
    <w:basedOn w:val="DefaultParagraphFont"/>
    <w:uiPriority w:val="99"/>
    <w:unhideWhenUsed/>
    <w:rsid w:val="00437F8E"/>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en-IN"/>
    </w:rPr>
  </w:style>
  <w:style w:type="paragraph" w:styleId="Heading3">
    <w:name w:val="heading 3"/>
    <w:basedOn w:val="Normal"/>
    <w:link w:val="Heading3Char"/>
    <w:uiPriority w:val="9"/>
    <w:qFormat/>
    <w:rsid w:val="00437F8E"/>
    <w:pPr>
      <w:spacing w:before="100" w:beforeAutospacing="1" w:after="100" w:afterAutospacing="1" w:line="240" w:lineRule="auto"/>
      <w:outlineLvl w:val="2"/>
    </w:pPr>
    <w:rPr>
      <w:rFonts w:ascii="Times New Roman" w:eastAsia="Times New Roman" w:hAnsi="Times New Roman" w:cs="Times New Roman"/>
      <w:b/>
      <w:bCs/>
      <w:sz w:val="27"/>
      <w:szCs w:val="27"/>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437F8E"/>
    <w:rPr>
      <w:rFonts w:ascii="Times New Roman" w:eastAsia="Times New Roman" w:hAnsi="Times New Roman" w:cs="Times New Roman"/>
      <w:b/>
      <w:bCs/>
      <w:sz w:val="27"/>
      <w:szCs w:val="27"/>
    </w:rPr>
  </w:style>
  <w:style w:type="paragraph" w:styleId="Header">
    <w:name w:val="header"/>
    <w:basedOn w:val="Normal"/>
    <w:link w:val="HeaderChar"/>
    <w:uiPriority w:val="99"/>
    <w:unhideWhenUsed/>
    <w:rsid w:val="00437F8E"/>
    <w:pPr>
      <w:tabs>
        <w:tab w:val="center" w:pos="4680"/>
        <w:tab w:val="right" w:pos="9360"/>
      </w:tabs>
      <w:spacing w:after="0" w:line="240" w:lineRule="auto"/>
    </w:pPr>
  </w:style>
  <w:style w:type="character" w:customStyle="1" w:styleId="HeaderChar">
    <w:name w:val="Header Char"/>
    <w:basedOn w:val="DefaultParagraphFont"/>
    <w:link w:val="Header"/>
    <w:uiPriority w:val="99"/>
    <w:rsid w:val="00437F8E"/>
    <w:rPr>
      <w:lang w:val="en-IN"/>
    </w:rPr>
  </w:style>
  <w:style w:type="paragraph" w:styleId="Footer">
    <w:name w:val="footer"/>
    <w:basedOn w:val="Normal"/>
    <w:link w:val="FooterChar"/>
    <w:uiPriority w:val="99"/>
    <w:unhideWhenUsed/>
    <w:rsid w:val="00437F8E"/>
    <w:pPr>
      <w:tabs>
        <w:tab w:val="center" w:pos="4680"/>
        <w:tab w:val="right" w:pos="9360"/>
      </w:tabs>
      <w:spacing w:after="0" w:line="240" w:lineRule="auto"/>
    </w:pPr>
  </w:style>
  <w:style w:type="character" w:customStyle="1" w:styleId="FooterChar">
    <w:name w:val="Footer Char"/>
    <w:basedOn w:val="DefaultParagraphFont"/>
    <w:link w:val="Footer"/>
    <w:uiPriority w:val="99"/>
    <w:rsid w:val="00437F8E"/>
    <w:rPr>
      <w:lang w:val="en-IN"/>
    </w:rPr>
  </w:style>
  <w:style w:type="character" w:styleId="Hyperlink">
    <w:name w:val="Hyperlink"/>
    <w:basedOn w:val="DefaultParagraphFont"/>
    <w:uiPriority w:val="99"/>
    <w:unhideWhenUsed/>
    <w:rsid w:val="00437F8E"/>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4683882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_rels/footer1.xml.rels><?xml version="1.0" encoding="UTF-8" standalone="yes"?>
<Relationships xmlns="http://schemas.openxmlformats.org/package/2006/relationships"><Relationship Id="rId1" Type="http://schemas.openxmlformats.org/officeDocument/2006/relationships/hyperlink" Target="www.sandeepchaure.webnode.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TotalTime>
  <Pages>1</Pages>
  <Words>309</Words>
  <Characters>1763</Characters>
  <Application>Microsoft Office Word</Application>
  <DocSecurity>8</DocSecurity>
  <Lines>14</Lines>
  <Paragraphs>4</Paragraphs>
  <ScaleCrop>false</ScaleCrop>
  <Company>www.sandeepchaure@gmail.com</Company>
  <LinksUpToDate>false</LinksUpToDate>
  <CharactersWithSpaces>2068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Sandeep Presents (Ph: 8889006969)</dc:creator>
  <cp:keywords/>
  <dc:description/>
  <cp:lastModifiedBy>Sandeep Presents (Ph: 8889006969)</cp:lastModifiedBy>
  <cp:revision>2</cp:revision>
  <dcterms:created xsi:type="dcterms:W3CDTF">2014-01-31T08:12:00Z</dcterms:created>
  <dcterms:modified xsi:type="dcterms:W3CDTF">2014-01-31T08:21:00Z</dcterms:modified>
</cp:coreProperties>
</file>