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Spacing w:w="15" w:type="dxa"/>
        <w:tblCellMar>
          <w:top w:w="45" w:type="dxa"/>
          <w:left w:w="45" w:type="dxa"/>
          <w:bottom w:w="45" w:type="dxa"/>
          <w:right w:w="45" w:type="dxa"/>
        </w:tblCellMar>
        <w:tblLook w:val="04A0"/>
      </w:tblPr>
      <w:tblGrid>
        <w:gridCol w:w="484"/>
        <w:gridCol w:w="7124"/>
      </w:tblGrid>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rPr>
                <w:b/>
                <w:bCs/>
              </w:rPr>
              <w:t>"Tax Deduction at Source"</w:t>
            </w:r>
            <w:r w:rsidRPr="00F36A46">
              <w:t xml:space="preserve"> This term in its abbreviated form "TDS" has been used since a long time in Income Tax. Under the scheme, certain amount is deducted by the employer or payer from the amount which is payable to an employee or a person. This amount is deposited in Income Tax </w:t>
            </w:r>
            <w:proofErr w:type="spellStart"/>
            <w:r w:rsidRPr="00F36A46">
              <w:t>accout</w:t>
            </w:r>
            <w:proofErr w:type="spellEnd"/>
            <w:r w:rsidRPr="00F36A46">
              <w:t xml:space="preserve"> by the person who makes deduction. The person who deducts the amount does two things:</w:t>
            </w:r>
          </w:p>
        </w:tc>
      </w:tr>
      <w:tr w:rsidR="00F36A46" w:rsidRPr="00F36A46" w:rsidTr="00F36A46">
        <w:trPr>
          <w:tblCellSpacing w:w="15" w:type="dxa"/>
          <w:jc w:val="center"/>
        </w:trPr>
        <w:tc>
          <w:tcPr>
            <w:tcW w:w="0" w:type="auto"/>
            <w:hideMark/>
          </w:tcPr>
          <w:p w:rsidR="00F36A46" w:rsidRPr="00F36A46" w:rsidRDefault="00F36A46" w:rsidP="00F36A46">
            <w:r w:rsidRPr="00F36A46">
              <w:t>(a)</w:t>
            </w:r>
          </w:p>
        </w:tc>
        <w:tc>
          <w:tcPr>
            <w:tcW w:w="0" w:type="auto"/>
            <w:vAlign w:val="center"/>
            <w:hideMark/>
          </w:tcPr>
          <w:p w:rsidR="00F36A46" w:rsidRPr="00F36A46" w:rsidRDefault="00F36A46" w:rsidP="00F36A46">
            <w:r w:rsidRPr="00F36A46">
              <w:t xml:space="preserve">such person submits details of persons from whose payments amount has been deducted, amount deducted and details of Income Tax </w:t>
            </w:r>
            <w:proofErr w:type="spellStart"/>
            <w:r w:rsidRPr="00F36A46">
              <w:t>challan</w:t>
            </w:r>
            <w:proofErr w:type="spellEnd"/>
            <w:r w:rsidRPr="00F36A46">
              <w:t xml:space="preserve"> by which amount deducted has been deposited in the Bank; and</w:t>
            </w:r>
          </w:p>
        </w:tc>
      </w:tr>
      <w:tr w:rsidR="00F36A46" w:rsidRPr="00F36A46" w:rsidTr="00F36A46">
        <w:trPr>
          <w:tblCellSpacing w:w="15" w:type="dxa"/>
          <w:jc w:val="center"/>
        </w:trPr>
        <w:tc>
          <w:tcPr>
            <w:tcW w:w="0" w:type="auto"/>
            <w:hideMark/>
          </w:tcPr>
          <w:p w:rsidR="00F36A46" w:rsidRPr="00F36A46" w:rsidRDefault="00F36A46" w:rsidP="00F36A46">
            <w:r w:rsidRPr="00F36A46">
              <w:t>(b)</w:t>
            </w:r>
          </w:p>
        </w:tc>
        <w:tc>
          <w:tcPr>
            <w:tcW w:w="0" w:type="auto"/>
            <w:vAlign w:val="center"/>
            <w:hideMark/>
          </w:tcPr>
          <w:p w:rsidR="00F36A46" w:rsidRPr="00F36A46" w:rsidRDefault="00F36A46" w:rsidP="00F36A46">
            <w:proofErr w:type="gramStart"/>
            <w:r w:rsidRPr="00F36A46">
              <w:t>such</w:t>
            </w:r>
            <w:proofErr w:type="gramEnd"/>
            <w:r w:rsidRPr="00F36A46">
              <w:t xml:space="preserve"> person issues a certificate in the prescribed form to the person from whom amount has been deducted </w:t>
            </w:r>
            <w:proofErr w:type="spellStart"/>
            <w:r w:rsidRPr="00F36A46">
              <w:t>alongwith</w:t>
            </w:r>
            <w:proofErr w:type="spellEnd"/>
            <w:r w:rsidRPr="00F36A46">
              <w:t xml:space="preserve"> details of deposit of the amount in the Bank in Income Tax account.</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t xml:space="preserve">        Provision of tax deduction at source does not in any manner </w:t>
            </w:r>
            <w:proofErr w:type="gramStart"/>
            <w:r w:rsidRPr="00F36A46">
              <w:t>absolves</w:t>
            </w:r>
            <w:proofErr w:type="gramEnd"/>
            <w:r w:rsidRPr="00F36A46">
              <w:t xml:space="preserve"> the liability of return filing by the person form whose payments amount has been deducted. Such person is required to file income tax return like any other person. Such person, while preparing his income tax return, first computes total income tax payable and thereafter, claims benefit of aggregate of all amounts of tax deduction. There may be three circumstances as under:</w:t>
            </w:r>
          </w:p>
        </w:tc>
      </w:tr>
      <w:tr w:rsidR="00F36A46" w:rsidRPr="00F36A46" w:rsidTr="00F36A46">
        <w:trPr>
          <w:tblCellSpacing w:w="15" w:type="dxa"/>
          <w:jc w:val="center"/>
        </w:trPr>
        <w:tc>
          <w:tcPr>
            <w:tcW w:w="0" w:type="auto"/>
            <w:hideMark/>
          </w:tcPr>
          <w:p w:rsidR="00F36A46" w:rsidRPr="00F36A46" w:rsidRDefault="00F36A46" w:rsidP="00F36A46">
            <w:r w:rsidRPr="00F36A46">
              <w:t>(</w:t>
            </w:r>
            <w:proofErr w:type="spellStart"/>
            <w:r w:rsidRPr="00F36A46">
              <w:t>i</w:t>
            </w:r>
            <w:proofErr w:type="spellEnd"/>
            <w:r w:rsidRPr="00F36A46">
              <w:t>)</w:t>
            </w:r>
          </w:p>
        </w:tc>
        <w:tc>
          <w:tcPr>
            <w:tcW w:w="0" w:type="auto"/>
            <w:vAlign w:val="center"/>
            <w:hideMark/>
          </w:tcPr>
          <w:p w:rsidR="00F36A46" w:rsidRPr="00F36A46" w:rsidRDefault="00F36A46" w:rsidP="00F36A46">
            <w:r w:rsidRPr="00F36A46">
              <w:t>Aggregate of all amounts deducted falls short of total amount of income tax payable; or</w:t>
            </w:r>
          </w:p>
        </w:tc>
      </w:tr>
      <w:tr w:rsidR="00F36A46" w:rsidRPr="00F36A46" w:rsidTr="00F36A46">
        <w:trPr>
          <w:tblCellSpacing w:w="15" w:type="dxa"/>
          <w:jc w:val="center"/>
        </w:trPr>
        <w:tc>
          <w:tcPr>
            <w:tcW w:w="0" w:type="auto"/>
            <w:hideMark/>
          </w:tcPr>
          <w:p w:rsidR="00F36A46" w:rsidRPr="00F36A46" w:rsidRDefault="00F36A46" w:rsidP="00F36A46">
            <w:r w:rsidRPr="00F36A46">
              <w:t>(ii)</w:t>
            </w:r>
          </w:p>
        </w:tc>
        <w:tc>
          <w:tcPr>
            <w:tcW w:w="0" w:type="auto"/>
            <w:vAlign w:val="center"/>
            <w:hideMark/>
          </w:tcPr>
          <w:p w:rsidR="00F36A46" w:rsidRPr="00F36A46" w:rsidRDefault="00F36A46" w:rsidP="00F36A46">
            <w:r w:rsidRPr="00F36A46">
              <w:t>Aggregate of all amounts deducted exceeds the total amount of income tax payable; or</w:t>
            </w:r>
          </w:p>
        </w:tc>
      </w:tr>
      <w:tr w:rsidR="00F36A46" w:rsidRPr="00F36A46" w:rsidTr="00F36A46">
        <w:trPr>
          <w:tblCellSpacing w:w="15" w:type="dxa"/>
          <w:jc w:val="center"/>
        </w:trPr>
        <w:tc>
          <w:tcPr>
            <w:tcW w:w="0" w:type="auto"/>
            <w:hideMark/>
          </w:tcPr>
          <w:p w:rsidR="00F36A46" w:rsidRPr="00F36A46" w:rsidRDefault="00F36A46" w:rsidP="00F36A46">
            <w:r w:rsidRPr="00F36A46">
              <w:t>(iii)</w:t>
            </w:r>
          </w:p>
        </w:tc>
        <w:tc>
          <w:tcPr>
            <w:tcW w:w="0" w:type="auto"/>
            <w:vAlign w:val="center"/>
            <w:hideMark/>
          </w:tcPr>
          <w:p w:rsidR="00F36A46" w:rsidRPr="00F36A46" w:rsidRDefault="00F36A46" w:rsidP="00F36A46">
            <w:r w:rsidRPr="00F36A46">
              <w:t>Aggregate of all amounts deducted is equal to the total amount of income tax payable; or</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t xml:space="preserve">        In first case, income tax payer </w:t>
            </w:r>
            <w:proofErr w:type="spellStart"/>
            <w:r w:rsidRPr="00F36A46">
              <w:t>diposits</w:t>
            </w:r>
            <w:proofErr w:type="spellEnd"/>
            <w:r w:rsidRPr="00F36A46">
              <w:t xml:space="preserve"> the amount of difference, in second case, </w:t>
            </w:r>
            <w:proofErr w:type="gramStart"/>
            <w:r w:rsidRPr="00F36A46">
              <w:t>he</w:t>
            </w:r>
            <w:proofErr w:type="gramEnd"/>
            <w:r w:rsidRPr="00F36A46">
              <w:t xml:space="preserve"> claims refund of the amount of difference and in third case, he has to do nothing. Exactly same procedure is to be adopted in cases of tax deduction made by the contractor from payments of contractor and same treatment is to be given to any amount deducted at source by the </w:t>
            </w:r>
            <w:proofErr w:type="spellStart"/>
            <w:r w:rsidRPr="00F36A46">
              <w:t>contractee</w:t>
            </w:r>
            <w:proofErr w:type="spellEnd"/>
            <w:r w:rsidRPr="00F36A46">
              <w:t>.</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rPr>
                <w:b/>
                <w:bCs/>
              </w:rPr>
              <w:t>"WCT"</w:t>
            </w:r>
            <w:r w:rsidRPr="00F36A46">
              <w:t xml:space="preserve"> Many people dealing with tax in cases of works contracts often use abbreviation "WCT" for amount of tax deducted at source. Unless law of any State specifically provides that amount deducted shall be treated in a works contract or in </w:t>
            </w:r>
            <w:proofErr w:type="spellStart"/>
            <w:r w:rsidRPr="00F36A46">
              <w:t>cretain</w:t>
            </w:r>
            <w:proofErr w:type="spellEnd"/>
            <w:r w:rsidRPr="00F36A46">
              <w:t xml:space="preserve"> type of works contract or in all cases of works contract as the amount of tax payable by a dealer, term "WCT" cannot be used for amount deducted in cases </w:t>
            </w:r>
            <w:r w:rsidRPr="00F36A46">
              <w:lastRenderedPageBreak/>
              <w:t>of works contract. For amount of tax deducted at source in cases of works contract, it will be proper to use the term "TDS (VAT)" or "TDS (WCT").</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rPr>
                <w:b/>
                <w:bCs/>
              </w:rPr>
              <w:lastRenderedPageBreak/>
              <w:t>"Liability of payment of sub-contractor in cases of works contract"</w:t>
            </w:r>
            <w:r w:rsidRPr="00F36A46">
              <w:t xml:space="preserve"> Under a works contract, sale of goods is not a normal sale. In a case of works contract, sale of goods is deemed by accretion of goods in the works. In a works contract, transfer of property in goods takes place at the time of incorporation of goods in the works. Where a contract is executed through sub-contractor, property immediately before incorporation in the works belongs to sub-contractor and with the incorporation it becomes property of the </w:t>
            </w:r>
            <w:proofErr w:type="spellStart"/>
            <w:r w:rsidRPr="00F36A46">
              <w:t>contractee</w:t>
            </w:r>
            <w:proofErr w:type="spellEnd"/>
            <w:r w:rsidRPr="00F36A46">
              <w:t xml:space="preserve">. Property in goods never passes to main contractor. Therefore, it is sub-contractor who makes sale of goods in execution of the contract. Therefore, in such cases, sub-contractor is liable for payment of tax. Please see State of Andhra Pradesh &amp; Ors. </w:t>
            </w:r>
            <w:proofErr w:type="gramStart"/>
            <w:r w:rsidRPr="00F36A46">
              <w:t>versus</w:t>
            </w:r>
            <w:proofErr w:type="gramEnd"/>
            <w:r w:rsidRPr="00F36A46">
              <w:t xml:space="preserve"> M/s Larsen &amp; </w:t>
            </w:r>
            <w:proofErr w:type="spellStart"/>
            <w:r w:rsidRPr="00F36A46">
              <w:t>Tourbo</w:t>
            </w:r>
            <w:proofErr w:type="spellEnd"/>
            <w:r w:rsidRPr="00F36A46">
              <w:t xml:space="preserve"> Ltd. &amp; Ors. (Supreme Court) Civil Appeal No. 5239 of 2008, date of decision August 26, 2008.</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rPr>
                <w:b/>
                <w:bCs/>
              </w:rPr>
              <w:t>"TDS in cases of sub-contractors"</w:t>
            </w:r>
            <w:r w:rsidRPr="00F36A46">
              <w:t xml:space="preserve"> Where liability of payment of tax is of sub-contractor, tax deduction should not be made from payments made to main contractor by </w:t>
            </w:r>
            <w:proofErr w:type="spellStart"/>
            <w:r w:rsidRPr="00F36A46">
              <w:t>contracteee</w:t>
            </w:r>
            <w:proofErr w:type="spellEnd"/>
            <w:r w:rsidRPr="00F36A46">
              <w:t xml:space="preserve">. Where a contract is executed partially through sub-contractors, TDS should not be made by </w:t>
            </w:r>
            <w:proofErr w:type="spellStart"/>
            <w:r w:rsidRPr="00F36A46">
              <w:t>contractee</w:t>
            </w:r>
            <w:proofErr w:type="spellEnd"/>
            <w:r w:rsidRPr="00F36A46">
              <w:t xml:space="preserve"> on those amounts which are payable by main contractor to sub-contractor(s). Except where law of a State specifically provides otherwise, tax deduction is mandatory by the main contractor from payments of sub-contractor(s). Following observations of the </w:t>
            </w:r>
            <w:proofErr w:type="spellStart"/>
            <w:r w:rsidRPr="00F36A46">
              <w:t>Hon'ble</w:t>
            </w:r>
            <w:proofErr w:type="spellEnd"/>
            <w:r w:rsidRPr="00F36A46">
              <w:t xml:space="preserve"> Supreme Court in M/s </w:t>
            </w:r>
            <w:proofErr w:type="spellStart"/>
            <w:r w:rsidRPr="00F36A46">
              <w:t>Bhawani</w:t>
            </w:r>
            <w:proofErr w:type="spellEnd"/>
            <w:r w:rsidRPr="00F36A46">
              <w:t xml:space="preserve"> Cotton Mills Ltd. verses State of Punjab And </w:t>
            </w:r>
            <w:proofErr w:type="spellStart"/>
            <w:r w:rsidRPr="00F36A46">
              <w:t>Anr</w:t>
            </w:r>
            <w:proofErr w:type="spellEnd"/>
            <w:r w:rsidRPr="00F36A46">
              <w:t>. 1967 AIR 1616, decided on 10-04-1967:  </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t>"If a person is not liable for payment of tax at all, at any time, the collection of a tax from him with a possible contingency of refund at a later stage will not make the original levy valid."</w:t>
            </w:r>
          </w:p>
        </w:tc>
      </w:tr>
      <w:tr w:rsidR="00F36A46" w:rsidRPr="00F36A46" w:rsidTr="00F36A46">
        <w:trPr>
          <w:tblCellSpacing w:w="15" w:type="dxa"/>
          <w:jc w:val="center"/>
        </w:trPr>
        <w:tc>
          <w:tcPr>
            <w:tcW w:w="0" w:type="auto"/>
            <w:gridSpan w:val="2"/>
            <w:vAlign w:val="center"/>
            <w:hideMark/>
          </w:tcPr>
          <w:p w:rsidR="00F36A46" w:rsidRPr="00F36A46" w:rsidRDefault="00F36A46" w:rsidP="00F36A46">
            <w:r w:rsidRPr="00F36A46">
              <w:rPr>
                <w:b/>
                <w:bCs/>
              </w:rPr>
              <w:t>Tax Deduction at Source at Lower Rate</w:t>
            </w:r>
            <w:proofErr w:type="gramStart"/>
            <w:r w:rsidRPr="00F36A46">
              <w:t>  Where</w:t>
            </w:r>
            <w:proofErr w:type="gramEnd"/>
            <w:r w:rsidRPr="00F36A46">
              <w:t xml:space="preserve"> a contractor is of the view that his liability of payment of tax on sale of goods in a works contract will be lesser than the aggregate of amounts of deduction if deduction is made at general rate of tax deduction, he may apply to his assessing authority for issuing direction to the </w:t>
            </w:r>
            <w:proofErr w:type="spellStart"/>
            <w:r w:rsidRPr="00F36A46">
              <w:t>contractee</w:t>
            </w:r>
            <w:proofErr w:type="spellEnd"/>
            <w:r w:rsidRPr="00F36A46">
              <w:t xml:space="preserve"> for making deduction at a rate lower than the general rate of tax deduction. Where the assessing authority is satisfied it </w:t>
            </w:r>
            <w:proofErr w:type="spellStart"/>
            <w:r w:rsidRPr="00F36A46">
              <w:t>it</w:t>
            </w:r>
            <w:proofErr w:type="spellEnd"/>
            <w:r w:rsidRPr="00F36A46">
              <w:t xml:space="preserve"> will issue direction to the </w:t>
            </w:r>
            <w:proofErr w:type="spellStart"/>
            <w:r w:rsidRPr="00F36A46">
              <w:t>contractee</w:t>
            </w:r>
            <w:proofErr w:type="spellEnd"/>
            <w:r w:rsidRPr="00F36A46">
              <w:t xml:space="preserve"> for making tax deduction at such rate as may be mentioned by it in the direction issued by it.</w:t>
            </w:r>
          </w:p>
        </w:tc>
      </w:tr>
    </w:tbl>
    <w:p w:rsidR="0066235B" w:rsidRDefault="00F36A46"/>
    <w:sectPr w:rsidR="0066235B" w:rsidSect="00B705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6A46"/>
    <w:rsid w:val="001079FC"/>
    <w:rsid w:val="001A7CF7"/>
    <w:rsid w:val="001C5017"/>
    <w:rsid w:val="00270832"/>
    <w:rsid w:val="00B705C6"/>
    <w:rsid w:val="00F36A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C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6270950">
      <w:bodyDiv w:val="1"/>
      <w:marLeft w:val="0"/>
      <w:marRight w:val="0"/>
      <w:marTop w:val="0"/>
      <w:marBottom w:val="0"/>
      <w:divBdr>
        <w:top w:val="none" w:sz="0" w:space="0" w:color="auto"/>
        <w:left w:val="none" w:sz="0" w:space="0" w:color="auto"/>
        <w:bottom w:val="none" w:sz="0" w:space="0" w:color="auto"/>
        <w:right w:val="none" w:sz="0" w:space="0" w:color="auto"/>
      </w:divBdr>
      <w:divsChild>
        <w:div w:id="1455171692">
          <w:marLeft w:val="0"/>
          <w:marRight w:val="0"/>
          <w:marTop w:val="0"/>
          <w:marBottom w:val="0"/>
          <w:divBdr>
            <w:top w:val="none" w:sz="0" w:space="0" w:color="auto"/>
            <w:left w:val="none" w:sz="0" w:space="0" w:color="auto"/>
            <w:bottom w:val="none" w:sz="0" w:space="0" w:color="auto"/>
            <w:right w:val="none" w:sz="0" w:space="0" w:color="auto"/>
          </w:divBdr>
        </w:div>
        <w:div w:id="1336032265">
          <w:marLeft w:val="0"/>
          <w:marRight w:val="0"/>
          <w:marTop w:val="0"/>
          <w:marBottom w:val="0"/>
          <w:divBdr>
            <w:top w:val="none" w:sz="0" w:space="0" w:color="auto"/>
            <w:left w:val="none" w:sz="0" w:space="0" w:color="auto"/>
            <w:bottom w:val="none" w:sz="0" w:space="0" w:color="auto"/>
            <w:right w:val="none" w:sz="0" w:space="0" w:color="auto"/>
          </w:divBdr>
        </w:div>
        <w:div w:id="1354503385">
          <w:marLeft w:val="0"/>
          <w:marRight w:val="0"/>
          <w:marTop w:val="0"/>
          <w:marBottom w:val="0"/>
          <w:divBdr>
            <w:top w:val="none" w:sz="0" w:space="0" w:color="auto"/>
            <w:left w:val="none" w:sz="0" w:space="0" w:color="auto"/>
            <w:bottom w:val="none" w:sz="0" w:space="0" w:color="auto"/>
            <w:right w:val="none" w:sz="0" w:space="0" w:color="auto"/>
          </w:divBdr>
        </w:div>
        <w:div w:id="1410998622">
          <w:marLeft w:val="0"/>
          <w:marRight w:val="0"/>
          <w:marTop w:val="0"/>
          <w:marBottom w:val="0"/>
          <w:divBdr>
            <w:top w:val="none" w:sz="0" w:space="0" w:color="auto"/>
            <w:left w:val="none" w:sz="0" w:space="0" w:color="auto"/>
            <w:bottom w:val="none" w:sz="0" w:space="0" w:color="auto"/>
            <w:right w:val="none" w:sz="0" w:space="0" w:color="auto"/>
          </w:divBdr>
        </w:div>
        <w:div w:id="427584013">
          <w:marLeft w:val="0"/>
          <w:marRight w:val="0"/>
          <w:marTop w:val="0"/>
          <w:marBottom w:val="0"/>
          <w:divBdr>
            <w:top w:val="none" w:sz="0" w:space="0" w:color="auto"/>
            <w:left w:val="none" w:sz="0" w:space="0" w:color="auto"/>
            <w:bottom w:val="none" w:sz="0" w:space="0" w:color="auto"/>
            <w:right w:val="none" w:sz="0" w:space="0" w:color="auto"/>
          </w:divBdr>
        </w:div>
        <w:div w:id="765544569">
          <w:marLeft w:val="0"/>
          <w:marRight w:val="0"/>
          <w:marTop w:val="0"/>
          <w:marBottom w:val="0"/>
          <w:divBdr>
            <w:top w:val="none" w:sz="0" w:space="0" w:color="auto"/>
            <w:left w:val="none" w:sz="0" w:space="0" w:color="auto"/>
            <w:bottom w:val="none" w:sz="0" w:space="0" w:color="auto"/>
            <w:right w:val="none" w:sz="0" w:space="0" w:color="auto"/>
          </w:divBdr>
        </w:div>
        <w:div w:id="1771270071">
          <w:marLeft w:val="0"/>
          <w:marRight w:val="0"/>
          <w:marTop w:val="0"/>
          <w:marBottom w:val="0"/>
          <w:divBdr>
            <w:top w:val="none" w:sz="0" w:space="0" w:color="auto"/>
            <w:left w:val="none" w:sz="0" w:space="0" w:color="auto"/>
            <w:bottom w:val="none" w:sz="0" w:space="0" w:color="auto"/>
            <w:right w:val="none" w:sz="0" w:space="0" w:color="auto"/>
          </w:divBdr>
        </w:div>
        <w:div w:id="1832793525">
          <w:marLeft w:val="0"/>
          <w:marRight w:val="0"/>
          <w:marTop w:val="0"/>
          <w:marBottom w:val="0"/>
          <w:divBdr>
            <w:top w:val="none" w:sz="0" w:space="0" w:color="auto"/>
            <w:left w:val="none" w:sz="0" w:space="0" w:color="auto"/>
            <w:bottom w:val="none" w:sz="0" w:space="0" w:color="auto"/>
            <w:right w:val="none" w:sz="0" w:space="0" w:color="auto"/>
          </w:divBdr>
        </w:div>
        <w:div w:id="1909996241">
          <w:marLeft w:val="0"/>
          <w:marRight w:val="0"/>
          <w:marTop w:val="0"/>
          <w:marBottom w:val="0"/>
          <w:divBdr>
            <w:top w:val="none" w:sz="0" w:space="0" w:color="auto"/>
            <w:left w:val="none" w:sz="0" w:space="0" w:color="auto"/>
            <w:bottom w:val="none" w:sz="0" w:space="0" w:color="auto"/>
            <w:right w:val="none" w:sz="0" w:space="0" w:color="auto"/>
          </w:divBdr>
        </w:div>
        <w:div w:id="13767808">
          <w:marLeft w:val="0"/>
          <w:marRight w:val="0"/>
          <w:marTop w:val="0"/>
          <w:marBottom w:val="0"/>
          <w:divBdr>
            <w:top w:val="none" w:sz="0" w:space="0" w:color="auto"/>
            <w:left w:val="none" w:sz="0" w:space="0" w:color="auto"/>
            <w:bottom w:val="none" w:sz="0" w:space="0" w:color="auto"/>
            <w:right w:val="none" w:sz="0" w:space="0" w:color="auto"/>
          </w:divBdr>
        </w:div>
        <w:div w:id="157118141">
          <w:marLeft w:val="0"/>
          <w:marRight w:val="0"/>
          <w:marTop w:val="0"/>
          <w:marBottom w:val="0"/>
          <w:divBdr>
            <w:top w:val="none" w:sz="0" w:space="0" w:color="auto"/>
            <w:left w:val="none" w:sz="0" w:space="0" w:color="auto"/>
            <w:bottom w:val="none" w:sz="0" w:space="0" w:color="auto"/>
            <w:right w:val="none" w:sz="0" w:space="0" w:color="auto"/>
          </w:divBdr>
        </w:div>
        <w:div w:id="1855878778">
          <w:marLeft w:val="0"/>
          <w:marRight w:val="0"/>
          <w:marTop w:val="0"/>
          <w:marBottom w:val="0"/>
          <w:divBdr>
            <w:top w:val="none" w:sz="0" w:space="0" w:color="auto"/>
            <w:left w:val="none" w:sz="0" w:space="0" w:color="auto"/>
            <w:bottom w:val="none" w:sz="0" w:space="0" w:color="auto"/>
            <w:right w:val="none" w:sz="0" w:space="0" w:color="auto"/>
          </w:divBdr>
        </w:div>
        <w:div w:id="1531868924">
          <w:marLeft w:val="0"/>
          <w:marRight w:val="0"/>
          <w:marTop w:val="0"/>
          <w:marBottom w:val="0"/>
          <w:divBdr>
            <w:top w:val="none" w:sz="0" w:space="0" w:color="auto"/>
            <w:left w:val="none" w:sz="0" w:space="0" w:color="auto"/>
            <w:bottom w:val="none" w:sz="0" w:space="0" w:color="auto"/>
            <w:right w:val="none" w:sz="0" w:space="0" w:color="auto"/>
          </w:divBdr>
        </w:div>
        <w:div w:id="1141197072">
          <w:marLeft w:val="0"/>
          <w:marRight w:val="0"/>
          <w:marTop w:val="0"/>
          <w:marBottom w:val="0"/>
          <w:divBdr>
            <w:top w:val="none" w:sz="0" w:space="0" w:color="auto"/>
            <w:left w:val="none" w:sz="0" w:space="0" w:color="auto"/>
            <w:bottom w:val="none" w:sz="0" w:space="0" w:color="auto"/>
            <w:right w:val="none" w:sz="0" w:space="0" w:color="auto"/>
          </w:divBdr>
        </w:div>
      </w:divsChild>
    </w:div>
    <w:div w:id="1022820443">
      <w:bodyDiv w:val="1"/>
      <w:marLeft w:val="0"/>
      <w:marRight w:val="0"/>
      <w:marTop w:val="0"/>
      <w:marBottom w:val="0"/>
      <w:divBdr>
        <w:top w:val="none" w:sz="0" w:space="0" w:color="auto"/>
        <w:left w:val="none" w:sz="0" w:space="0" w:color="auto"/>
        <w:bottom w:val="none" w:sz="0" w:space="0" w:color="auto"/>
        <w:right w:val="none" w:sz="0" w:space="0" w:color="auto"/>
      </w:divBdr>
      <w:divsChild>
        <w:div w:id="199325655">
          <w:marLeft w:val="0"/>
          <w:marRight w:val="0"/>
          <w:marTop w:val="0"/>
          <w:marBottom w:val="0"/>
          <w:divBdr>
            <w:top w:val="none" w:sz="0" w:space="0" w:color="auto"/>
            <w:left w:val="none" w:sz="0" w:space="0" w:color="auto"/>
            <w:bottom w:val="none" w:sz="0" w:space="0" w:color="auto"/>
            <w:right w:val="none" w:sz="0" w:space="0" w:color="auto"/>
          </w:divBdr>
        </w:div>
        <w:div w:id="414320664">
          <w:marLeft w:val="0"/>
          <w:marRight w:val="0"/>
          <w:marTop w:val="0"/>
          <w:marBottom w:val="0"/>
          <w:divBdr>
            <w:top w:val="none" w:sz="0" w:space="0" w:color="auto"/>
            <w:left w:val="none" w:sz="0" w:space="0" w:color="auto"/>
            <w:bottom w:val="none" w:sz="0" w:space="0" w:color="auto"/>
            <w:right w:val="none" w:sz="0" w:space="0" w:color="auto"/>
          </w:divBdr>
        </w:div>
        <w:div w:id="2050953766">
          <w:marLeft w:val="0"/>
          <w:marRight w:val="0"/>
          <w:marTop w:val="0"/>
          <w:marBottom w:val="0"/>
          <w:divBdr>
            <w:top w:val="none" w:sz="0" w:space="0" w:color="auto"/>
            <w:left w:val="none" w:sz="0" w:space="0" w:color="auto"/>
            <w:bottom w:val="none" w:sz="0" w:space="0" w:color="auto"/>
            <w:right w:val="none" w:sz="0" w:space="0" w:color="auto"/>
          </w:divBdr>
        </w:div>
        <w:div w:id="1380325579">
          <w:marLeft w:val="0"/>
          <w:marRight w:val="0"/>
          <w:marTop w:val="0"/>
          <w:marBottom w:val="0"/>
          <w:divBdr>
            <w:top w:val="none" w:sz="0" w:space="0" w:color="auto"/>
            <w:left w:val="none" w:sz="0" w:space="0" w:color="auto"/>
            <w:bottom w:val="none" w:sz="0" w:space="0" w:color="auto"/>
            <w:right w:val="none" w:sz="0" w:space="0" w:color="auto"/>
          </w:divBdr>
        </w:div>
        <w:div w:id="739401799">
          <w:marLeft w:val="0"/>
          <w:marRight w:val="0"/>
          <w:marTop w:val="0"/>
          <w:marBottom w:val="0"/>
          <w:divBdr>
            <w:top w:val="none" w:sz="0" w:space="0" w:color="auto"/>
            <w:left w:val="none" w:sz="0" w:space="0" w:color="auto"/>
            <w:bottom w:val="none" w:sz="0" w:space="0" w:color="auto"/>
            <w:right w:val="none" w:sz="0" w:space="0" w:color="auto"/>
          </w:divBdr>
        </w:div>
        <w:div w:id="847989322">
          <w:marLeft w:val="0"/>
          <w:marRight w:val="0"/>
          <w:marTop w:val="0"/>
          <w:marBottom w:val="0"/>
          <w:divBdr>
            <w:top w:val="none" w:sz="0" w:space="0" w:color="auto"/>
            <w:left w:val="none" w:sz="0" w:space="0" w:color="auto"/>
            <w:bottom w:val="none" w:sz="0" w:space="0" w:color="auto"/>
            <w:right w:val="none" w:sz="0" w:space="0" w:color="auto"/>
          </w:divBdr>
        </w:div>
        <w:div w:id="640424909">
          <w:marLeft w:val="0"/>
          <w:marRight w:val="0"/>
          <w:marTop w:val="0"/>
          <w:marBottom w:val="0"/>
          <w:divBdr>
            <w:top w:val="none" w:sz="0" w:space="0" w:color="auto"/>
            <w:left w:val="none" w:sz="0" w:space="0" w:color="auto"/>
            <w:bottom w:val="none" w:sz="0" w:space="0" w:color="auto"/>
            <w:right w:val="none" w:sz="0" w:space="0" w:color="auto"/>
          </w:divBdr>
        </w:div>
        <w:div w:id="409625227">
          <w:marLeft w:val="0"/>
          <w:marRight w:val="0"/>
          <w:marTop w:val="0"/>
          <w:marBottom w:val="0"/>
          <w:divBdr>
            <w:top w:val="none" w:sz="0" w:space="0" w:color="auto"/>
            <w:left w:val="none" w:sz="0" w:space="0" w:color="auto"/>
            <w:bottom w:val="none" w:sz="0" w:space="0" w:color="auto"/>
            <w:right w:val="none" w:sz="0" w:space="0" w:color="auto"/>
          </w:divBdr>
        </w:div>
        <w:div w:id="298389388">
          <w:marLeft w:val="0"/>
          <w:marRight w:val="0"/>
          <w:marTop w:val="0"/>
          <w:marBottom w:val="0"/>
          <w:divBdr>
            <w:top w:val="none" w:sz="0" w:space="0" w:color="auto"/>
            <w:left w:val="none" w:sz="0" w:space="0" w:color="auto"/>
            <w:bottom w:val="none" w:sz="0" w:space="0" w:color="auto"/>
            <w:right w:val="none" w:sz="0" w:space="0" w:color="auto"/>
          </w:divBdr>
        </w:div>
        <w:div w:id="1761293915">
          <w:marLeft w:val="0"/>
          <w:marRight w:val="0"/>
          <w:marTop w:val="0"/>
          <w:marBottom w:val="0"/>
          <w:divBdr>
            <w:top w:val="none" w:sz="0" w:space="0" w:color="auto"/>
            <w:left w:val="none" w:sz="0" w:space="0" w:color="auto"/>
            <w:bottom w:val="none" w:sz="0" w:space="0" w:color="auto"/>
            <w:right w:val="none" w:sz="0" w:space="0" w:color="auto"/>
          </w:divBdr>
        </w:div>
        <w:div w:id="1361010645">
          <w:marLeft w:val="0"/>
          <w:marRight w:val="0"/>
          <w:marTop w:val="0"/>
          <w:marBottom w:val="0"/>
          <w:divBdr>
            <w:top w:val="none" w:sz="0" w:space="0" w:color="auto"/>
            <w:left w:val="none" w:sz="0" w:space="0" w:color="auto"/>
            <w:bottom w:val="none" w:sz="0" w:space="0" w:color="auto"/>
            <w:right w:val="none" w:sz="0" w:space="0" w:color="auto"/>
          </w:divBdr>
        </w:div>
        <w:div w:id="521631093">
          <w:marLeft w:val="0"/>
          <w:marRight w:val="0"/>
          <w:marTop w:val="0"/>
          <w:marBottom w:val="0"/>
          <w:divBdr>
            <w:top w:val="none" w:sz="0" w:space="0" w:color="auto"/>
            <w:left w:val="none" w:sz="0" w:space="0" w:color="auto"/>
            <w:bottom w:val="none" w:sz="0" w:space="0" w:color="auto"/>
            <w:right w:val="none" w:sz="0" w:space="0" w:color="auto"/>
          </w:divBdr>
        </w:div>
        <w:div w:id="646667646">
          <w:marLeft w:val="0"/>
          <w:marRight w:val="0"/>
          <w:marTop w:val="0"/>
          <w:marBottom w:val="0"/>
          <w:divBdr>
            <w:top w:val="none" w:sz="0" w:space="0" w:color="auto"/>
            <w:left w:val="none" w:sz="0" w:space="0" w:color="auto"/>
            <w:bottom w:val="none" w:sz="0" w:space="0" w:color="auto"/>
            <w:right w:val="none" w:sz="0" w:space="0" w:color="auto"/>
          </w:divBdr>
        </w:div>
        <w:div w:id="1264265767">
          <w:marLeft w:val="0"/>
          <w:marRight w:val="0"/>
          <w:marTop w:val="0"/>
          <w:marBottom w:val="0"/>
          <w:divBdr>
            <w:top w:val="none" w:sz="0" w:space="0" w:color="auto"/>
            <w:left w:val="none" w:sz="0" w:space="0" w:color="auto"/>
            <w:bottom w:val="none" w:sz="0" w:space="0" w:color="auto"/>
            <w:right w:val="none" w:sz="0" w:space="0" w:color="auto"/>
          </w:divBdr>
        </w:div>
      </w:divsChild>
    </w:div>
    <w:div w:id="1281759073">
      <w:bodyDiv w:val="1"/>
      <w:marLeft w:val="0"/>
      <w:marRight w:val="0"/>
      <w:marTop w:val="0"/>
      <w:marBottom w:val="0"/>
      <w:divBdr>
        <w:top w:val="none" w:sz="0" w:space="0" w:color="auto"/>
        <w:left w:val="none" w:sz="0" w:space="0" w:color="auto"/>
        <w:bottom w:val="none" w:sz="0" w:space="0" w:color="auto"/>
        <w:right w:val="none" w:sz="0" w:space="0" w:color="auto"/>
      </w:divBdr>
      <w:divsChild>
        <w:div w:id="1760365642">
          <w:marLeft w:val="0"/>
          <w:marRight w:val="0"/>
          <w:marTop w:val="0"/>
          <w:marBottom w:val="0"/>
          <w:divBdr>
            <w:top w:val="none" w:sz="0" w:space="0" w:color="auto"/>
            <w:left w:val="none" w:sz="0" w:space="0" w:color="auto"/>
            <w:bottom w:val="none" w:sz="0" w:space="0" w:color="auto"/>
            <w:right w:val="none" w:sz="0" w:space="0" w:color="auto"/>
          </w:divBdr>
        </w:div>
        <w:div w:id="1809740726">
          <w:marLeft w:val="0"/>
          <w:marRight w:val="0"/>
          <w:marTop w:val="0"/>
          <w:marBottom w:val="0"/>
          <w:divBdr>
            <w:top w:val="none" w:sz="0" w:space="0" w:color="auto"/>
            <w:left w:val="none" w:sz="0" w:space="0" w:color="auto"/>
            <w:bottom w:val="none" w:sz="0" w:space="0" w:color="auto"/>
            <w:right w:val="none" w:sz="0" w:space="0" w:color="auto"/>
          </w:divBdr>
        </w:div>
        <w:div w:id="839924626">
          <w:marLeft w:val="0"/>
          <w:marRight w:val="0"/>
          <w:marTop w:val="0"/>
          <w:marBottom w:val="0"/>
          <w:divBdr>
            <w:top w:val="none" w:sz="0" w:space="0" w:color="auto"/>
            <w:left w:val="none" w:sz="0" w:space="0" w:color="auto"/>
            <w:bottom w:val="none" w:sz="0" w:space="0" w:color="auto"/>
            <w:right w:val="none" w:sz="0" w:space="0" w:color="auto"/>
          </w:divBdr>
        </w:div>
        <w:div w:id="1903053364">
          <w:marLeft w:val="0"/>
          <w:marRight w:val="0"/>
          <w:marTop w:val="0"/>
          <w:marBottom w:val="0"/>
          <w:divBdr>
            <w:top w:val="none" w:sz="0" w:space="0" w:color="auto"/>
            <w:left w:val="none" w:sz="0" w:space="0" w:color="auto"/>
            <w:bottom w:val="none" w:sz="0" w:space="0" w:color="auto"/>
            <w:right w:val="none" w:sz="0" w:space="0" w:color="auto"/>
          </w:divBdr>
        </w:div>
        <w:div w:id="1193571597">
          <w:marLeft w:val="0"/>
          <w:marRight w:val="0"/>
          <w:marTop w:val="0"/>
          <w:marBottom w:val="0"/>
          <w:divBdr>
            <w:top w:val="none" w:sz="0" w:space="0" w:color="auto"/>
            <w:left w:val="none" w:sz="0" w:space="0" w:color="auto"/>
            <w:bottom w:val="none" w:sz="0" w:space="0" w:color="auto"/>
            <w:right w:val="none" w:sz="0" w:space="0" w:color="auto"/>
          </w:divBdr>
        </w:div>
        <w:div w:id="605504465">
          <w:marLeft w:val="0"/>
          <w:marRight w:val="0"/>
          <w:marTop w:val="0"/>
          <w:marBottom w:val="0"/>
          <w:divBdr>
            <w:top w:val="none" w:sz="0" w:space="0" w:color="auto"/>
            <w:left w:val="none" w:sz="0" w:space="0" w:color="auto"/>
            <w:bottom w:val="none" w:sz="0" w:space="0" w:color="auto"/>
            <w:right w:val="none" w:sz="0" w:space="0" w:color="auto"/>
          </w:divBdr>
        </w:div>
        <w:div w:id="1178084800">
          <w:marLeft w:val="0"/>
          <w:marRight w:val="0"/>
          <w:marTop w:val="0"/>
          <w:marBottom w:val="0"/>
          <w:divBdr>
            <w:top w:val="none" w:sz="0" w:space="0" w:color="auto"/>
            <w:left w:val="none" w:sz="0" w:space="0" w:color="auto"/>
            <w:bottom w:val="none" w:sz="0" w:space="0" w:color="auto"/>
            <w:right w:val="none" w:sz="0" w:space="0" w:color="auto"/>
          </w:divBdr>
        </w:div>
        <w:div w:id="1521045897">
          <w:marLeft w:val="0"/>
          <w:marRight w:val="0"/>
          <w:marTop w:val="0"/>
          <w:marBottom w:val="0"/>
          <w:divBdr>
            <w:top w:val="none" w:sz="0" w:space="0" w:color="auto"/>
            <w:left w:val="none" w:sz="0" w:space="0" w:color="auto"/>
            <w:bottom w:val="none" w:sz="0" w:space="0" w:color="auto"/>
            <w:right w:val="none" w:sz="0" w:space="0" w:color="auto"/>
          </w:divBdr>
        </w:div>
        <w:div w:id="569078900">
          <w:marLeft w:val="0"/>
          <w:marRight w:val="0"/>
          <w:marTop w:val="0"/>
          <w:marBottom w:val="0"/>
          <w:divBdr>
            <w:top w:val="none" w:sz="0" w:space="0" w:color="auto"/>
            <w:left w:val="none" w:sz="0" w:space="0" w:color="auto"/>
            <w:bottom w:val="none" w:sz="0" w:space="0" w:color="auto"/>
            <w:right w:val="none" w:sz="0" w:space="0" w:color="auto"/>
          </w:divBdr>
        </w:div>
        <w:div w:id="1062294574">
          <w:marLeft w:val="0"/>
          <w:marRight w:val="0"/>
          <w:marTop w:val="0"/>
          <w:marBottom w:val="0"/>
          <w:divBdr>
            <w:top w:val="none" w:sz="0" w:space="0" w:color="auto"/>
            <w:left w:val="none" w:sz="0" w:space="0" w:color="auto"/>
            <w:bottom w:val="none" w:sz="0" w:space="0" w:color="auto"/>
            <w:right w:val="none" w:sz="0" w:space="0" w:color="auto"/>
          </w:divBdr>
        </w:div>
        <w:div w:id="437221930">
          <w:marLeft w:val="0"/>
          <w:marRight w:val="0"/>
          <w:marTop w:val="0"/>
          <w:marBottom w:val="0"/>
          <w:divBdr>
            <w:top w:val="none" w:sz="0" w:space="0" w:color="auto"/>
            <w:left w:val="none" w:sz="0" w:space="0" w:color="auto"/>
            <w:bottom w:val="none" w:sz="0" w:space="0" w:color="auto"/>
            <w:right w:val="none" w:sz="0" w:space="0" w:color="auto"/>
          </w:divBdr>
        </w:div>
        <w:div w:id="1074742734">
          <w:marLeft w:val="0"/>
          <w:marRight w:val="0"/>
          <w:marTop w:val="0"/>
          <w:marBottom w:val="0"/>
          <w:divBdr>
            <w:top w:val="none" w:sz="0" w:space="0" w:color="auto"/>
            <w:left w:val="none" w:sz="0" w:space="0" w:color="auto"/>
            <w:bottom w:val="none" w:sz="0" w:space="0" w:color="auto"/>
            <w:right w:val="none" w:sz="0" w:space="0" w:color="auto"/>
          </w:divBdr>
        </w:div>
        <w:div w:id="2114396094">
          <w:marLeft w:val="0"/>
          <w:marRight w:val="0"/>
          <w:marTop w:val="0"/>
          <w:marBottom w:val="0"/>
          <w:divBdr>
            <w:top w:val="none" w:sz="0" w:space="0" w:color="auto"/>
            <w:left w:val="none" w:sz="0" w:space="0" w:color="auto"/>
            <w:bottom w:val="none" w:sz="0" w:space="0" w:color="auto"/>
            <w:right w:val="none" w:sz="0" w:space="0" w:color="auto"/>
          </w:divBdr>
        </w:div>
        <w:div w:id="1112171606">
          <w:marLeft w:val="0"/>
          <w:marRight w:val="0"/>
          <w:marTop w:val="0"/>
          <w:marBottom w:val="0"/>
          <w:divBdr>
            <w:top w:val="none" w:sz="0" w:space="0" w:color="auto"/>
            <w:left w:val="none" w:sz="0" w:space="0" w:color="auto"/>
            <w:bottom w:val="none" w:sz="0" w:space="0" w:color="auto"/>
            <w:right w:val="none" w:sz="0" w:space="0" w:color="auto"/>
          </w:divBdr>
        </w:div>
      </w:divsChild>
    </w:div>
    <w:div w:id="2116709012">
      <w:bodyDiv w:val="1"/>
      <w:marLeft w:val="0"/>
      <w:marRight w:val="0"/>
      <w:marTop w:val="0"/>
      <w:marBottom w:val="0"/>
      <w:divBdr>
        <w:top w:val="none" w:sz="0" w:space="0" w:color="auto"/>
        <w:left w:val="none" w:sz="0" w:space="0" w:color="auto"/>
        <w:bottom w:val="none" w:sz="0" w:space="0" w:color="auto"/>
        <w:right w:val="none" w:sz="0" w:space="0" w:color="auto"/>
      </w:divBdr>
      <w:divsChild>
        <w:div w:id="1777476615">
          <w:marLeft w:val="0"/>
          <w:marRight w:val="0"/>
          <w:marTop w:val="0"/>
          <w:marBottom w:val="0"/>
          <w:divBdr>
            <w:top w:val="none" w:sz="0" w:space="0" w:color="auto"/>
            <w:left w:val="none" w:sz="0" w:space="0" w:color="auto"/>
            <w:bottom w:val="none" w:sz="0" w:space="0" w:color="auto"/>
            <w:right w:val="none" w:sz="0" w:space="0" w:color="auto"/>
          </w:divBdr>
        </w:div>
        <w:div w:id="1005979917">
          <w:marLeft w:val="0"/>
          <w:marRight w:val="0"/>
          <w:marTop w:val="0"/>
          <w:marBottom w:val="0"/>
          <w:divBdr>
            <w:top w:val="none" w:sz="0" w:space="0" w:color="auto"/>
            <w:left w:val="none" w:sz="0" w:space="0" w:color="auto"/>
            <w:bottom w:val="none" w:sz="0" w:space="0" w:color="auto"/>
            <w:right w:val="none" w:sz="0" w:space="0" w:color="auto"/>
          </w:divBdr>
        </w:div>
        <w:div w:id="1215658952">
          <w:marLeft w:val="0"/>
          <w:marRight w:val="0"/>
          <w:marTop w:val="0"/>
          <w:marBottom w:val="0"/>
          <w:divBdr>
            <w:top w:val="none" w:sz="0" w:space="0" w:color="auto"/>
            <w:left w:val="none" w:sz="0" w:space="0" w:color="auto"/>
            <w:bottom w:val="none" w:sz="0" w:space="0" w:color="auto"/>
            <w:right w:val="none" w:sz="0" w:space="0" w:color="auto"/>
          </w:divBdr>
        </w:div>
        <w:div w:id="1390499383">
          <w:marLeft w:val="0"/>
          <w:marRight w:val="0"/>
          <w:marTop w:val="0"/>
          <w:marBottom w:val="0"/>
          <w:divBdr>
            <w:top w:val="none" w:sz="0" w:space="0" w:color="auto"/>
            <w:left w:val="none" w:sz="0" w:space="0" w:color="auto"/>
            <w:bottom w:val="none" w:sz="0" w:space="0" w:color="auto"/>
            <w:right w:val="none" w:sz="0" w:space="0" w:color="auto"/>
          </w:divBdr>
        </w:div>
        <w:div w:id="247156510">
          <w:marLeft w:val="0"/>
          <w:marRight w:val="0"/>
          <w:marTop w:val="0"/>
          <w:marBottom w:val="0"/>
          <w:divBdr>
            <w:top w:val="none" w:sz="0" w:space="0" w:color="auto"/>
            <w:left w:val="none" w:sz="0" w:space="0" w:color="auto"/>
            <w:bottom w:val="none" w:sz="0" w:space="0" w:color="auto"/>
            <w:right w:val="none" w:sz="0" w:space="0" w:color="auto"/>
          </w:divBdr>
        </w:div>
        <w:div w:id="1543322068">
          <w:marLeft w:val="0"/>
          <w:marRight w:val="0"/>
          <w:marTop w:val="0"/>
          <w:marBottom w:val="0"/>
          <w:divBdr>
            <w:top w:val="none" w:sz="0" w:space="0" w:color="auto"/>
            <w:left w:val="none" w:sz="0" w:space="0" w:color="auto"/>
            <w:bottom w:val="none" w:sz="0" w:space="0" w:color="auto"/>
            <w:right w:val="none" w:sz="0" w:space="0" w:color="auto"/>
          </w:divBdr>
        </w:div>
        <w:div w:id="161818261">
          <w:marLeft w:val="0"/>
          <w:marRight w:val="0"/>
          <w:marTop w:val="0"/>
          <w:marBottom w:val="0"/>
          <w:divBdr>
            <w:top w:val="none" w:sz="0" w:space="0" w:color="auto"/>
            <w:left w:val="none" w:sz="0" w:space="0" w:color="auto"/>
            <w:bottom w:val="none" w:sz="0" w:space="0" w:color="auto"/>
            <w:right w:val="none" w:sz="0" w:space="0" w:color="auto"/>
          </w:divBdr>
        </w:div>
        <w:div w:id="692918370">
          <w:marLeft w:val="0"/>
          <w:marRight w:val="0"/>
          <w:marTop w:val="0"/>
          <w:marBottom w:val="0"/>
          <w:divBdr>
            <w:top w:val="none" w:sz="0" w:space="0" w:color="auto"/>
            <w:left w:val="none" w:sz="0" w:space="0" w:color="auto"/>
            <w:bottom w:val="none" w:sz="0" w:space="0" w:color="auto"/>
            <w:right w:val="none" w:sz="0" w:space="0" w:color="auto"/>
          </w:divBdr>
        </w:div>
        <w:div w:id="742178">
          <w:marLeft w:val="0"/>
          <w:marRight w:val="0"/>
          <w:marTop w:val="0"/>
          <w:marBottom w:val="0"/>
          <w:divBdr>
            <w:top w:val="none" w:sz="0" w:space="0" w:color="auto"/>
            <w:left w:val="none" w:sz="0" w:space="0" w:color="auto"/>
            <w:bottom w:val="none" w:sz="0" w:space="0" w:color="auto"/>
            <w:right w:val="none" w:sz="0" w:space="0" w:color="auto"/>
          </w:divBdr>
        </w:div>
        <w:div w:id="1445297969">
          <w:marLeft w:val="0"/>
          <w:marRight w:val="0"/>
          <w:marTop w:val="0"/>
          <w:marBottom w:val="0"/>
          <w:divBdr>
            <w:top w:val="none" w:sz="0" w:space="0" w:color="auto"/>
            <w:left w:val="none" w:sz="0" w:space="0" w:color="auto"/>
            <w:bottom w:val="none" w:sz="0" w:space="0" w:color="auto"/>
            <w:right w:val="none" w:sz="0" w:space="0" w:color="auto"/>
          </w:divBdr>
        </w:div>
        <w:div w:id="800878159">
          <w:marLeft w:val="0"/>
          <w:marRight w:val="0"/>
          <w:marTop w:val="0"/>
          <w:marBottom w:val="0"/>
          <w:divBdr>
            <w:top w:val="none" w:sz="0" w:space="0" w:color="auto"/>
            <w:left w:val="none" w:sz="0" w:space="0" w:color="auto"/>
            <w:bottom w:val="none" w:sz="0" w:space="0" w:color="auto"/>
            <w:right w:val="none" w:sz="0" w:space="0" w:color="auto"/>
          </w:divBdr>
        </w:div>
        <w:div w:id="1833793689">
          <w:marLeft w:val="0"/>
          <w:marRight w:val="0"/>
          <w:marTop w:val="0"/>
          <w:marBottom w:val="0"/>
          <w:divBdr>
            <w:top w:val="none" w:sz="0" w:space="0" w:color="auto"/>
            <w:left w:val="none" w:sz="0" w:space="0" w:color="auto"/>
            <w:bottom w:val="none" w:sz="0" w:space="0" w:color="auto"/>
            <w:right w:val="none" w:sz="0" w:space="0" w:color="auto"/>
          </w:divBdr>
        </w:div>
        <w:div w:id="524175916">
          <w:marLeft w:val="0"/>
          <w:marRight w:val="0"/>
          <w:marTop w:val="0"/>
          <w:marBottom w:val="0"/>
          <w:divBdr>
            <w:top w:val="none" w:sz="0" w:space="0" w:color="auto"/>
            <w:left w:val="none" w:sz="0" w:space="0" w:color="auto"/>
            <w:bottom w:val="none" w:sz="0" w:space="0" w:color="auto"/>
            <w:right w:val="none" w:sz="0" w:space="0" w:color="auto"/>
          </w:divBdr>
        </w:div>
        <w:div w:id="71061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1</cp:revision>
  <dcterms:created xsi:type="dcterms:W3CDTF">2014-01-20T15:29:00Z</dcterms:created>
  <dcterms:modified xsi:type="dcterms:W3CDTF">2014-01-20T15:32:00Z</dcterms:modified>
</cp:coreProperties>
</file>