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EC" w:rsidRPr="00875A8B" w:rsidRDefault="00A75577" w:rsidP="00A97AEC">
      <w:pPr>
        <w:pStyle w:val="Title"/>
        <w:rPr>
          <w:rFonts w:asciiTheme="minorHAnsi" w:hAnsiTheme="minorHAnsi"/>
        </w:rPr>
      </w:pPr>
      <w:r w:rsidRPr="00875A8B">
        <w:rPr>
          <w:rFonts w:asciiTheme="minorHAnsi" w:hAnsiTheme="minorHAnsi"/>
          <w:noProof/>
        </w:rPr>
        <w:drawing>
          <wp:anchor distT="0" distB="0" distL="114300" distR="114300" simplePos="0" relativeHeight="251658240" behindDoc="0" locked="0" layoutInCell="1" allowOverlap="1">
            <wp:simplePos x="0" y="0"/>
            <wp:positionH relativeFrom="margin">
              <wp:align>left</wp:align>
            </wp:positionH>
            <wp:positionV relativeFrom="margin">
              <wp:posOffset>102870</wp:posOffset>
            </wp:positionV>
            <wp:extent cx="2325370" cy="2152650"/>
            <wp:effectExtent l="19050" t="0" r="0" b="0"/>
            <wp:wrapSquare wrapText="bothSides"/>
            <wp:docPr id="1" name="Picture 1" descr="F:\sand rule\camagazine17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nd rule\camagazine17312.jpg"/>
                    <pic:cNvPicPr>
                      <a:picLocks noChangeAspect="1" noChangeArrowheads="1"/>
                    </pic:cNvPicPr>
                  </pic:nvPicPr>
                  <pic:blipFill>
                    <a:blip r:embed="rId6" cstate="print"/>
                    <a:srcRect/>
                    <a:stretch>
                      <a:fillRect/>
                    </a:stretch>
                  </pic:blipFill>
                  <pic:spPr bwMode="auto">
                    <a:xfrm>
                      <a:off x="0" y="0"/>
                      <a:ext cx="2325370" cy="2152650"/>
                    </a:xfrm>
                    <a:prstGeom prst="rect">
                      <a:avLst/>
                    </a:prstGeom>
                    <a:noFill/>
                    <a:ln w="9525">
                      <a:noFill/>
                      <a:miter lim="800000"/>
                      <a:headEnd/>
                      <a:tailEnd/>
                    </a:ln>
                  </pic:spPr>
                </pic:pic>
              </a:graphicData>
            </a:graphic>
          </wp:anchor>
        </w:drawing>
      </w:r>
      <w:r w:rsidR="00A97AEC" w:rsidRPr="00875A8B">
        <w:rPr>
          <w:rFonts w:asciiTheme="minorHAnsi" w:hAnsiTheme="minorHAnsi"/>
        </w:rPr>
        <w:t xml:space="preserve">Safe </w:t>
      </w:r>
      <w:proofErr w:type="spellStart"/>
      <w:r w:rsidR="00A97AEC" w:rsidRPr="00875A8B">
        <w:rPr>
          <w:rFonts w:asciiTheme="minorHAnsi" w:hAnsiTheme="minorHAnsi"/>
        </w:rPr>
        <w:t>Harbour</w:t>
      </w:r>
      <w:proofErr w:type="spellEnd"/>
      <w:r w:rsidR="00A97AEC" w:rsidRPr="00875A8B">
        <w:rPr>
          <w:rFonts w:asciiTheme="minorHAnsi" w:hAnsiTheme="minorHAnsi"/>
        </w:rPr>
        <w:t xml:space="preserve"> Rules – Transfer Pricing</w:t>
      </w:r>
    </w:p>
    <w:p w:rsidR="0016242E" w:rsidRPr="00875A8B" w:rsidRDefault="00A97AEC" w:rsidP="0016242E">
      <w:pPr>
        <w:pStyle w:val="Heading1"/>
        <w:jc w:val="center"/>
        <w:rPr>
          <w:rFonts w:asciiTheme="minorHAnsi" w:hAnsiTheme="minorHAnsi"/>
        </w:rPr>
      </w:pPr>
      <w:r w:rsidRPr="00875A8B">
        <w:rPr>
          <w:rFonts w:asciiTheme="minorHAnsi" w:hAnsiTheme="minorHAnsi"/>
        </w:rPr>
        <w:t>“</w:t>
      </w:r>
      <w:r w:rsidR="0016242E" w:rsidRPr="00875A8B">
        <w:rPr>
          <w:rFonts w:asciiTheme="minorHAnsi" w:hAnsiTheme="minorHAnsi"/>
        </w:rPr>
        <w:t>The only thing that is constant is change.”</w:t>
      </w:r>
    </w:p>
    <w:p w:rsidR="0016242E" w:rsidRPr="00875A8B" w:rsidRDefault="0016242E" w:rsidP="0016242E">
      <w:pPr>
        <w:jc w:val="both"/>
        <w:rPr>
          <w:sz w:val="24"/>
          <w:szCs w:val="24"/>
        </w:rPr>
      </w:pPr>
      <w:r w:rsidRPr="00875A8B">
        <w:rPr>
          <w:sz w:val="24"/>
          <w:szCs w:val="24"/>
        </w:rPr>
        <w:t>Change is what has bought us to the juncture and change is what it will take to usher in a new future as we contemplate way to address the challenges. Many changes have focused on bringing in greater clarity while others have expanded the scope of its operations. Indian Transfer Pricing ambit has been changed with introduction of Safe Harbour Rules (SHR), Advance Pricing Agreements (APA) &amp; Dispute Resolution Panel (DRP).</w:t>
      </w:r>
    </w:p>
    <w:p w:rsidR="009A7AD2" w:rsidRPr="00875A8B" w:rsidRDefault="009A7AD2" w:rsidP="009A7AD2">
      <w:pPr>
        <w:pStyle w:val="Heading2"/>
        <w:pBdr>
          <w:top w:val="single" w:sz="4" w:space="1" w:color="auto"/>
          <w:left w:val="single" w:sz="4" w:space="4" w:color="auto"/>
          <w:bottom w:val="single" w:sz="4" w:space="1" w:color="auto"/>
          <w:right w:val="single" w:sz="4" w:space="4" w:color="auto"/>
        </w:pBdr>
        <w:jc w:val="center"/>
        <w:rPr>
          <w:rFonts w:asciiTheme="minorHAnsi" w:hAnsiTheme="minorHAnsi"/>
        </w:rPr>
      </w:pPr>
      <w:r w:rsidRPr="00875A8B">
        <w:rPr>
          <w:rFonts w:asciiTheme="minorHAnsi" w:hAnsiTheme="minorHAnsi"/>
        </w:rPr>
        <w:t xml:space="preserve">“In order to reduce the number of transfer pricing audits and prolonged disputes, a new section 92CB has been inserted to provide that the determination of arm’s length price under section 92C or section 92CA shall be subject to </w:t>
      </w:r>
      <w:r w:rsidRPr="00875A8B">
        <w:rPr>
          <w:rFonts w:asciiTheme="minorHAnsi" w:hAnsiTheme="minorHAnsi"/>
          <w:color w:val="FF0000"/>
        </w:rPr>
        <w:t>Safe Harbour rules</w:t>
      </w:r>
      <w:r w:rsidRPr="00875A8B">
        <w:rPr>
          <w:rFonts w:asciiTheme="minorHAnsi" w:hAnsiTheme="minorHAnsi"/>
        </w:rPr>
        <w:t>.”</w:t>
      </w:r>
    </w:p>
    <w:p w:rsidR="009A7AD2" w:rsidRPr="00875A8B" w:rsidRDefault="009A7AD2" w:rsidP="009A7AD2">
      <w:pPr>
        <w:autoSpaceDE w:val="0"/>
        <w:autoSpaceDN w:val="0"/>
        <w:adjustRightInd w:val="0"/>
        <w:spacing w:after="0" w:line="240" w:lineRule="auto"/>
        <w:rPr>
          <w:rFonts w:cs="TimesNewRomanPS-ItalicMT"/>
          <w:iCs/>
          <w:sz w:val="24"/>
          <w:szCs w:val="24"/>
        </w:rPr>
      </w:pPr>
    </w:p>
    <w:p w:rsidR="0016242E" w:rsidRPr="00875A8B" w:rsidRDefault="0016242E" w:rsidP="009A7AD2">
      <w:pPr>
        <w:autoSpaceDE w:val="0"/>
        <w:autoSpaceDN w:val="0"/>
        <w:adjustRightInd w:val="0"/>
        <w:spacing w:after="0" w:line="240" w:lineRule="auto"/>
        <w:ind w:firstLine="720"/>
        <w:jc w:val="both"/>
        <w:rPr>
          <w:rFonts w:cs="TimesNewRomanPS-ItalicMT"/>
          <w:i/>
          <w:iCs/>
          <w:sz w:val="24"/>
          <w:szCs w:val="24"/>
        </w:rPr>
      </w:pPr>
      <w:r w:rsidRPr="00875A8B">
        <w:rPr>
          <w:sz w:val="24"/>
          <w:szCs w:val="24"/>
        </w:rPr>
        <w:t xml:space="preserve">The Finance (No. 2) Act 2009 </w:t>
      </w:r>
      <w:r w:rsidR="009A7AD2" w:rsidRPr="00875A8B">
        <w:rPr>
          <w:sz w:val="24"/>
          <w:szCs w:val="24"/>
        </w:rPr>
        <w:t>introduced</w:t>
      </w:r>
      <w:r w:rsidRPr="00875A8B">
        <w:rPr>
          <w:sz w:val="24"/>
          <w:szCs w:val="24"/>
        </w:rPr>
        <w:t xml:space="preserve"> the provisions in the Income Tax Law that empowered the Central Board of Direct Taxes (CBDT) to issue transfer pricing Safe Harbour Rules. The CBDT on 14</w:t>
      </w:r>
      <w:r w:rsidRPr="00875A8B">
        <w:rPr>
          <w:sz w:val="24"/>
          <w:szCs w:val="24"/>
          <w:vertAlign w:val="superscript"/>
        </w:rPr>
        <w:t>th</w:t>
      </w:r>
      <w:r w:rsidRPr="00875A8B">
        <w:rPr>
          <w:sz w:val="24"/>
          <w:szCs w:val="24"/>
        </w:rPr>
        <w:t xml:space="preserve"> August 2013 released draft safe harbor rules for public comments. After consideration comments of various stakeholders on 18</w:t>
      </w:r>
      <w:r w:rsidRPr="00875A8B">
        <w:rPr>
          <w:sz w:val="24"/>
          <w:szCs w:val="24"/>
          <w:vertAlign w:val="superscript"/>
        </w:rPr>
        <w:t>th</w:t>
      </w:r>
      <w:r w:rsidRPr="00875A8B">
        <w:rPr>
          <w:sz w:val="24"/>
          <w:szCs w:val="24"/>
        </w:rPr>
        <w:t xml:space="preserve"> September 2013, the CBDT issued the final Safe Harbour Rules.</w:t>
      </w:r>
    </w:p>
    <w:p w:rsidR="00234621" w:rsidRDefault="009A7AD2" w:rsidP="00875A8B">
      <w:pPr>
        <w:jc w:val="both"/>
        <w:rPr>
          <w:sz w:val="24"/>
          <w:szCs w:val="24"/>
        </w:rPr>
      </w:pPr>
      <w:r w:rsidRPr="00875A8B">
        <w:rPr>
          <w:rFonts w:cs="TimesNewRomanPSMT"/>
          <w:sz w:val="24"/>
          <w:szCs w:val="24"/>
        </w:rPr>
        <w:t xml:space="preserve">Section 92CB of the Act defines the term Safe Harbour as </w:t>
      </w:r>
      <w:r w:rsidRPr="00875A8B">
        <w:rPr>
          <w:rStyle w:val="Heading2Char"/>
          <w:rFonts w:asciiTheme="minorHAnsi" w:hAnsiTheme="minorHAnsi"/>
          <w:sz w:val="24"/>
          <w:szCs w:val="24"/>
        </w:rPr>
        <w:t xml:space="preserve">“circumstances under which the income-tax authorities shall accept the transfer pricing declared by the assessee.” </w:t>
      </w:r>
      <w:r w:rsidRPr="00875A8B">
        <w:rPr>
          <w:sz w:val="24"/>
          <w:szCs w:val="24"/>
        </w:rPr>
        <w:t xml:space="preserve"> The Rule provides minimum operating profit margin in relation to operating expenses a taxpayer is expected to earn for certain categories of international transactions , that will acceptable to the income tax authorities</w:t>
      </w:r>
      <w:r w:rsidR="00234621">
        <w:rPr>
          <w:sz w:val="24"/>
          <w:szCs w:val="24"/>
        </w:rPr>
        <w:t xml:space="preserve"> as arm’s length price (ALP)</w:t>
      </w:r>
      <w:r w:rsidRPr="00875A8B">
        <w:rPr>
          <w:sz w:val="24"/>
          <w:szCs w:val="24"/>
        </w:rPr>
        <w:t xml:space="preserve"> . The rule also provides acceptable norms for certain categories of financial transactions such as intra-group loans made or guarantees provided to non-resident affiliates of an Indian tax payers.</w:t>
      </w:r>
      <w:r w:rsidR="00263E3D" w:rsidRPr="00875A8B">
        <w:rPr>
          <w:sz w:val="24"/>
          <w:szCs w:val="24"/>
        </w:rPr>
        <w:t xml:space="preserve"> The safe harbor rules, optional for a taxpayer, contains the conditions and circumstances under which norms / margins would be accepted by the tax authorities and the related compliance obligations.</w:t>
      </w:r>
      <w:r w:rsidR="00875A8B" w:rsidRPr="00875A8B">
        <w:rPr>
          <w:sz w:val="24"/>
          <w:szCs w:val="24"/>
        </w:rPr>
        <w:t xml:space="preserve"> </w:t>
      </w:r>
    </w:p>
    <w:p w:rsidR="009A7AD2" w:rsidRPr="00234621" w:rsidRDefault="00875A8B" w:rsidP="009A7AD2">
      <w:pPr>
        <w:autoSpaceDE w:val="0"/>
        <w:autoSpaceDN w:val="0"/>
        <w:adjustRightInd w:val="0"/>
        <w:spacing w:after="0" w:line="240" w:lineRule="auto"/>
        <w:jc w:val="both"/>
        <w:rPr>
          <w:rFonts w:ascii="TimesNewRomanPSMT" w:hAnsi="TimesNewRomanPSMT" w:cs="TimesNewRomanPSMT"/>
          <w:sz w:val="21"/>
          <w:szCs w:val="21"/>
        </w:rPr>
      </w:pPr>
      <w:r w:rsidRPr="00875A8B">
        <w:rPr>
          <w:sz w:val="24"/>
          <w:szCs w:val="24"/>
        </w:rPr>
        <w:t xml:space="preserve">The safe harbour rule are not arm’s length prices, but in the nature of presumptive taxation, which generally enthuse taxpayers to opt for the same, as a compromise for not having to be involved  in protracted litigation. Safe harbor typically include a premium payable by taxpayers for avoiding disputes and protracted litigations. </w:t>
      </w:r>
      <w:r w:rsidR="00234621" w:rsidRPr="00234621">
        <w:rPr>
          <w:rFonts w:cs="TimesNewRomanPSMT"/>
          <w:sz w:val="24"/>
          <w:szCs w:val="24"/>
        </w:rPr>
        <w:t>Safe harbours may broadly take two</w:t>
      </w:r>
      <w:r w:rsidR="00234621">
        <w:rPr>
          <w:rFonts w:cs="TimesNewRomanPSMT"/>
          <w:sz w:val="24"/>
          <w:szCs w:val="24"/>
        </w:rPr>
        <w:t xml:space="preserve"> </w:t>
      </w:r>
      <w:r w:rsidR="00234621" w:rsidRPr="00234621">
        <w:rPr>
          <w:rFonts w:cs="TimesNewRomanPSMT"/>
          <w:sz w:val="24"/>
          <w:szCs w:val="24"/>
        </w:rPr>
        <w:t>forms</w:t>
      </w:r>
      <w:r w:rsidR="00234621">
        <w:rPr>
          <w:rFonts w:cs="TimesNewRomanPSMT"/>
          <w:sz w:val="24"/>
          <w:szCs w:val="24"/>
        </w:rPr>
        <w:t xml:space="preserve"> </w:t>
      </w:r>
      <w:r w:rsidR="00234621" w:rsidRPr="00234621">
        <w:rPr>
          <w:rFonts w:cs="TimesNewRomanPSMT"/>
          <w:sz w:val="24"/>
          <w:szCs w:val="24"/>
        </w:rPr>
        <w:t>(a)</w:t>
      </w:r>
      <w:r w:rsidR="00234621">
        <w:rPr>
          <w:rFonts w:cs="TimesNewRomanPSMT"/>
          <w:sz w:val="24"/>
          <w:szCs w:val="24"/>
        </w:rPr>
        <w:t xml:space="preserve"> </w:t>
      </w:r>
      <w:r w:rsidR="00234621" w:rsidRPr="00234621">
        <w:rPr>
          <w:rFonts w:cs="TimesNewRomanPSMT"/>
          <w:sz w:val="24"/>
          <w:szCs w:val="24"/>
        </w:rPr>
        <w:t>outright exclusion by setting</w:t>
      </w:r>
      <w:r w:rsidR="00234621">
        <w:rPr>
          <w:rFonts w:cs="TimesNewRomanPSMT"/>
          <w:sz w:val="24"/>
          <w:szCs w:val="24"/>
        </w:rPr>
        <w:t xml:space="preserve"> thresholds</w:t>
      </w:r>
      <w:r w:rsidR="00234621" w:rsidRPr="00234621">
        <w:rPr>
          <w:rFonts w:cs="TimesNewRomanPSMT"/>
          <w:sz w:val="24"/>
          <w:szCs w:val="24"/>
        </w:rPr>
        <w:t>; or (b) simplification of provisions by</w:t>
      </w:r>
      <w:r w:rsidR="00234621">
        <w:rPr>
          <w:rFonts w:cs="TimesNewRomanPSMT"/>
          <w:sz w:val="24"/>
          <w:szCs w:val="24"/>
        </w:rPr>
        <w:t xml:space="preserve"> </w:t>
      </w:r>
      <w:r w:rsidR="00234621" w:rsidRPr="00234621">
        <w:rPr>
          <w:rFonts w:cs="TimesNewRomanPSMT"/>
          <w:sz w:val="24"/>
          <w:szCs w:val="24"/>
        </w:rPr>
        <w:t>designating range, within which prices/profits should</w:t>
      </w:r>
      <w:r w:rsidR="00234621">
        <w:rPr>
          <w:rFonts w:cs="TimesNewRomanPSMT"/>
          <w:sz w:val="24"/>
          <w:szCs w:val="24"/>
        </w:rPr>
        <w:t xml:space="preserve"> fall</w:t>
      </w:r>
      <w:r w:rsidR="00234621" w:rsidRPr="00234621">
        <w:rPr>
          <w:rFonts w:cs="TimesNewRomanPSMT"/>
          <w:sz w:val="24"/>
          <w:szCs w:val="24"/>
        </w:rPr>
        <w:t>.</w:t>
      </w:r>
    </w:p>
    <w:p w:rsidR="00F0497A" w:rsidRDefault="00F0497A" w:rsidP="00F0497A">
      <w:pPr>
        <w:pStyle w:val="Heading1"/>
      </w:pPr>
      <w:r>
        <w:lastRenderedPageBreak/>
        <w:t>Applicable Safe Harbour Transfer Price</w:t>
      </w:r>
    </w:p>
    <w:p w:rsidR="002A2CE7" w:rsidRPr="00875A8B" w:rsidRDefault="00263E3D" w:rsidP="00875A8B">
      <w:pPr>
        <w:spacing w:before="100" w:beforeAutospacing="1" w:after="100" w:afterAutospacing="1" w:line="240" w:lineRule="auto"/>
        <w:ind w:firstLine="720"/>
        <w:jc w:val="both"/>
        <w:rPr>
          <w:rFonts w:eastAsia="Times New Roman" w:cs="Times New Roman"/>
          <w:sz w:val="24"/>
          <w:szCs w:val="24"/>
        </w:rPr>
      </w:pPr>
      <w:r w:rsidRPr="00875A8B">
        <w:rPr>
          <w:sz w:val="24"/>
          <w:szCs w:val="24"/>
        </w:rPr>
        <w:t xml:space="preserve">New rules 10TA to 10TG contains the procedure for adopting safe harbour, the transfer price to be adopted, the compliance procedures upon adoption of safe harbors </w:t>
      </w:r>
      <w:r w:rsidRPr="00875A8B">
        <w:rPr>
          <w:rFonts w:eastAsia="Times New Roman" w:cs="Times New Roman"/>
          <w:sz w:val="24"/>
          <w:szCs w:val="24"/>
        </w:rPr>
        <w:t xml:space="preserve">and circumstances in which a safe harbor adopted may be held to be invalid. Eligible International Transactions and applicable safe harbour transfer price subject to the ceilings/circumstances stated as </w:t>
      </w:r>
      <w:r w:rsidR="00A75577" w:rsidRPr="00875A8B">
        <w:rPr>
          <w:rFonts w:eastAsia="Times New Roman" w:cs="Times New Roman"/>
          <w:sz w:val="24"/>
          <w:szCs w:val="24"/>
        </w:rPr>
        <w:t>under:</w:t>
      </w:r>
      <w:r w:rsidRPr="00875A8B">
        <w:rPr>
          <w:rFonts w:eastAsia="Times New Roman" w:cs="Times New Roman"/>
          <w:sz w:val="24"/>
          <w:szCs w:val="24"/>
        </w:rPr>
        <w:t xml:space="preserve"> -</w:t>
      </w:r>
    </w:p>
    <w:tbl>
      <w:tblPr>
        <w:tblStyle w:val="LightGrid-Accent5"/>
        <w:tblW w:w="0" w:type="auto"/>
        <w:tblLook w:val="04A0"/>
      </w:tblPr>
      <w:tblGrid>
        <w:gridCol w:w="4406"/>
        <w:gridCol w:w="3232"/>
        <w:gridCol w:w="1938"/>
      </w:tblGrid>
      <w:tr w:rsidR="00D7668A" w:rsidRPr="00875A8B" w:rsidTr="00875A8B">
        <w:trPr>
          <w:cnfStyle w:val="100000000000"/>
          <w:trHeight w:val="718"/>
        </w:trPr>
        <w:tc>
          <w:tcPr>
            <w:cnfStyle w:val="001000000000"/>
            <w:tcW w:w="0" w:type="auto"/>
            <w:hideMark/>
          </w:tcPr>
          <w:p w:rsidR="00263E3D" w:rsidRPr="00875A8B" w:rsidRDefault="00875A8B" w:rsidP="002A2CE7">
            <w:pPr>
              <w:pStyle w:val="Heading1"/>
              <w:jc w:val="center"/>
              <w:outlineLvl w:val="0"/>
              <w:rPr>
                <w:rFonts w:asciiTheme="minorHAnsi" w:hAnsiTheme="minorHAnsi"/>
              </w:rPr>
            </w:pPr>
            <w:r w:rsidRPr="00875A8B">
              <w:rPr>
                <w:rFonts w:asciiTheme="minorHAnsi" w:hAnsiTheme="minorHAnsi"/>
              </w:rPr>
              <w:t>Eligible international transaction</w:t>
            </w:r>
          </w:p>
        </w:tc>
        <w:tc>
          <w:tcPr>
            <w:tcW w:w="0" w:type="auto"/>
            <w:hideMark/>
          </w:tcPr>
          <w:p w:rsidR="00263E3D" w:rsidRPr="00875A8B" w:rsidRDefault="00263E3D" w:rsidP="002A2CE7">
            <w:pPr>
              <w:pStyle w:val="Heading1"/>
              <w:jc w:val="center"/>
              <w:outlineLvl w:val="0"/>
              <w:cnfStyle w:val="100000000000"/>
              <w:rPr>
                <w:rFonts w:asciiTheme="minorHAnsi" w:hAnsiTheme="minorHAnsi"/>
              </w:rPr>
            </w:pPr>
            <w:r w:rsidRPr="00875A8B">
              <w:rPr>
                <w:rFonts w:asciiTheme="minorHAnsi" w:hAnsiTheme="minorHAnsi"/>
              </w:rPr>
              <w:t>Threshold limit prescribed</w:t>
            </w:r>
          </w:p>
        </w:tc>
        <w:tc>
          <w:tcPr>
            <w:tcW w:w="0" w:type="auto"/>
            <w:hideMark/>
          </w:tcPr>
          <w:p w:rsidR="00263E3D" w:rsidRPr="00875A8B" w:rsidRDefault="00263E3D" w:rsidP="002A2CE7">
            <w:pPr>
              <w:pStyle w:val="Heading1"/>
              <w:jc w:val="center"/>
              <w:outlineLvl w:val="0"/>
              <w:cnfStyle w:val="100000000000"/>
              <w:rPr>
                <w:rFonts w:asciiTheme="minorHAnsi" w:hAnsiTheme="minorHAnsi"/>
              </w:rPr>
            </w:pPr>
            <w:r w:rsidRPr="00875A8B">
              <w:rPr>
                <w:rFonts w:asciiTheme="minorHAnsi" w:hAnsiTheme="minorHAnsi"/>
              </w:rPr>
              <w:t>Safe harbor margin</w:t>
            </w:r>
          </w:p>
        </w:tc>
      </w:tr>
      <w:tr w:rsidR="00875A8B" w:rsidRPr="00875A8B" w:rsidTr="00263E3D">
        <w:trPr>
          <w:cnfStyle w:val="000000100000"/>
        </w:trPr>
        <w:tc>
          <w:tcPr>
            <w:cnfStyle w:val="001000000000"/>
            <w:tcW w:w="0" w:type="auto"/>
            <w:vMerge w:val="restart"/>
            <w:hideMark/>
          </w:tcPr>
          <w:p w:rsidR="00B10D17" w:rsidRPr="00F0497A" w:rsidRDefault="00263E3D" w:rsidP="00F0497A">
            <w:pPr>
              <w:pStyle w:val="NormalWeb"/>
              <w:spacing w:before="0" w:beforeAutospacing="0" w:after="0" w:afterAutospacing="0"/>
              <w:rPr>
                <w:rFonts w:asciiTheme="minorHAnsi" w:hAnsiTheme="minorHAnsi"/>
                <w:b w:val="0"/>
                <w:sz w:val="22"/>
                <w:szCs w:val="22"/>
              </w:rPr>
            </w:pPr>
            <w:r w:rsidRPr="00F0497A">
              <w:rPr>
                <w:rFonts w:asciiTheme="minorHAnsi" w:hAnsiTheme="minorHAnsi"/>
                <w:b w:val="0"/>
                <w:sz w:val="22"/>
                <w:szCs w:val="22"/>
              </w:rPr>
              <w:t xml:space="preserve">Provision of software development services </w:t>
            </w:r>
            <w:r w:rsidR="00B10D17" w:rsidRPr="00F0497A">
              <w:rPr>
                <w:rFonts w:asciiTheme="minorHAnsi" w:hAnsiTheme="minorHAnsi"/>
                <w:b w:val="0"/>
                <w:sz w:val="22"/>
                <w:szCs w:val="22"/>
              </w:rPr>
              <w:t>&amp;information technology enabled services</w:t>
            </w:r>
            <w:r w:rsidR="009A30F5" w:rsidRPr="00F0497A">
              <w:rPr>
                <w:rFonts w:asciiTheme="minorHAnsi" w:hAnsiTheme="minorHAnsi"/>
                <w:b w:val="0"/>
                <w:sz w:val="22"/>
                <w:szCs w:val="22"/>
              </w:rPr>
              <w:t xml:space="preserve"> </w:t>
            </w:r>
            <w:r w:rsidR="00B10D17" w:rsidRPr="00F0497A">
              <w:rPr>
                <w:rFonts w:asciiTheme="minorHAnsi" w:hAnsiTheme="minorHAnsi"/>
                <w:b w:val="0"/>
                <w:sz w:val="22"/>
                <w:szCs w:val="22"/>
              </w:rPr>
              <w:t>with insignificant risks</w:t>
            </w:r>
          </w:p>
        </w:tc>
        <w:tc>
          <w:tcPr>
            <w:tcW w:w="0" w:type="auto"/>
            <w:hideMark/>
          </w:tcPr>
          <w:p w:rsidR="00263E3D" w:rsidRPr="00F0497A" w:rsidRDefault="00B10D17" w:rsidP="00F0497A">
            <w:pPr>
              <w:pStyle w:val="NormalWeb"/>
              <w:cnfStyle w:val="000000100000"/>
              <w:rPr>
                <w:rFonts w:asciiTheme="minorHAnsi" w:hAnsiTheme="minorHAnsi"/>
                <w:sz w:val="22"/>
                <w:szCs w:val="22"/>
              </w:rPr>
            </w:pPr>
            <w:r w:rsidRPr="00F0497A">
              <w:rPr>
                <w:rFonts w:asciiTheme="minorHAnsi" w:hAnsiTheme="minorHAnsi"/>
                <w:sz w:val="22"/>
                <w:szCs w:val="22"/>
              </w:rPr>
              <w:t>Up to Rs</w:t>
            </w:r>
            <w:r w:rsidR="00263E3D" w:rsidRPr="00F0497A">
              <w:rPr>
                <w:rFonts w:asciiTheme="minorHAnsi" w:hAnsiTheme="minorHAnsi"/>
                <w:sz w:val="22"/>
                <w:szCs w:val="22"/>
              </w:rPr>
              <w:t xml:space="preserve"> 5</w:t>
            </w:r>
            <w:r w:rsidRPr="00F0497A">
              <w:rPr>
                <w:rFonts w:asciiTheme="minorHAnsi" w:hAnsiTheme="minorHAnsi"/>
                <w:sz w:val="22"/>
                <w:szCs w:val="22"/>
              </w:rPr>
              <w:t>00 Crore</w:t>
            </w:r>
          </w:p>
        </w:tc>
        <w:tc>
          <w:tcPr>
            <w:tcW w:w="0" w:type="auto"/>
            <w:hideMark/>
          </w:tcPr>
          <w:p w:rsidR="00263E3D" w:rsidRPr="00F0497A" w:rsidRDefault="00263E3D" w:rsidP="00F0497A">
            <w:pPr>
              <w:pStyle w:val="NormalWeb"/>
              <w:cnfStyle w:val="000000100000"/>
              <w:rPr>
                <w:rFonts w:asciiTheme="minorHAnsi" w:hAnsiTheme="minorHAnsi"/>
                <w:sz w:val="20"/>
                <w:szCs w:val="20"/>
              </w:rPr>
            </w:pPr>
            <w:r w:rsidRPr="00F0497A">
              <w:rPr>
                <w:rFonts w:asciiTheme="minorHAnsi" w:hAnsiTheme="minorHAnsi"/>
                <w:sz w:val="20"/>
                <w:szCs w:val="20"/>
              </w:rPr>
              <w:t>20 % or more on total operating costs</w:t>
            </w:r>
          </w:p>
        </w:tc>
      </w:tr>
      <w:tr w:rsidR="00D7668A" w:rsidRPr="00875A8B" w:rsidTr="00263E3D">
        <w:trPr>
          <w:cnfStyle w:val="000000010000"/>
        </w:trPr>
        <w:tc>
          <w:tcPr>
            <w:cnfStyle w:val="001000000000"/>
            <w:tcW w:w="0" w:type="auto"/>
            <w:vMerge/>
            <w:hideMark/>
          </w:tcPr>
          <w:p w:rsidR="00263E3D" w:rsidRPr="00F0497A" w:rsidRDefault="00263E3D" w:rsidP="00F0497A">
            <w:pPr>
              <w:rPr>
                <w:rFonts w:asciiTheme="minorHAnsi" w:hAnsiTheme="minorHAnsi"/>
                <w:b w:val="0"/>
              </w:rPr>
            </w:pPr>
          </w:p>
        </w:tc>
        <w:tc>
          <w:tcPr>
            <w:tcW w:w="0" w:type="auto"/>
            <w:hideMark/>
          </w:tcPr>
          <w:p w:rsidR="00263E3D" w:rsidRPr="00F0497A" w:rsidRDefault="00D7668A" w:rsidP="00F0497A">
            <w:pPr>
              <w:pStyle w:val="NormalWeb"/>
              <w:cnfStyle w:val="000000010000"/>
              <w:rPr>
                <w:rFonts w:asciiTheme="minorHAnsi" w:hAnsiTheme="minorHAnsi"/>
                <w:sz w:val="22"/>
                <w:szCs w:val="22"/>
              </w:rPr>
            </w:pPr>
            <w:r w:rsidRPr="00F0497A">
              <w:rPr>
                <w:rFonts w:asciiTheme="minorHAnsi" w:hAnsiTheme="minorHAnsi"/>
                <w:sz w:val="22"/>
                <w:szCs w:val="22"/>
              </w:rPr>
              <w:t xml:space="preserve">Above </w:t>
            </w:r>
            <w:r w:rsidR="00263E3D" w:rsidRPr="00F0497A">
              <w:rPr>
                <w:rFonts w:asciiTheme="minorHAnsi" w:hAnsiTheme="minorHAnsi"/>
                <w:sz w:val="22"/>
                <w:szCs w:val="22"/>
              </w:rPr>
              <w:t>R</w:t>
            </w:r>
            <w:r w:rsidRPr="00F0497A">
              <w:rPr>
                <w:rFonts w:asciiTheme="minorHAnsi" w:hAnsiTheme="minorHAnsi"/>
                <w:sz w:val="22"/>
                <w:szCs w:val="22"/>
              </w:rPr>
              <w:t>s</w:t>
            </w:r>
            <w:r w:rsidR="00263E3D" w:rsidRPr="00F0497A">
              <w:rPr>
                <w:rFonts w:asciiTheme="minorHAnsi" w:hAnsiTheme="minorHAnsi"/>
                <w:sz w:val="22"/>
                <w:szCs w:val="22"/>
              </w:rPr>
              <w:t xml:space="preserve"> </w:t>
            </w:r>
            <w:r w:rsidR="00B10D17" w:rsidRPr="00F0497A">
              <w:rPr>
                <w:rFonts w:asciiTheme="minorHAnsi" w:hAnsiTheme="minorHAnsi"/>
                <w:sz w:val="22"/>
                <w:szCs w:val="22"/>
              </w:rPr>
              <w:t>500 Crore</w:t>
            </w:r>
          </w:p>
        </w:tc>
        <w:tc>
          <w:tcPr>
            <w:tcW w:w="0" w:type="auto"/>
            <w:hideMark/>
          </w:tcPr>
          <w:p w:rsidR="00263E3D" w:rsidRPr="00F0497A" w:rsidRDefault="00263E3D" w:rsidP="00F0497A">
            <w:pPr>
              <w:pStyle w:val="NormalWeb"/>
              <w:cnfStyle w:val="000000010000"/>
              <w:rPr>
                <w:rFonts w:asciiTheme="minorHAnsi" w:hAnsiTheme="minorHAnsi"/>
                <w:sz w:val="20"/>
                <w:szCs w:val="20"/>
              </w:rPr>
            </w:pPr>
            <w:r w:rsidRPr="00F0497A">
              <w:rPr>
                <w:rFonts w:asciiTheme="minorHAnsi" w:hAnsiTheme="minorHAnsi"/>
                <w:sz w:val="20"/>
                <w:szCs w:val="20"/>
              </w:rPr>
              <w:t>22 % or more on total operating costs</w:t>
            </w:r>
          </w:p>
        </w:tc>
      </w:tr>
      <w:tr w:rsidR="00457306" w:rsidRPr="00875A8B" w:rsidTr="00CC0B5A">
        <w:trPr>
          <w:cnfStyle w:val="000000100000"/>
        </w:trPr>
        <w:tc>
          <w:tcPr>
            <w:cnfStyle w:val="001000000000"/>
            <w:tcW w:w="0" w:type="auto"/>
            <w:hideMark/>
          </w:tcPr>
          <w:p w:rsidR="00457306" w:rsidRPr="00F0497A" w:rsidRDefault="00457306" w:rsidP="00F0497A">
            <w:pPr>
              <w:pStyle w:val="NormalWeb"/>
              <w:spacing w:before="0" w:beforeAutospacing="0" w:after="0" w:afterAutospacing="0"/>
              <w:rPr>
                <w:rFonts w:asciiTheme="minorHAnsi" w:hAnsiTheme="minorHAnsi"/>
                <w:b w:val="0"/>
                <w:sz w:val="22"/>
                <w:szCs w:val="22"/>
              </w:rPr>
            </w:pPr>
            <w:r w:rsidRPr="00F0497A">
              <w:rPr>
                <w:rFonts w:asciiTheme="minorHAnsi" w:hAnsiTheme="minorHAnsi"/>
                <w:b w:val="0"/>
                <w:sz w:val="22"/>
                <w:szCs w:val="22"/>
              </w:rPr>
              <w:t>Provision of knowledge processes outsourcing services with insignificant risks</w:t>
            </w:r>
          </w:p>
        </w:tc>
        <w:tc>
          <w:tcPr>
            <w:tcW w:w="0" w:type="auto"/>
            <w:gridSpan w:val="2"/>
            <w:hideMark/>
          </w:tcPr>
          <w:p w:rsidR="00457306" w:rsidRPr="00F0497A" w:rsidRDefault="00457306" w:rsidP="00F0497A">
            <w:pPr>
              <w:pStyle w:val="NormalWeb"/>
              <w:cnfStyle w:val="000000100000"/>
              <w:rPr>
                <w:rFonts w:asciiTheme="minorHAnsi" w:hAnsiTheme="minorHAnsi"/>
                <w:sz w:val="22"/>
                <w:szCs w:val="22"/>
              </w:rPr>
            </w:pPr>
            <w:r w:rsidRPr="00F0497A">
              <w:rPr>
                <w:rFonts w:asciiTheme="minorHAnsi" w:hAnsiTheme="minorHAnsi"/>
                <w:sz w:val="22"/>
                <w:szCs w:val="22"/>
              </w:rPr>
              <w:t>25 % or more on total operating costs</w:t>
            </w:r>
          </w:p>
        </w:tc>
      </w:tr>
      <w:tr w:rsidR="00D7668A" w:rsidRPr="00875A8B" w:rsidTr="00EA7582">
        <w:trPr>
          <w:cnfStyle w:val="000000010000"/>
        </w:trPr>
        <w:tc>
          <w:tcPr>
            <w:cnfStyle w:val="001000000000"/>
            <w:tcW w:w="0" w:type="auto"/>
            <w:vMerge w:val="restart"/>
            <w:hideMark/>
          </w:tcPr>
          <w:p w:rsidR="00D7668A" w:rsidRPr="00F0497A" w:rsidRDefault="00D7668A" w:rsidP="00F0497A">
            <w:pPr>
              <w:pStyle w:val="NormalWeb"/>
              <w:rPr>
                <w:rFonts w:asciiTheme="minorHAnsi" w:hAnsiTheme="minorHAnsi"/>
                <w:b w:val="0"/>
                <w:sz w:val="22"/>
                <w:szCs w:val="22"/>
              </w:rPr>
            </w:pPr>
            <w:r w:rsidRPr="00F0497A">
              <w:rPr>
                <w:rFonts w:asciiTheme="minorHAnsi" w:hAnsiTheme="minorHAnsi"/>
                <w:b w:val="0"/>
                <w:sz w:val="22"/>
                <w:szCs w:val="22"/>
              </w:rPr>
              <w:t>Advancing of intra-group loan to a nonresident wholly owned subsidiary</w:t>
            </w:r>
          </w:p>
        </w:tc>
        <w:tc>
          <w:tcPr>
            <w:tcW w:w="0" w:type="auto"/>
            <w:gridSpan w:val="2"/>
            <w:hideMark/>
          </w:tcPr>
          <w:p w:rsidR="00D7668A" w:rsidRPr="00F0497A" w:rsidRDefault="00D7668A" w:rsidP="00F0497A">
            <w:pPr>
              <w:pStyle w:val="NormalWeb"/>
              <w:cnfStyle w:val="000000010000"/>
              <w:rPr>
                <w:rFonts w:asciiTheme="minorHAnsi" w:hAnsiTheme="minorHAnsi"/>
                <w:sz w:val="22"/>
                <w:szCs w:val="22"/>
              </w:rPr>
            </w:pPr>
            <w:r w:rsidRPr="00F0497A">
              <w:rPr>
                <w:rFonts w:asciiTheme="minorHAnsi" w:hAnsiTheme="minorHAnsi"/>
                <w:sz w:val="22"/>
                <w:szCs w:val="22"/>
              </w:rPr>
              <w:t>Interest rate equal to or greater than the base rate of SBI as on 30</w:t>
            </w:r>
            <w:r w:rsidRPr="00F0497A">
              <w:rPr>
                <w:rFonts w:asciiTheme="minorHAnsi" w:hAnsiTheme="minorHAnsi"/>
                <w:sz w:val="22"/>
                <w:szCs w:val="22"/>
                <w:vertAlign w:val="superscript"/>
              </w:rPr>
              <w:t>th</w:t>
            </w:r>
            <w:r w:rsidRPr="00F0497A">
              <w:rPr>
                <w:rFonts w:asciiTheme="minorHAnsi" w:hAnsiTheme="minorHAnsi"/>
                <w:sz w:val="22"/>
                <w:szCs w:val="22"/>
              </w:rPr>
              <w:t xml:space="preserve"> June of relevant previous year</w:t>
            </w:r>
          </w:p>
        </w:tc>
      </w:tr>
      <w:tr w:rsidR="00D7668A" w:rsidRPr="00875A8B" w:rsidTr="00263E3D">
        <w:trPr>
          <w:cnfStyle w:val="000000100000"/>
        </w:trPr>
        <w:tc>
          <w:tcPr>
            <w:cnfStyle w:val="001000000000"/>
            <w:tcW w:w="0" w:type="auto"/>
            <w:vMerge/>
            <w:hideMark/>
          </w:tcPr>
          <w:p w:rsidR="00D7668A" w:rsidRPr="00F0497A" w:rsidRDefault="00D7668A" w:rsidP="00F0497A">
            <w:pPr>
              <w:pStyle w:val="NormalWeb"/>
              <w:rPr>
                <w:rFonts w:asciiTheme="minorHAnsi" w:hAnsiTheme="minorHAnsi"/>
                <w:b w:val="0"/>
                <w:sz w:val="22"/>
                <w:szCs w:val="22"/>
              </w:rPr>
            </w:pPr>
          </w:p>
        </w:tc>
        <w:tc>
          <w:tcPr>
            <w:tcW w:w="0" w:type="auto"/>
            <w:hideMark/>
          </w:tcPr>
          <w:p w:rsidR="00D7668A" w:rsidRPr="00F0497A" w:rsidRDefault="00D7668A" w:rsidP="00F0497A">
            <w:pPr>
              <w:pStyle w:val="NormalWeb"/>
              <w:cnfStyle w:val="000000100000"/>
              <w:rPr>
                <w:rFonts w:asciiTheme="minorHAnsi" w:hAnsiTheme="minorHAnsi"/>
                <w:sz w:val="22"/>
                <w:szCs w:val="22"/>
              </w:rPr>
            </w:pPr>
            <w:r w:rsidRPr="00F0497A">
              <w:rPr>
                <w:rFonts w:asciiTheme="minorHAnsi" w:hAnsiTheme="minorHAnsi"/>
                <w:sz w:val="22"/>
                <w:szCs w:val="22"/>
              </w:rPr>
              <w:t>Up to Rs 50 Crore</w:t>
            </w:r>
          </w:p>
        </w:tc>
        <w:tc>
          <w:tcPr>
            <w:tcW w:w="0" w:type="auto"/>
            <w:hideMark/>
          </w:tcPr>
          <w:p w:rsidR="00D7668A" w:rsidRPr="00F0497A" w:rsidRDefault="00D7668A" w:rsidP="00F0497A">
            <w:pPr>
              <w:pStyle w:val="NormalWeb"/>
              <w:cnfStyle w:val="000000100000"/>
              <w:rPr>
                <w:rFonts w:asciiTheme="minorHAnsi" w:hAnsiTheme="minorHAnsi"/>
                <w:sz w:val="20"/>
                <w:szCs w:val="20"/>
              </w:rPr>
            </w:pPr>
            <w:r w:rsidRPr="00F0497A">
              <w:rPr>
                <w:rFonts w:asciiTheme="minorHAnsi" w:hAnsiTheme="minorHAnsi"/>
                <w:sz w:val="20"/>
                <w:szCs w:val="20"/>
              </w:rPr>
              <w:t>Plus 150 basis points</w:t>
            </w:r>
          </w:p>
        </w:tc>
      </w:tr>
      <w:tr w:rsidR="00D7668A" w:rsidRPr="00875A8B" w:rsidTr="00263E3D">
        <w:trPr>
          <w:cnfStyle w:val="000000010000"/>
        </w:trPr>
        <w:tc>
          <w:tcPr>
            <w:cnfStyle w:val="001000000000"/>
            <w:tcW w:w="0" w:type="auto"/>
            <w:vMerge/>
            <w:hideMark/>
          </w:tcPr>
          <w:p w:rsidR="00D7668A" w:rsidRPr="00F0497A" w:rsidRDefault="00D7668A" w:rsidP="00F0497A">
            <w:pPr>
              <w:pStyle w:val="NormalWeb"/>
              <w:rPr>
                <w:rFonts w:asciiTheme="minorHAnsi" w:hAnsiTheme="minorHAnsi"/>
                <w:sz w:val="22"/>
                <w:szCs w:val="22"/>
              </w:rPr>
            </w:pPr>
          </w:p>
        </w:tc>
        <w:tc>
          <w:tcPr>
            <w:tcW w:w="0" w:type="auto"/>
            <w:hideMark/>
          </w:tcPr>
          <w:p w:rsidR="00D7668A" w:rsidRPr="00F0497A" w:rsidRDefault="00D7668A" w:rsidP="00F0497A">
            <w:pPr>
              <w:pStyle w:val="NormalWeb"/>
              <w:cnfStyle w:val="000000010000"/>
              <w:rPr>
                <w:rFonts w:asciiTheme="minorHAnsi" w:hAnsiTheme="minorHAnsi"/>
                <w:sz w:val="22"/>
                <w:szCs w:val="22"/>
              </w:rPr>
            </w:pPr>
            <w:r w:rsidRPr="00F0497A">
              <w:rPr>
                <w:rFonts w:asciiTheme="minorHAnsi" w:hAnsiTheme="minorHAnsi"/>
                <w:sz w:val="22"/>
                <w:szCs w:val="22"/>
              </w:rPr>
              <w:t>Above Rs 50 Crore</w:t>
            </w:r>
          </w:p>
        </w:tc>
        <w:tc>
          <w:tcPr>
            <w:tcW w:w="0" w:type="auto"/>
            <w:hideMark/>
          </w:tcPr>
          <w:p w:rsidR="00D7668A" w:rsidRPr="00F0497A" w:rsidRDefault="00D7668A" w:rsidP="00F0497A">
            <w:pPr>
              <w:pStyle w:val="NormalWeb"/>
              <w:cnfStyle w:val="000000010000"/>
              <w:rPr>
                <w:rFonts w:asciiTheme="minorHAnsi" w:hAnsiTheme="minorHAnsi"/>
                <w:sz w:val="20"/>
                <w:szCs w:val="20"/>
              </w:rPr>
            </w:pPr>
            <w:r w:rsidRPr="00F0497A">
              <w:rPr>
                <w:rFonts w:asciiTheme="minorHAnsi" w:hAnsiTheme="minorHAnsi"/>
                <w:sz w:val="20"/>
                <w:szCs w:val="20"/>
              </w:rPr>
              <w:t>Plus 150 basis points</w:t>
            </w:r>
          </w:p>
        </w:tc>
      </w:tr>
      <w:tr w:rsidR="00875A8B" w:rsidRPr="00875A8B" w:rsidTr="00EB659B">
        <w:trPr>
          <w:cnfStyle w:val="000000100000"/>
        </w:trPr>
        <w:tc>
          <w:tcPr>
            <w:cnfStyle w:val="001000000000"/>
            <w:tcW w:w="0" w:type="auto"/>
            <w:vMerge w:val="restart"/>
            <w:hideMark/>
          </w:tcPr>
          <w:p w:rsidR="00875A8B" w:rsidRPr="00F0497A" w:rsidRDefault="00875A8B" w:rsidP="00F0497A">
            <w:pPr>
              <w:pStyle w:val="NormalWeb"/>
              <w:rPr>
                <w:rFonts w:asciiTheme="minorHAnsi" w:hAnsiTheme="minorHAnsi"/>
                <w:sz w:val="22"/>
                <w:szCs w:val="22"/>
              </w:rPr>
            </w:pPr>
            <w:r w:rsidRPr="00F0497A">
              <w:rPr>
                <w:rFonts w:asciiTheme="minorHAnsi" w:hAnsiTheme="minorHAnsi"/>
                <w:b w:val="0"/>
                <w:sz w:val="22"/>
                <w:szCs w:val="22"/>
              </w:rPr>
              <w:t>Providing explicit corporate guarantee to wholly owned subsidiary (WOS)</w:t>
            </w:r>
          </w:p>
        </w:tc>
        <w:tc>
          <w:tcPr>
            <w:tcW w:w="0" w:type="auto"/>
            <w:gridSpan w:val="2"/>
            <w:hideMark/>
          </w:tcPr>
          <w:p w:rsidR="00875A8B" w:rsidRPr="00F0497A" w:rsidRDefault="00875A8B" w:rsidP="00F0497A">
            <w:pPr>
              <w:pStyle w:val="NormalWeb"/>
              <w:cnfStyle w:val="000000100000"/>
              <w:rPr>
                <w:rFonts w:asciiTheme="minorHAnsi" w:hAnsiTheme="minorHAnsi"/>
                <w:sz w:val="22"/>
                <w:szCs w:val="22"/>
              </w:rPr>
            </w:pPr>
            <w:r w:rsidRPr="00F0497A">
              <w:rPr>
                <w:rFonts w:asciiTheme="minorHAnsi" w:hAnsiTheme="minorHAnsi"/>
                <w:sz w:val="22"/>
                <w:szCs w:val="22"/>
              </w:rPr>
              <w:t>The commission or fee declared in relation to the international transaction is</w:t>
            </w:r>
          </w:p>
        </w:tc>
      </w:tr>
      <w:tr w:rsidR="00875A8B" w:rsidRPr="00875A8B" w:rsidTr="00263E3D">
        <w:trPr>
          <w:cnfStyle w:val="000000010000"/>
        </w:trPr>
        <w:tc>
          <w:tcPr>
            <w:cnfStyle w:val="001000000000"/>
            <w:tcW w:w="0" w:type="auto"/>
            <w:vMerge/>
            <w:hideMark/>
          </w:tcPr>
          <w:p w:rsidR="00875A8B" w:rsidRPr="00F0497A" w:rsidRDefault="00875A8B" w:rsidP="00F0497A">
            <w:pPr>
              <w:pStyle w:val="NormalWeb"/>
              <w:rPr>
                <w:rFonts w:asciiTheme="minorHAnsi" w:hAnsiTheme="minorHAnsi"/>
                <w:b w:val="0"/>
                <w:sz w:val="22"/>
                <w:szCs w:val="22"/>
              </w:rPr>
            </w:pPr>
          </w:p>
        </w:tc>
        <w:tc>
          <w:tcPr>
            <w:tcW w:w="0" w:type="auto"/>
            <w:hideMark/>
          </w:tcPr>
          <w:p w:rsidR="00875A8B" w:rsidRPr="00F0497A" w:rsidRDefault="00875A8B" w:rsidP="00F0497A">
            <w:pPr>
              <w:pStyle w:val="NormalWeb"/>
              <w:cnfStyle w:val="000000010000"/>
              <w:rPr>
                <w:rFonts w:asciiTheme="minorHAnsi" w:hAnsiTheme="minorHAnsi"/>
                <w:sz w:val="22"/>
                <w:szCs w:val="22"/>
              </w:rPr>
            </w:pPr>
            <w:r w:rsidRPr="00F0497A">
              <w:rPr>
                <w:rFonts w:asciiTheme="minorHAnsi" w:hAnsiTheme="minorHAnsi"/>
                <w:sz w:val="22"/>
                <w:szCs w:val="22"/>
              </w:rPr>
              <w:t>Up to Rs 100 Crore</w:t>
            </w:r>
          </w:p>
        </w:tc>
        <w:tc>
          <w:tcPr>
            <w:tcW w:w="0" w:type="auto"/>
            <w:hideMark/>
          </w:tcPr>
          <w:p w:rsidR="00875A8B" w:rsidRPr="00F0497A" w:rsidRDefault="00875A8B" w:rsidP="00F0497A">
            <w:pPr>
              <w:pStyle w:val="NormalWeb"/>
              <w:cnfStyle w:val="000000010000"/>
              <w:rPr>
                <w:rFonts w:asciiTheme="minorHAnsi" w:hAnsiTheme="minorHAnsi"/>
                <w:sz w:val="20"/>
                <w:szCs w:val="20"/>
              </w:rPr>
            </w:pPr>
            <w:r w:rsidRPr="00F0497A">
              <w:rPr>
                <w:rFonts w:asciiTheme="minorHAnsi" w:hAnsiTheme="minorHAnsi"/>
                <w:sz w:val="20"/>
                <w:szCs w:val="20"/>
              </w:rPr>
              <w:t>at the rate of 2% or more per annum on the amount guaranteed</w:t>
            </w:r>
          </w:p>
        </w:tc>
      </w:tr>
      <w:tr w:rsidR="00875A8B" w:rsidRPr="00875A8B" w:rsidTr="00263E3D">
        <w:trPr>
          <w:cnfStyle w:val="000000100000"/>
        </w:trPr>
        <w:tc>
          <w:tcPr>
            <w:cnfStyle w:val="001000000000"/>
            <w:tcW w:w="0" w:type="auto"/>
            <w:vMerge/>
            <w:hideMark/>
          </w:tcPr>
          <w:p w:rsidR="00875A8B" w:rsidRPr="00F0497A" w:rsidRDefault="00875A8B" w:rsidP="00F0497A">
            <w:pPr>
              <w:rPr>
                <w:rFonts w:asciiTheme="minorHAnsi" w:hAnsiTheme="minorHAnsi"/>
                <w:b w:val="0"/>
              </w:rPr>
            </w:pPr>
          </w:p>
        </w:tc>
        <w:tc>
          <w:tcPr>
            <w:tcW w:w="0" w:type="auto"/>
            <w:hideMark/>
          </w:tcPr>
          <w:p w:rsidR="00875A8B" w:rsidRPr="00F0497A" w:rsidRDefault="00875A8B" w:rsidP="00F0497A">
            <w:pPr>
              <w:pStyle w:val="NormalWeb"/>
              <w:cnfStyle w:val="000000100000"/>
              <w:rPr>
                <w:rFonts w:asciiTheme="minorHAnsi" w:hAnsiTheme="minorHAnsi"/>
                <w:sz w:val="22"/>
                <w:szCs w:val="22"/>
              </w:rPr>
            </w:pPr>
            <w:r w:rsidRPr="00F0497A">
              <w:rPr>
                <w:rFonts w:asciiTheme="minorHAnsi" w:hAnsiTheme="minorHAnsi"/>
                <w:sz w:val="22"/>
                <w:szCs w:val="22"/>
              </w:rPr>
              <w:t>Above Rs 100 Crore, provided the WOS has been rated to be of adequate to highest safety by a rating agency registered with SEBI</w:t>
            </w:r>
          </w:p>
        </w:tc>
        <w:tc>
          <w:tcPr>
            <w:tcW w:w="0" w:type="auto"/>
            <w:hideMark/>
          </w:tcPr>
          <w:p w:rsidR="00875A8B" w:rsidRPr="00F0497A" w:rsidRDefault="00875A8B" w:rsidP="00F0497A">
            <w:pPr>
              <w:pStyle w:val="NormalWeb"/>
              <w:cnfStyle w:val="000000100000"/>
              <w:rPr>
                <w:rFonts w:asciiTheme="minorHAnsi" w:hAnsiTheme="minorHAnsi"/>
                <w:sz w:val="20"/>
                <w:szCs w:val="20"/>
              </w:rPr>
            </w:pPr>
            <w:r w:rsidRPr="00F0497A">
              <w:rPr>
                <w:rFonts w:asciiTheme="minorHAnsi" w:hAnsiTheme="minorHAnsi"/>
                <w:sz w:val="20"/>
                <w:szCs w:val="20"/>
              </w:rPr>
              <w:t>at the rate of 1.75% or more per annum on the amount guaranteed</w:t>
            </w:r>
          </w:p>
        </w:tc>
      </w:tr>
      <w:tr w:rsidR="00D7668A" w:rsidRPr="00875A8B" w:rsidTr="00263E3D">
        <w:trPr>
          <w:cnfStyle w:val="000000010000"/>
        </w:trPr>
        <w:tc>
          <w:tcPr>
            <w:cnfStyle w:val="001000000000"/>
            <w:tcW w:w="0" w:type="auto"/>
            <w:hideMark/>
          </w:tcPr>
          <w:p w:rsidR="00D7668A" w:rsidRPr="00F0497A" w:rsidRDefault="00D7668A" w:rsidP="00F0497A">
            <w:pPr>
              <w:pStyle w:val="NormalWeb"/>
              <w:rPr>
                <w:rFonts w:asciiTheme="minorHAnsi" w:hAnsiTheme="minorHAnsi"/>
                <w:b w:val="0"/>
                <w:sz w:val="22"/>
                <w:szCs w:val="22"/>
              </w:rPr>
            </w:pPr>
            <w:r w:rsidRPr="00F0497A">
              <w:rPr>
                <w:rFonts w:asciiTheme="minorHAnsi" w:hAnsiTheme="minorHAnsi"/>
                <w:b w:val="0"/>
                <w:sz w:val="22"/>
                <w:szCs w:val="22"/>
              </w:rPr>
              <w:t>Provision of specified contract R&amp;D services wholly or partly relating to software development with insignificant risks</w:t>
            </w:r>
          </w:p>
        </w:tc>
        <w:tc>
          <w:tcPr>
            <w:tcW w:w="0" w:type="auto"/>
            <w:gridSpan w:val="2"/>
            <w:hideMark/>
          </w:tcPr>
          <w:p w:rsidR="00D7668A" w:rsidRPr="00F0497A" w:rsidRDefault="00D7668A" w:rsidP="00F0497A">
            <w:pPr>
              <w:pStyle w:val="NormalWeb"/>
              <w:cnfStyle w:val="000000010000"/>
              <w:rPr>
                <w:rFonts w:asciiTheme="minorHAnsi" w:hAnsiTheme="minorHAnsi"/>
                <w:sz w:val="22"/>
                <w:szCs w:val="22"/>
              </w:rPr>
            </w:pPr>
            <w:r w:rsidRPr="00F0497A">
              <w:rPr>
                <w:rFonts w:asciiTheme="minorHAnsi" w:hAnsiTheme="minorHAnsi"/>
                <w:sz w:val="22"/>
                <w:szCs w:val="22"/>
              </w:rPr>
              <w:t>30% or more on total operating costs</w:t>
            </w:r>
          </w:p>
        </w:tc>
      </w:tr>
      <w:tr w:rsidR="00457306" w:rsidRPr="00875A8B" w:rsidTr="00263E3D">
        <w:trPr>
          <w:cnfStyle w:val="000000100000"/>
        </w:trPr>
        <w:tc>
          <w:tcPr>
            <w:cnfStyle w:val="001000000000"/>
            <w:tcW w:w="0" w:type="auto"/>
            <w:hideMark/>
          </w:tcPr>
          <w:p w:rsidR="00457306" w:rsidRPr="00F0497A" w:rsidRDefault="00457306" w:rsidP="00F0497A">
            <w:pPr>
              <w:pStyle w:val="NormalWeb"/>
              <w:rPr>
                <w:rFonts w:asciiTheme="minorHAnsi" w:hAnsiTheme="minorHAnsi"/>
                <w:b w:val="0"/>
                <w:sz w:val="22"/>
                <w:szCs w:val="22"/>
              </w:rPr>
            </w:pPr>
            <w:r w:rsidRPr="00F0497A">
              <w:rPr>
                <w:rFonts w:asciiTheme="minorHAnsi" w:hAnsiTheme="minorHAnsi"/>
                <w:b w:val="0"/>
                <w:sz w:val="22"/>
                <w:szCs w:val="22"/>
              </w:rPr>
              <w:t>Provision of contract R&amp;D services wholly or partly relating to generic pharmaceutical drugs with insignificant risks</w:t>
            </w:r>
          </w:p>
        </w:tc>
        <w:tc>
          <w:tcPr>
            <w:tcW w:w="0" w:type="auto"/>
            <w:gridSpan w:val="2"/>
            <w:hideMark/>
          </w:tcPr>
          <w:p w:rsidR="00457306" w:rsidRPr="00F0497A" w:rsidRDefault="00457306" w:rsidP="00F0497A">
            <w:pPr>
              <w:pStyle w:val="NormalWeb"/>
              <w:cnfStyle w:val="000000100000"/>
              <w:rPr>
                <w:rFonts w:asciiTheme="minorHAnsi" w:hAnsiTheme="minorHAnsi"/>
                <w:sz w:val="22"/>
                <w:szCs w:val="22"/>
              </w:rPr>
            </w:pPr>
            <w:r w:rsidRPr="00F0497A">
              <w:rPr>
                <w:rFonts w:asciiTheme="minorHAnsi" w:hAnsiTheme="minorHAnsi"/>
                <w:sz w:val="22"/>
                <w:szCs w:val="22"/>
              </w:rPr>
              <w:t>29% or more on total operating costs</w:t>
            </w:r>
          </w:p>
        </w:tc>
      </w:tr>
      <w:tr w:rsidR="00457306" w:rsidRPr="00875A8B" w:rsidTr="00263E3D">
        <w:trPr>
          <w:cnfStyle w:val="000000010000"/>
        </w:trPr>
        <w:tc>
          <w:tcPr>
            <w:cnfStyle w:val="001000000000"/>
            <w:tcW w:w="0" w:type="auto"/>
            <w:hideMark/>
          </w:tcPr>
          <w:p w:rsidR="00457306" w:rsidRPr="00F0497A" w:rsidRDefault="00457306" w:rsidP="00F0497A">
            <w:pPr>
              <w:pStyle w:val="NormalWeb"/>
              <w:rPr>
                <w:rFonts w:asciiTheme="minorHAnsi" w:hAnsiTheme="minorHAnsi"/>
                <w:b w:val="0"/>
                <w:sz w:val="22"/>
                <w:szCs w:val="22"/>
              </w:rPr>
            </w:pPr>
            <w:r w:rsidRPr="00F0497A">
              <w:rPr>
                <w:rFonts w:asciiTheme="minorHAnsi" w:hAnsiTheme="minorHAnsi"/>
                <w:b w:val="0"/>
                <w:sz w:val="22"/>
                <w:szCs w:val="22"/>
              </w:rPr>
              <w:t>Manufacture and export of core auto components</w:t>
            </w:r>
          </w:p>
        </w:tc>
        <w:tc>
          <w:tcPr>
            <w:tcW w:w="0" w:type="auto"/>
            <w:gridSpan w:val="2"/>
            <w:hideMark/>
          </w:tcPr>
          <w:p w:rsidR="00457306" w:rsidRPr="00F0497A" w:rsidRDefault="00457306" w:rsidP="00F0497A">
            <w:pPr>
              <w:pStyle w:val="NormalWeb"/>
              <w:cnfStyle w:val="000000010000"/>
              <w:rPr>
                <w:rFonts w:asciiTheme="minorHAnsi" w:hAnsiTheme="minorHAnsi"/>
                <w:sz w:val="22"/>
                <w:szCs w:val="22"/>
              </w:rPr>
            </w:pPr>
            <w:r w:rsidRPr="00F0497A">
              <w:rPr>
                <w:rFonts w:asciiTheme="minorHAnsi" w:hAnsiTheme="minorHAnsi"/>
                <w:sz w:val="22"/>
                <w:szCs w:val="22"/>
              </w:rPr>
              <w:t>12% or more on total operating costs</w:t>
            </w:r>
          </w:p>
        </w:tc>
      </w:tr>
      <w:tr w:rsidR="00457306" w:rsidRPr="00875A8B" w:rsidTr="00263E3D">
        <w:trPr>
          <w:cnfStyle w:val="000000100000"/>
        </w:trPr>
        <w:tc>
          <w:tcPr>
            <w:cnfStyle w:val="001000000000"/>
            <w:tcW w:w="0" w:type="auto"/>
            <w:hideMark/>
          </w:tcPr>
          <w:p w:rsidR="00457306" w:rsidRPr="00F0497A" w:rsidRDefault="00457306" w:rsidP="00F0497A">
            <w:pPr>
              <w:pStyle w:val="NormalWeb"/>
              <w:rPr>
                <w:rFonts w:asciiTheme="minorHAnsi" w:hAnsiTheme="minorHAnsi"/>
                <w:b w:val="0"/>
                <w:sz w:val="22"/>
                <w:szCs w:val="22"/>
              </w:rPr>
            </w:pPr>
            <w:r w:rsidRPr="00F0497A">
              <w:rPr>
                <w:rFonts w:asciiTheme="minorHAnsi" w:hAnsiTheme="minorHAnsi"/>
                <w:b w:val="0"/>
                <w:sz w:val="22"/>
                <w:szCs w:val="22"/>
              </w:rPr>
              <w:t>Manufacture and export of noncore auto components where 90% or more of total turnover during the relevant previous year is in the nature of original equipment manufacturer (OEM) sales</w:t>
            </w:r>
          </w:p>
        </w:tc>
        <w:tc>
          <w:tcPr>
            <w:tcW w:w="0" w:type="auto"/>
            <w:gridSpan w:val="2"/>
            <w:hideMark/>
          </w:tcPr>
          <w:p w:rsidR="00457306" w:rsidRPr="00F0497A" w:rsidRDefault="00457306" w:rsidP="00F0497A">
            <w:pPr>
              <w:pStyle w:val="NormalWeb"/>
              <w:cnfStyle w:val="000000100000"/>
              <w:rPr>
                <w:rFonts w:asciiTheme="minorHAnsi" w:hAnsiTheme="minorHAnsi"/>
                <w:sz w:val="22"/>
                <w:szCs w:val="22"/>
              </w:rPr>
            </w:pPr>
            <w:r w:rsidRPr="00F0497A">
              <w:rPr>
                <w:rFonts w:asciiTheme="minorHAnsi" w:hAnsiTheme="minorHAnsi"/>
                <w:sz w:val="22"/>
                <w:szCs w:val="22"/>
              </w:rPr>
              <w:t>8.5% or more on total operating costs</w:t>
            </w:r>
          </w:p>
        </w:tc>
      </w:tr>
    </w:tbl>
    <w:p w:rsidR="00457306" w:rsidRPr="00875A8B" w:rsidRDefault="00457306" w:rsidP="00457306">
      <w:pPr>
        <w:pStyle w:val="Heading1"/>
        <w:rPr>
          <w:rFonts w:asciiTheme="minorHAnsi" w:eastAsia="Times New Roman" w:hAnsiTheme="minorHAnsi"/>
        </w:rPr>
      </w:pPr>
      <w:r w:rsidRPr="00875A8B">
        <w:rPr>
          <w:rFonts w:asciiTheme="minorHAnsi" w:eastAsia="Times New Roman" w:hAnsiTheme="minorHAnsi"/>
        </w:rPr>
        <w:lastRenderedPageBreak/>
        <w:t>Validity for five years</w:t>
      </w:r>
    </w:p>
    <w:p w:rsidR="00457306" w:rsidRPr="00875A8B" w:rsidRDefault="00457306" w:rsidP="00A75577">
      <w:pPr>
        <w:spacing w:before="100" w:beforeAutospacing="1" w:after="100" w:afterAutospacing="1" w:line="240" w:lineRule="auto"/>
        <w:jc w:val="both"/>
        <w:rPr>
          <w:rFonts w:eastAsia="Times New Roman" w:cs="Times New Roman"/>
          <w:sz w:val="24"/>
          <w:szCs w:val="24"/>
        </w:rPr>
      </w:pPr>
      <w:r w:rsidRPr="00875A8B">
        <w:rPr>
          <w:rFonts w:eastAsia="Times New Roman" w:cs="Times New Roman"/>
          <w:sz w:val="24"/>
          <w:szCs w:val="24"/>
        </w:rPr>
        <w:t>The transfer price contained in the safe harbor rules shall be applicable for five years beginning from financial year (FY) 2012-13. The taxpayer has flexibility in electing the years to be governed by the safe harbor rules within the five year period. Where a taxpayer’s transfer price is accepted by the Tax Authority under the safe harbor rules, the taxpayer shall not be entitled to invoke the mutual agreement procedure (MAP) under an applicable tax treaty.</w:t>
      </w:r>
    </w:p>
    <w:p w:rsidR="00457306" w:rsidRPr="00875A8B" w:rsidRDefault="00F0497A" w:rsidP="00457306">
      <w:pPr>
        <w:pStyle w:val="Heading1"/>
        <w:rPr>
          <w:rFonts w:asciiTheme="minorHAnsi" w:hAnsiTheme="minorHAnsi"/>
        </w:rPr>
      </w:pPr>
      <w:r>
        <w:rPr>
          <w:rFonts w:asciiTheme="minorHAnsi" w:hAnsiTheme="minorHAnsi"/>
        </w:rPr>
        <w:t>Filling of f</w:t>
      </w:r>
      <w:r w:rsidR="00457306" w:rsidRPr="00875A8B">
        <w:rPr>
          <w:rFonts w:asciiTheme="minorHAnsi" w:hAnsiTheme="minorHAnsi"/>
        </w:rPr>
        <w:t>orm 3CEFA</w:t>
      </w:r>
    </w:p>
    <w:p w:rsidR="00457306" w:rsidRPr="00F0497A" w:rsidRDefault="00F0497A" w:rsidP="00F0497A">
      <w:pPr>
        <w:autoSpaceDE w:val="0"/>
        <w:autoSpaceDN w:val="0"/>
        <w:adjustRightInd w:val="0"/>
        <w:spacing w:after="0" w:line="240" w:lineRule="auto"/>
        <w:jc w:val="both"/>
        <w:rPr>
          <w:rFonts w:ascii="TimesNewRomanPSMT" w:hAnsi="TimesNewRomanPSMT" w:cs="TimesNewRomanPSMT"/>
          <w:sz w:val="21"/>
          <w:szCs w:val="21"/>
        </w:rPr>
      </w:pPr>
      <w:r w:rsidRPr="00F0497A">
        <w:rPr>
          <w:rFonts w:cs="TimesNewRomanPSMT"/>
          <w:sz w:val="24"/>
          <w:szCs w:val="24"/>
        </w:rPr>
        <w:t>Any taxpayer who has entered into an eligibl</w:t>
      </w:r>
      <w:r>
        <w:rPr>
          <w:rFonts w:cs="TimesNewRomanPSMT"/>
          <w:sz w:val="24"/>
          <w:szCs w:val="24"/>
        </w:rPr>
        <w:t xml:space="preserve">e </w:t>
      </w:r>
      <w:r w:rsidRPr="00F0497A">
        <w:rPr>
          <w:rFonts w:cs="TimesNewRomanPSMT"/>
          <w:sz w:val="24"/>
          <w:szCs w:val="24"/>
        </w:rPr>
        <w:t>international transaction and who wishes to exercise</w:t>
      </w:r>
      <w:r>
        <w:rPr>
          <w:rFonts w:cs="TimesNewRomanPSMT"/>
          <w:sz w:val="24"/>
          <w:szCs w:val="24"/>
        </w:rPr>
        <w:t xml:space="preserve"> </w:t>
      </w:r>
      <w:r w:rsidRPr="00F0497A">
        <w:rPr>
          <w:rFonts w:cs="TimesNewRomanPSMT"/>
          <w:sz w:val="24"/>
          <w:szCs w:val="24"/>
        </w:rPr>
        <w:t>the option to be governed by the safe harbour rules is</w:t>
      </w:r>
      <w:r>
        <w:rPr>
          <w:rFonts w:cs="TimesNewRomanPSMT"/>
          <w:sz w:val="24"/>
          <w:szCs w:val="24"/>
        </w:rPr>
        <w:t xml:space="preserve"> </w:t>
      </w:r>
      <w:r w:rsidRPr="00F0497A">
        <w:rPr>
          <w:rFonts w:cs="TimesNewRomanPSMT"/>
          <w:sz w:val="24"/>
          <w:szCs w:val="24"/>
        </w:rPr>
        <w:t>required to file a specified form (Form 3CEFA)</w:t>
      </w:r>
      <w:r>
        <w:rPr>
          <w:rFonts w:cs="TimesNewRomanPSMT"/>
          <w:sz w:val="24"/>
          <w:szCs w:val="24"/>
        </w:rPr>
        <w:t>.</w:t>
      </w:r>
      <w:r w:rsidRPr="00F0497A">
        <w:rPr>
          <w:sz w:val="24"/>
          <w:szCs w:val="24"/>
        </w:rPr>
        <w:t xml:space="preserve"> </w:t>
      </w:r>
      <w:r w:rsidR="00457306" w:rsidRPr="00F0497A">
        <w:rPr>
          <w:sz w:val="24"/>
          <w:szCs w:val="24"/>
        </w:rPr>
        <w:t>Form 3CEFA requires the taxpayer to declare the following:</w:t>
      </w:r>
    </w:p>
    <w:p w:rsidR="00457306" w:rsidRPr="00875A8B" w:rsidRDefault="00457306" w:rsidP="009A30F5">
      <w:pPr>
        <w:numPr>
          <w:ilvl w:val="0"/>
          <w:numId w:val="1"/>
        </w:numPr>
        <w:spacing w:after="100" w:afterAutospacing="1" w:line="240" w:lineRule="auto"/>
        <w:jc w:val="both"/>
        <w:rPr>
          <w:sz w:val="24"/>
          <w:szCs w:val="24"/>
        </w:rPr>
      </w:pPr>
      <w:r w:rsidRPr="00875A8B">
        <w:rPr>
          <w:sz w:val="24"/>
          <w:szCs w:val="24"/>
        </w:rPr>
        <w:t>Transaction entered with an AE is an eligible international transaction;</w:t>
      </w:r>
    </w:p>
    <w:p w:rsidR="00457306" w:rsidRPr="00875A8B" w:rsidRDefault="00457306" w:rsidP="009A30F5">
      <w:pPr>
        <w:numPr>
          <w:ilvl w:val="0"/>
          <w:numId w:val="1"/>
        </w:numPr>
        <w:spacing w:before="100" w:beforeAutospacing="1" w:after="100" w:afterAutospacing="1" w:line="240" w:lineRule="auto"/>
        <w:jc w:val="both"/>
        <w:rPr>
          <w:sz w:val="24"/>
          <w:szCs w:val="24"/>
        </w:rPr>
      </w:pPr>
      <w:r w:rsidRPr="00875A8B">
        <w:rPr>
          <w:sz w:val="24"/>
          <w:szCs w:val="24"/>
        </w:rPr>
        <w:t>Quantum of the international transaction;</w:t>
      </w:r>
    </w:p>
    <w:p w:rsidR="00457306" w:rsidRPr="00875A8B" w:rsidRDefault="00457306" w:rsidP="009A30F5">
      <w:pPr>
        <w:numPr>
          <w:ilvl w:val="0"/>
          <w:numId w:val="1"/>
        </w:numPr>
        <w:spacing w:before="100" w:beforeAutospacing="1" w:after="100" w:afterAutospacing="1" w:line="240" w:lineRule="auto"/>
        <w:jc w:val="both"/>
        <w:rPr>
          <w:sz w:val="24"/>
          <w:szCs w:val="24"/>
        </w:rPr>
      </w:pPr>
      <w:r w:rsidRPr="00875A8B">
        <w:rPr>
          <w:sz w:val="24"/>
          <w:szCs w:val="24"/>
        </w:rPr>
        <w:t>Whether the AEs country or territory is a no tax or low tax country or territory; and</w:t>
      </w:r>
    </w:p>
    <w:p w:rsidR="00457306" w:rsidRPr="00875A8B" w:rsidRDefault="00457306" w:rsidP="009A30F5">
      <w:pPr>
        <w:numPr>
          <w:ilvl w:val="0"/>
          <w:numId w:val="1"/>
        </w:numPr>
        <w:spacing w:before="100" w:beforeAutospacing="1" w:after="100" w:afterAutospacing="1" w:line="240" w:lineRule="auto"/>
        <w:jc w:val="both"/>
        <w:rPr>
          <w:sz w:val="24"/>
          <w:szCs w:val="24"/>
        </w:rPr>
      </w:pPr>
      <w:r w:rsidRPr="00875A8B">
        <w:rPr>
          <w:sz w:val="24"/>
          <w:szCs w:val="24"/>
        </w:rPr>
        <w:t>Operating profit margin/transfer price.</w:t>
      </w:r>
    </w:p>
    <w:p w:rsidR="00457306" w:rsidRDefault="00457306" w:rsidP="00457306">
      <w:pPr>
        <w:pStyle w:val="Heading1"/>
        <w:rPr>
          <w:rFonts w:asciiTheme="minorHAnsi" w:hAnsiTheme="minorHAnsi"/>
        </w:rPr>
      </w:pPr>
      <w:r w:rsidRPr="00875A8B">
        <w:rPr>
          <w:rFonts w:asciiTheme="minorHAnsi" w:hAnsiTheme="minorHAnsi"/>
        </w:rPr>
        <w:t>Timelines</w:t>
      </w:r>
      <w:r w:rsidR="00F0497A">
        <w:rPr>
          <w:rFonts w:asciiTheme="minorHAnsi" w:hAnsiTheme="minorHAnsi"/>
        </w:rPr>
        <w:t xml:space="preserve"> for Tax Authorities</w:t>
      </w:r>
    </w:p>
    <w:p w:rsidR="00F0497A" w:rsidRPr="00F0497A" w:rsidRDefault="00F0497A" w:rsidP="007B73B4">
      <w:pPr>
        <w:jc w:val="both"/>
        <w:rPr>
          <w:sz w:val="24"/>
          <w:szCs w:val="24"/>
        </w:rPr>
      </w:pPr>
      <w:r w:rsidRPr="00F0497A">
        <w:rPr>
          <w:sz w:val="24"/>
          <w:szCs w:val="24"/>
        </w:rPr>
        <w:t xml:space="preserve">The rules also provide timelines within which the tax authorities need to take action on the option exercised by the taxpayer. These </w:t>
      </w:r>
      <w:r>
        <w:rPr>
          <w:sz w:val="24"/>
          <w:szCs w:val="24"/>
        </w:rPr>
        <w:t>are</w:t>
      </w:r>
      <w:r w:rsidRPr="00F0497A">
        <w:rPr>
          <w:sz w:val="24"/>
          <w:szCs w:val="24"/>
        </w:rPr>
        <w:t>:</w:t>
      </w:r>
    </w:p>
    <w:tbl>
      <w:tblPr>
        <w:tblStyle w:val="MediumGrid1-Accent5"/>
        <w:tblW w:w="0" w:type="auto"/>
        <w:tblLook w:val="04A0"/>
      </w:tblPr>
      <w:tblGrid>
        <w:gridCol w:w="5456"/>
        <w:gridCol w:w="4120"/>
      </w:tblGrid>
      <w:tr w:rsidR="00457306" w:rsidRPr="00875A8B" w:rsidTr="00F0497A">
        <w:trPr>
          <w:cnfStyle w:val="100000000000"/>
        </w:trPr>
        <w:tc>
          <w:tcPr>
            <w:cnfStyle w:val="001000000000"/>
            <w:tcW w:w="0" w:type="auto"/>
            <w:hideMark/>
          </w:tcPr>
          <w:p w:rsidR="00457306" w:rsidRPr="00875A8B" w:rsidRDefault="00457306" w:rsidP="009A30F5">
            <w:pPr>
              <w:pStyle w:val="Heading1"/>
              <w:jc w:val="center"/>
              <w:outlineLvl w:val="0"/>
              <w:rPr>
                <w:rFonts w:asciiTheme="minorHAnsi" w:hAnsiTheme="minorHAnsi"/>
              </w:rPr>
            </w:pPr>
            <w:r w:rsidRPr="00875A8B">
              <w:rPr>
                <w:rFonts w:asciiTheme="minorHAnsi" w:hAnsiTheme="minorHAnsi"/>
              </w:rPr>
              <w:t>Action</w:t>
            </w:r>
          </w:p>
        </w:tc>
        <w:tc>
          <w:tcPr>
            <w:tcW w:w="0" w:type="auto"/>
            <w:hideMark/>
          </w:tcPr>
          <w:p w:rsidR="00457306" w:rsidRPr="00875A8B" w:rsidRDefault="00457306" w:rsidP="009A30F5">
            <w:pPr>
              <w:pStyle w:val="Heading1"/>
              <w:jc w:val="center"/>
              <w:outlineLvl w:val="0"/>
              <w:cnfStyle w:val="100000000000"/>
              <w:rPr>
                <w:rFonts w:asciiTheme="minorHAnsi" w:hAnsiTheme="minorHAnsi"/>
              </w:rPr>
            </w:pPr>
            <w:r w:rsidRPr="00875A8B">
              <w:rPr>
                <w:rFonts w:asciiTheme="minorHAnsi" w:hAnsiTheme="minorHAnsi"/>
              </w:rPr>
              <w:t>Timeline</w:t>
            </w:r>
          </w:p>
        </w:tc>
      </w:tr>
      <w:tr w:rsidR="00457306" w:rsidRPr="00875A8B" w:rsidTr="00F0497A">
        <w:trPr>
          <w:cnfStyle w:val="000000100000"/>
        </w:trPr>
        <w:tc>
          <w:tcPr>
            <w:cnfStyle w:val="001000000000"/>
            <w:tcW w:w="0" w:type="auto"/>
            <w:hideMark/>
          </w:tcPr>
          <w:p w:rsidR="00457306" w:rsidRPr="00875A8B" w:rsidRDefault="00457306" w:rsidP="00941D59">
            <w:pPr>
              <w:pStyle w:val="NormalWeb"/>
              <w:rPr>
                <w:rFonts w:asciiTheme="minorHAnsi" w:hAnsiTheme="minorHAnsi"/>
              </w:rPr>
            </w:pPr>
            <w:r w:rsidRPr="00875A8B">
              <w:rPr>
                <w:rFonts w:asciiTheme="minorHAnsi" w:hAnsiTheme="minorHAnsi"/>
              </w:rPr>
              <w:t>Reference by AO to TPO to determine eligibility of assessee or international transaction or both for purposes of the safe harbor</w:t>
            </w:r>
          </w:p>
        </w:tc>
        <w:tc>
          <w:tcPr>
            <w:tcW w:w="0" w:type="auto"/>
            <w:hideMark/>
          </w:tcPr>
          <w:p w:rsidR="00457306" w:rsidRPr="00875A8B" w:rsidRDefault="00457306" w:rsidP="00941D59">
            <w:pPr>
              <w:pStyle w:val="NormalWeb"/>
              <w:cnfStyle w:val="000000100000"/>
              <w:rPr>
                <w:rFonts w:asciiTheme="minorHAnsi" w:hAnsiTheme="minorHAnsi"/>
              </w:rPr>
            </w:pPr>
            <w:r w:rsidRPr="00875A8B">
              <w:rPr>
                <w:rFonts w:asciiTheme="minorHAnsi" w:hAnsiTheme="minorHAnsi"/>
              </w:rPr>
              <w:t>Two months from the end of the month in which Form 3CEFA is received by AO</w:t>
            </w:r>
          </w:p>
        </w:tc>
      </w:tr>
      <w:tr w:rsidR="00457306" w:rsidRPr="00875A8B" w:rsidTr="00F0497A">
        <w:tc>
          <w:tcPr>
            <w:cnfStyle w:val="001000000000"/>
            <w:tcW w:w="0" w:type="auto"/>
            <w:hideMark/>
          </w:tcPr>
          <w:p w:rsidR="00457306" w:rsidRPr="00875A8B" w:rsidRDefault="00457306" w:rsidP="00941D59">
            <w:pPr>
              <w:pStyle w:val="NormalWeb"/>
              <w:rPr>
                <w:rFonts w:asciiTheme="minorHAnsi" w:hAnsiTheme="minorHAnsi"/>
              </w:rPr>
            </w:pPr>
            <w:r w:rsidRPr="00875A8B">
              <w:rPr>
                <w:rFonts w:asciiTheme="minorHAnsi" w:hAnsiTheme="minorHAnsi"/>
              </w:rPr>
              <w:t>TPO to pass an order after determining validity or otherwise of the option exercised by the assessee</w:t>
            </w:r>
          </w:p>
        </w:tc>
        <w:tc>
          <w:tcPr>
            <w:tcW w:w="0" w:type="auto"/>
            <w:hideMark/>
          </w:tcPr>
          <w:p w:rsidR="00457306" w:rsidRPr="00875A8B" w:rsidRDefault="00457306" w:rsidP="00941D59">
            <w:pPr>
              <w:pStyle w:val="NormalWeb"/>
              <w:cnfStyle w:val="000000000000"/>
              <w:rPr>
                <w:rFonts w:asciiTheme="minorHAnsi" w:hAnsiTheme="minorHAnsi"/>
              </w:rPr>
            </w:pPr>
            <w:r w:rsidRPr="00875A8B">
              <w:rPr>
                <w:rFonts w:asciiTheme="minorHAnsi" w:hAnsiTheme="minorHAnsi"/>
              </w:rPr>
              <w:t>Two months from the end of the month in which reference from AO is received</w:t>
            </w:r>
          </w:p>
        </w:tc>
      </w:tr>
      <w:tr w:rsidR="00457306" w:rsidRPr="00875A8B" w:rsidTr="00F0497A">
        <w:trPr>
          <w:cnfStyle w:val="000000100000"/>
        </w:trPr>
        <w:tc>
          <w:tcPr>
            <w:cnfStyle w:val="001000000000"/>
            <w:tcW w:w="0" w:type="auto"/>
            <w:hideMark/>
          </w:tcPr>
          <w:p w:rsidR="00457306" w:rsidRPr="00875A8B" w:rsidRDefault="00457306" w:rsidP="00457306">
            <w:pPr>
              <w:pStyle w:val="NormalWeb"/>
              <w:rPr>
                <w:rFonts w:asciiTheme="minorHAnsi" w:hAnsiTheme="minorHAnsi"/>
              </w:rPr>
            </w:pPr>
            <w:r w:rsidRPr="00875A8B">
              <w:rPr>
                <w:rFonts w:asciiTheme="minorHAnsi" w:hAnsiTheme="minorHAnsi"/>
              </w:rPr>
              <w:t>Commissioner to pass an order with respect to the validity or otherwise of the option exercised by the assessee</w:t>
            </w:r>
          </w:p>
        </w:tc>
        <w:tc>
          <w:tcPr>
            <w:tcW w:w="0" w:type="auto"/>
            <w:hideMark/>
          </w:tcPr>
          <w:p w:rsidR="00457306" w:rsidRPr="00875A8B" w:rsidRDefault="00457306" w:rsidP="00941D59">
            <w:pPr>
              <w:pStyle w:val="NormalWeb"/>
              <w:cnfStyle w:val="000000100000"/>
              <w:rPr>
                <w:rFonts w:asciiTheme="minorHAnsi" w:hAnsiTheme="minorHAnsi"/>
              </w:rPr>
            </w:pPr>
            <w:r w:rsidRPr="00875A8B">
              <w:rPr>
                <w:rFonts w:asciiTheme="minorHAnsi" w:hAnsiTheme="minorHAnsi"/>
              </w:rPr>
              <w:t>Two months from the end of the month in which the objections filed by the assessee are received</w:t>
            </w:r>
          </w:p>
        </w:tc>
      </w:tr>
    </w:tbl>
    <w:p w:rsidR="00457306" w:rsidRPr="00875A8B" w:rsidRDefault="00457306" w:rsidP="00457306">
      <w:pPr>
        <w:pStyle w:val="Heading1"/>
        <w:rPr>
          <w:rFonts w:asciiTheme="minorHAnsi" w:hAnsiTheme="minorHAnsi"/>
        </w:rPr>
      </w:pPr>
      <w:r w:rsidRPr="00875A8B">
        <w:rPr>
          <w:rFonts w:asciiTheme="minorHAnsi" w:hAnsiTheme="minorHAnsi"/>
        </w:rPr>
        <w:t>Benefits of Safe Harbour</w:t>
      </w:r>
    </w:p>
    <w:p w:rsidR="00457306" w:rsidRPr="00875A8B" w:rsidRDefault="00457306" w:rsidP="009A30F5">
      <w:pPr>
        <w:autoSpaceDE w:val="0"/>
        <w:autoSpaceDN w:val="0"/>
        <w:adjustRightInd w:val="0"/>
        <w:spacing w:after="0" w:line="240" w:lineRule="auto"/>
        <w:jc w:val="both"/>
        <w:rPr>
          <w:rFonts w:cs="TimesNewRomanPSMT"/>
          <w:color w:val="000000"/>
          <w:sz w:val="24"/>
          <w:szCs w:val="24"/>
        </w:rPr>
      </w:pPr>
      <w:r w:rsidRPr="00875A8B">
        <w:rPr>
          <w:rFonts w:cs="TimesNewRomanPSMT"/>
          <w:color w:val="000000"/>
          <w:sz w:val="24"/>
          <w:szCs w:val="24"/>
        </w:rPr>
        <w:t>Safe harbours carry certain benefits which are described below:</w:t>
      </w:r>
    </w:p>
    <w:p w:rsidR="00457306" w:rsidRPr="00875A8B" w:rsidRDefault="00CF5D31" w:rsidP="00CF5D31">
      <w:pPr>
        <w:pStyle w:val="ListParagraph"/>
        <w:numPr>
          <w:ilvl w:val="0"/>
          <w:numId w:val="2"/>
        </w:numPr>
        <w:autoSpaceDE w:val="0"/>
        <w:autoSpaceDN w:val="0"/>
        <w:adjustRightInd w:val="0"/>
        <w:spacing w:after="0" w:line="240" w:lineRule="auto"/>
        <w:jc w:val="both"/>
        <w:rPr>
          <w:rFonts w:cs="TimesNewRomanPSMT"/>
          <w:color w:val="000000"/>
          <w:sz w:val="24"/>
          <w:szCs w:val="24"/>
        </w:rPr>
      </w:pPr>
      <w:r w:rsidRPr="00875A8B">
        <w:rPr>
          <w:rStyle w:val="Heading2Char"/>
          <w:rFonts w:asciiTheme="minorHAnsi" w:hAnsiTheme="minorHAnsi"/>
          <w:sz w:val="24"/>
          <w:szCs w:val="24"/>
        </w:rPr>
        <w:t>Compliance</w:t>
      </w:r>
      <w:r w:rsidR="00234621" w:rsidRPr="00234621">
        <w:rPr>
          <w:rStyle w:val="Heading2Char"/>
          <w:rFonts w:asciiTheme="minorHAnsi" w:hAnsiTheme="minorHAnsi"/>
          <w:sz w:val="24"/>
          <w:szCs w:val="24"/>
        </w:rPr>
        <w:t xml:space="preserve"> </w:t>
      </w:r>
      <w:r w:rsidR="00234621">
        <w:rPr>
          <w:rStyle w:val="Heading2Char"/>
          <w:rFonts w:asciiTheme="minorHAnsi" w:hAnsiTheme="minorHAnsi"/>
          <w:sz w:val="24"/>
          <w:szCs w:val="24"/>
        </w:rPr>
        <w:t>Simplicity</w:t>
      </w:r>
      <w:r w:rsidR="00457306" w:rsidRPr="00875A8B">
        <w:rPr>
          <w:rStyle w:val="Heading2Char"/>
          <w:rFonts w:asciiTheme="minorHAnsi" w:hAnsiTheme="minorHAnsi"/>
          <w:sz w:val="24"/>
          <w:szCs w:val="24"/>
        </w:rPr>
        <w:t>:</w:t>
      </w:r>
      <w:r w:rsidR="00457306" w:rsidRPr="00875A8B">
        <w:rPr>
          <w:rFonts w:cs="TimesNewRomanPS-ItalicMT"/>
          <w:i/>
          <w:iCs/>
          <w:color w:val="000000"/>
          <w:sz w:val="24"/>
          <w:szCs w:val="24"/>
        </w:rPr>
        <w:t xml:space="preserve"> </w:t>
      </w:r>
      <w:r w:rsidR="00457306" w:rsidRPr="00875A8B">
        <w:rPr>
          <w:rFonts w:cs="TimesNewRomanPSMT"/>
          <w:color w:val="000000"/>
          <w:sz w:val="24"/>
          <w:szCs w:val="24"/>
        </w:rPr>
        <w:t xml:space="preserve">Safe harbours tend to substitute simplified requirements in place of existing regulations, thereby reducing compliance burden and associated costs for eligible taxpayers, who would otherwise be obligated to dedicate resources and time to collect, </w:t>
      </w:r>
      <w:r w:rsidR="009A30F5" w:rsidRPr="00875A8B">
        <w:rPr>
          <w:rFonts w:cs="TimesNewRomanPSMT"/>
          <w:color w:val="000000"/>
          <w:sz w:val="24"/>
          <w:szCs w:val="24"/>
        </w:rPr>
        <w:t>analyze</w:t>
      </w:r>
      <w:r w:rsidR="00457306" w:rsidRPr="00875A8B">
        <w:rPr>
          <w:rFonts w:cs="TimesNewRomanPSMT"/>
          <w:color w:val="000000"/>
          <w:sz w:val="24"/>
          <w:szCs w:val="24"/>
        </w:rPr>
        <w:t xml:space="preserve"> and maintain extensive data to support their inter-company transactions.</w:t>
      </w:r>
    </w:p>
    <w:p w:rsidR="00457306" w:rsidRPr="00875A8B" w:rsidRDefault="00457306" w:rsidP="00CF5D31">
      <w:pPr>
        <w:pStyle w:val="ListParagraph"/>
        <w:numPr>
          <w:ilvl w:val="0"/>
          <w:numId w:val="2"/>
        </w:numPr>
        <w:autoSpaceDE w:val="0"/>
        <w:autoSpaceDN w:val="0"/>
        <w:adjustRightInd w:val="0"/>
        <w:spacing w:after="0" w:line="240" w:lineRule="auto"/>
        <w:jc w:val="both"/>
        <w:rPr>
          <w:rFonts w:cs="TimesNewRomanPSMT"/>
          <w:color w:val="000000"/>
          <w:sz w:val="24"/>
          <w:szCs w:val="24"/>
        </w:rPr>
      </w:pPr>
      <w:r w:rsidRPr="00875A8B">
        <w:rPr>
          <w:rStyle w:val="Heading2Char"/>
          <w:rFonts w:asciiTheme="minorHAnsi" w:hAnsiTheme="minorHAnsi"/>
          <w:sz w:val="24"/>
          <w:szCs w:val="24"/>
        </w:rPr>
        <w:lastRenderedPageBreak/>
        <w:t>Certainty</w:t>
      </w:r>
      <w:r w:rsidR="00F0497A">
        <w:rPr>
          <w:rStyle w:val="Heading2Char"/>
          <w:rFonts w:asciiTheme="minorHAnsi" w:hAnsiTheme="minorHAnsi"/>
          <w:sz w:val="24"/>
          <w:szCs w:val="24"/>
        </w:rPr>
        <w:t xml:space="preserve"> &amp; Reduce Litigation</w:t>
      </w:r>
      <w:r w:rsidRPr="00875A8B">
        <w:rPr>
          <w:rFonts w:cs="TimesNewRomanPS-ItalicMT"/>
          <w:i/>
          <w:iCs/>
          <w:color w:val="000000"/>
          <w:sz w:val="24"/>
          <w:szCs w:val="24"/>
        </w:rPr>
        <w:t xml:space="preserve">: </w:t>
      </w:r>
      <w:r w:rsidRPr="00875A8B">
        <w:rPr>
          <w:rFonts w:cs="TimesNewRomanPSMT"/>
          <w:color w:val="000000"/>
          <w:sz w:val="24"/>
          <w:szCs w:val="24"/>
        </w:rPr>
        <w:t>Electing safe harbours may grant a greater sense of assurance to taxpayers regarding acceptability of their transfer price by the tax authorities without onerous audits. This conserves administrative and monetary resources for both the taxpayer and the tax administration.</w:t>
      </w:r>
    </w:p>
    <w:p w:rsidR="00457306" w:rsidRPr="00875A8B" w:rsidRDefault="00234621" w:rsidP="00CF5D31">
      <w:pPr>
        <w:pStyle w:val="ListParagraph"/>
        <w:numPr>
          <w:ilvl w:val="0"/>
          <w:numId w:val="2"/>
        </w:numPr>
        <w:autoSpaceDE w:val="0"/>
        <w:autoSpaceDN w:val="0"/>
        <w:adjustRightInd w:val="0"/>
        <w:spacing w:after="0" w:line="240" w:lineRule="auto"/>
        <w:jc w:val="both"/>
        <w:rPr>
          <w:rFonts w:cs="TimesNewRomanPSMT"/>
          <w:color w:val="000000"/>
          <w:sz w:val="24"/>
          <w:szCs w:val="24"/>
        </w:rPr>
      </w:pPr>
      <w:r>
        <w:rPr>
          <w:rStyle w:val="Heading2Char"/>
          <w:rFonts w:asciiTheme="minorHAnsi" w:hAnsiTheme="minorHAnsi"/>
          <w:sz w:val="24"/>
          <w:szCs w:val="24"/>
        </w:rPr>
        <w:t>Administrative S</w:t>
      </w:r>
      <w:r w:rsidR="00457306" w:rsidRPr="00875A8B">
        <w:rPr>
          <w:rStyle w:val="Heading2Char"/>
          <w:rFonts w:asciiTheme="minorHAnsi" w:hAnsiTheme="minorHAnsi"/>
          <w:sz w:val="24"/>
          <w:szCs w:val="24"/>
        </w:rPr>
        <w:t>implicity</w:t>
      </w:r>
      <w:r w:rsidR="00457306" w:rsidRPr="00875A8B">
        <w:rPr>
          <w:rFonts w:cs="TimesNewRomanPS-ItalicMT"/>
          <w:i/>
          <w:iCs/>
          <w:color w:val="000000"/>
          <w:sz w:val="24"/>
          <w:szCs w:val="24"/>
        </w:rPr>
        <w:t xml:space="preserve">: </w:t>
      </w:r>
      <w:r w:rsidR="00457306" w:rsidRPr="00875A8B">
        <w:rPr>
          <w:rFonts w:cs="TimesNewRomanPSMT"/>
          <w:color w:val="000000"/>
          <w:sz w:val="24"/>
          <w:szCs w:val="24"/>
        </w:rPr>
        <w:t xml:space="preserve">Since tax administrations would be required to carry out only a minimal examination in respect of taxpayers opting for safe harbours, they can </w:t>
      </w:r>
      <w:r w:rsidR="00875A8B" w:rsidRPr="00875A8B">
        <w:rPr>
          <w:rFonts w:cs="TimesNewRomanPSMT"/>
          <w:color w:val="000000"/>
          <w:sz w:val="24"/>
          <w:szCs w:val="24"/>
        </w:rPr>
        <w:t>channelize</w:t>
      </w:r>
      <w:r w:rsidR="00457306" w:rsidRPr="00875A8B">
        <w:rPr>
          <w:rFonts w:cs="TimesNewRomanPSMT"/>
          <w:color w:val="000000"/>
          <w:sz w:val="24"/>
          <w:szCs w:val="24"/>
        </w:rPr>
        <w:t xml:space="preserve"> their efforts to examine more complex and high-risk transactions and taxpayers.</w:t>
      </w:r>
    </w:p>
    <w:p w:rsidR="00457306" w:rsidRPr="00875A8B" w:rsidRDefault="00457306" w:rsidP="00A75577">
      <w:pPr>
        <w:pStyle w:val="Heading1"/>
        <w:rPr>
          <w:rFonts w:asciiTheme="minorHAnsi" w:hAnsiTheme="minorHAnsi"/>
        </w:rPr>
      </w:pPr>
      <w:r w:rsidRPr="00875A8B">
        <w:rPr>
          <w:rFonts w:asciiTheme="minorHAnsi" w:hAnsiTheme="minorHAnsi"/>
        </w:rPr>
        <w:t>C</w:t>
      </w:r>
      <w:r w:rsidR="007B73B4">
        <w:rPr>
          <w:rFonts w:asciiTheme="minorHAnsi" w:hAnsiTheme="minorHAnsi"/>
        </w:rPr>
        <w:t>hallenges Faces</w:t>
      </w:r>
    </w:p>
    <w:p w:rsidR="00457306" w:rsidRPr="00875A8B" w:rsidRDefault="00457306" w:rsidP="00A75577">
      <w:pPr>
        <w:autoSpaceDE w:val="0"/>
        <w:autoSpaceDN w:val="0"/>
        <w:adjustRightInd w:val="0"/>
        <w:spacing w:after="0" w:line="240" w:lineRule="auto"/>
        <w:jc w:val="both"/>
        <w:rPr>
          <w:rFonts w:cs="TimesNewRomanPSMT"/>
          <w:color w:val="000000"/>
          <w:sz w:val="24"/>
          <w:szCs w:val="24"/>
        </w:rPr>
      </w:pPr>
      <w:r w:rsidRPr="00875A8B">
        <w:rPr>
          <w:rFonts w:cs="TimesNewRomanPSMT"/>
          <w:color w:val="000000"/>
          <w:sz w:val="24"/>
          <w:szCs w:val="24"/>
        </w:rPr>
        <w:t>While safe harbours generally are beneficial, their</w:t>
      </w:r>
      <w:r w:rsidR="00A75577" w:rsidRPr="00875A8B">
        <w:rPr>
          <w:rFonts w:cs="TimesNewRomanPSMT"/>
          <w:color w:val="000000"/>
          <w:sz w:val="24"/>
          <w:szCs w:val="24"/>
        </w:rPr>
        <w:t xml:space="preserve"> </w:t>
      </w:r>
      <w:r w:rsidRPr="00875A8B">
        <w:rPr>
          <w:rFonts w:cs="TimesNewRomanPSMT"/>
          <w:color w:val="000000"/>
          <w:sz w:val="24"/>
          <w:szCs w:val="24"/>
        </w:rPr>
        <w:t>availability is not without concerns, some of which</w:t>
      </w:r>
      <w:r w:rsidR="00A75577" w:rsidRPr="00875A8B">
        <w:rPr>
          <w:rFonts w:cs="TimesNewRomanPSMT"/>
          <w:color w:val="000000"/>
          <w:sz w:val="24"/>
          <w:szCs w:val="24"/>
        </w:rPr>
        <w:t xml:space="preserve"> </w:t>
      </w:r>
      <w:r w:rsidRPr="00875A8B">
        <w:rPr>
          <w:rFonts w:cs="TimesNewRomanPSMT"/>
          <w:color w:val="000000"/>
          <w:sz w:val="24"/>
          <w:szCs w:val="24"/>
        </w:rPr>
        <w:t>are:</w:t>
      </w:r>
    </w:p>
    <w:p w:rsidR="00457306" w:rsidRPr="00115EBA" w:rsidRDefault="00115EBA" w:rsidP="00115EBA">
      <w:pPr>
        <w:pStyle w:val="ListParagraph"/>
        <w:numPr>
          <w:ilvl w:val="0"/>
          <w:numId w:val="6"/>
        </w:numPr>
        <w:autoSpaceDE w:val="0"/>
        <w:autoSpaceDN w:val="0"/>
        <w:adjustRightInd w:val="0"/>
        <w:spacing w:after="0" w:line="240" w:lineRule="auto"/>
        <w:jc w:val="both"/>
        <w:rPr>
          <w:rFonts w:cs="TimesNewRomanPSMT"/>
          <w:sz w:val="24"/>
          <w:szCs w:val="24"/>
        </w:rPr>
      </w:pPr>
      <w:r w:rsidRPr="00115EBA">
        <w:rPr>
          <w:rStyle w:val="Heading2Char"/>
          <w:rFonts w:asciiTheme="minorHAnsi" w:hAnsiTheme="minorHAnsi"/>
          <w:sz w:val="24"/>
          <w:szCs w:val="24"/>
        </w:rPr>
        <w:t>High Margins/Price</w:t>
      </w:r>
      <w:r w:rsidR="00457306" w:rsidRPr="00115EBA">
        <w:rPr>
          <w:rStyle w:val="Heading2Char"/>
          <w:rFonts w:asciiTheme="minorHAnsi" w:hAnsiTheme="minorHAnsi"/>
          <w:sz w:val="24"/>
          <w:szCs w:val="24"/>
        </w:rPr>
        <w:t xml:space="preserve">: </w:t>
      </w:r>
      <w:r w:rsidRPr="00115EBA">
        <w:rPr>
          <w:rFonts w:cs="TimesNewRomanPSMT"/>
          <w:sz w:val="24"/>
          <w:szCs w:val="24"/>
        </w:rPr>
        <w:t>Some of the rates are very high and reflect neither industry benchmarks nor the current economic environment.</w:t>
      </w:r>
    </w:p>
    <w:p w:rsidR="00CF5D31" w:rsidRPr="00875A8B" w:rsidRDefault="00457306" w:rsidP="00CF5D31">
      <w:pPr>
        <w:pStyle w:val="ListParagraph"/>
        <w:numPr>
          <w:ilvl w:val="0"/>
          <w:numId w:val="4"/>
        </w:numPr>
        <w:autoSpaceDE w:val="0"/>
        <w:autoSpaceDN w:val="0"/>
        <w:adjustRightInd w:val="0"/>
        <w:spacing w:after="0" w:line="240" w:lineRule="auto"/>
        <w:jc w:val="both"/>
        <w:rPr>
          <w:rFonts w:cs="TimesNewRomanPSMT"/>
          <w:color w:val="000000"/>
          <w:sz w:val="24"/>
          <w:szCs w:val="24"/>
        </w:rPr>
      </w:pPr>
      <w:r w:rsidRPr="00875A8B">
        <w:rPr>
          <w:rStyle w:val="Heading2Char"/>
          <w:rFonts w:asciiTheme="minorHAnsi" w:hAnsiTheme="minorHAnsi"/>
          <w:sz w:val="24"/>
          <w:szCs w:val="24"/>
        </w:rPr>
        <w:t>Risk of double taxation:</w:t>
      </w:r>
      <w:r w:rsidRPr="00875A8B">
        <w:rPr>
          <w:rFonts w:cs="TimesNewRomanPS-ItalicMT"/>
          <w:i/>
          <w:iCs/>
          <w:color w:val="000000"/>
          <w:sz w:val="24"/>
          <w:szCs w:val="24"/>
        </w:rPr>
        <w:t xml:space="preserve"> </w:t>
      </w:r>
      <w:r w:rsidRPr="00875A8B">
        <w:rPr>
          <w:rFonts w:cs="TimesNewRomanPSMT"/>
          <w:color w:val="000000"/>
          <w:sz w:val="24"/>
          <w:szCs w:val="24"/>
        </w:rPr>
        <w:t>When adopted unilaterally,</w:t>
      </w:r>
      <w:r w:rsidR="00A75577" w:rsidRPr="00875A8B">
        <w:rPr>
          <w:rFonts w:cs="TimesNewRomanPSMT"/>
          <w:color w:val="000000"/>
          <w:sz w:val="24"/>
          <w:szCs w:val="24"/>
        </w:rPr>
        <w:t xml:space="preserve"> </w:t>
      </w:r>
      <w:r w:rsidRPr="00875A8B">
        <w:rPr>
          <w:rFonts w:cs="TimesNewRomanPSMT"/>
          <w:color w:val="000000"/>
          <w:sz w:val="24"/>
          <w:szCs w:val="24"/>
        </w:rPr>
        <w:t>safe harbours pose risk of double taxation since</w:t>
      </w:r>
      <w:r w:rsidR="00A75577" w:rsidRPr="00875A8B">
        <w:rPr>
          <w:rFonts w:cs="TimesNewRomanPSMT"/>
          <w:color w:val="000000"/>
          <w:sz w:val="24"/>
          <w:szCs w:val="24"/>
        </w:rPr>
        <w:t xml:space="preserve"> </w:t>
      </w:r>
      <w:r w:rsidRPr="00875A8B">
        <w:rPr>
          <w:rFonts w:cs="TimesNewRomanPSMT"/>
          <w:color w:val="000000"/>
          <w:sz w:val="24"/>
          <w:szCs w:val="24"/>
        </w:rPr>
        <w:t>reporting of higher than arm’s length level of</w:t>
      </w:r>
      <w:r w:rsidR="00A75577" w:rsidRPr="00875A8B">
        <w:rPr>
          <w:rFonts w:cs="TimesNewRomanPSMT"/>
          <w:color w:val="000000"/>
          <w:sz w:val="24"/>
          <w:szCs w:val="24"/>
        </w:rPr>
        <w:t xml:space="preserve"> </w:t>
      </w:r>
      <w:r w:rsidRPr="00875A8B">
        <w:rPr>
          <w:rFonts w:cs="TimesNewRomanPSMT"/>
          <w:color w:val="000000"/>
          <w:sz w:val="24"/>
          <w:szCs w:val="24"/>
        </w:rPr>
        <w:t>income in one j</w:t>
      </w:r>
      <w:r w:rsidR="002A7E39">
        <w:rPr>
          <w:rFonts w:cs="TimesNewRomanPSMT"/>
          <w:color w:val="000000"/>
          <w:sz w:val="24"/>
          <w:szCs w:val="24"/>
        </w:rPr>
        <w:t>urisdiction</w:t>
      </w:r>
      <w:r w:rsidRPr="00875A8B">
        <w:rPr>
          <w:rFonts w:cs="TimesNewRomanPSMT"/>
          <w:color w:val="000000"/>
          <w:sz w:val="24"/>
          <w:szCs w:val="24"/>
        </w:rPr>
        <w:t xml:space="preserve"> need not be necessarily accepted</w:t>
      </w:r>
      <w:r w:rsidR="00A75577" w:rsidRPr="00875A8B">
        <w:rPr>
          <w:rFonts w:cs="TimesNewRomanPSMT"/>
          <w:color w:val="000000"/>
          <w:sz w:val="24"/>
          <w:szCs w:val="24"/>
        </w:rPr>
        <w:t xml:space="preserve"> </w:t>
      </w:r>
      <w:r w:rsidRPr="00875A8B">
        <w:rPr>
          <w:rFonts w:cs="TimesNewRomanPSMT"/>
          <w:color w:val="000000"/>
          <w:sz w:val="24"/>
          <w:szCs w:val="24"/>
        </w:rPr>
        <w:t>by the tax administration in the other jurisdiction.</w:t>
      </w:r>
      <w:r w:rsidR="009A30F5" w:rsidRPr="00875A8B">
        <w:rPr>
          <w:rFonts w:cs="TimesNewRomanPSMT"/>
          <w:color w:val="000000"/>
          <w:sz w:val="24"/>
          <w:szCs w:val="24"/>
        </w:rPr>
        <w:t xml:space="preserve"> </w:t>
      </w:r>
    </w:p>
    <w:p w:rsidR="00115EBA" w:rsidRPr="00115EBA" w:rsidRDefault="00CF5D31" w:rsidP="00CF5D31">
      <w:pPr>
        <w:pStyle w:val="ListParagraph"/>
        <w:numPr>
          <w:ilvl w:val="0"/>
          <w:numId w:val="4"/>
        </w:numPr>
        <w:autoSpaceDE w:val="0"/>
        <w:autoSpaceDN w:val="0"/>
        <w:adjustRightInd w:val="0"/>
        <w:spacing w:after="0" w:line="240" w:lineRule="auto"/>
        <w:jc w:val="both"/>
        <w:rPr>
          <w:rFonts w:cs="TimesNewRomanPSMT"/>
          <w:color w:val="000000"/>
          <w:sz w:val="24"/>
          <w:szCs w:val="24"/>
        </w:rPr>
      </w:pPr>
      <w:r w:rsidRPr="00875A8B">
        <w:rPr>
          <w:rStyle w:val="Heading2Char"/>
          <w:rFonts w:asciiTheme="minorHAnsi" w:hAnsiTheme="minorHAnsi"/>
          <w:sz w:val="24"/>
          <w:szCs w:val="24"/>
        </w:rPr>
        <w:t xml:space="preserve">Impose Burden: </w:t>
      </w:r>
      <w:r w:rsidRPr="00875A8B">
        <w:rPr>
          <w:sz w:val="24"/>
          <w:szCs w:val="24"/>
        </w:rPr>
        <w:t xml:space="preserve">Safe harbour rules continue to impose the burden of maintaining transfer pricing documentation on taxpayers opting for it. Excluding taxpayers transacting with low tax or no tax countries from the ambit of safe harbour rules creates a further exception. </w:t>
      </w:r>
    </w:p>
    <w:p w:rsidR="00CF5D31" w:rsidRPr="00115EBA" w:rsidRDefault="00115EBA" w:rsidP="00115EBA">
      <w:pPr>
        <w:pStyle w:val="ListParagraph"/>
        <w:numPr>
          <w:ilvl w:val="0"/>
          <w:numId w:val="4"/>
        </w:numPr>
        <w:autoSpaceDE w:val="0"/>
        <w:autoSpaceDN w:val="0"/>
        <w:adjustRightInd w:val="0"/>
        <w:spacing w:after="0" w:line="240" w:lineRule="auto"/>
        <w:jc w:val="both"/>
        <w:rPr>
          <w:rFonts w:ascii="TimesNewRomanPSMT" w:hAnsi="TimesNewRomanPSMT" w:cs="TimesNewRomanPSMT"/>
          <w:sz w:val="21"/>
          <w:szCs w:val="21"/>
        </w:rPr>
      </w:pPr>
      <w:r w:rsidRPr="00115EBA">
        <w:rPr>
          <w:rStyle w:val="Heading2Char"/>
          <w:rFonts w:asciiTheme="minorHAnsi" w:hAnsiTheme="minorHAnsi"/>
          <w:sz w:val="24"/>
          <w:szCs w:val="24"/>
        </w:rPr>
        <w:t>Risk of Subjectivity &amp; Litigation:</w:t>
      </w:r>
      <w:r w:rsidRPr="00115EBA">
        <w:rPr>
          <w:rFonts w:cs="TimesNewRomanPSMT"/>
          <w:color w:val="000000"/>
          <w:sz w:val="24"/>
          <w:szCs w:val="24"/>
        </w:rPr>
        <w:t xml:space="preserve"> </w:t>
      </w:r>
      <w:r w:rsidRPr="00115EBA">
        <w:rPr>
          <w:rFonts w:cs="TimesNewRomanPSMT"/>
          <w:sz w:val="24"/>
          <w:szCs w:val="24"/>
        </w:rPr>
        <w:t>The industry at large feels</w:t>
      </w:r>
      <w:r>
        <w:rPr>
          <w:rFonts w:cs="TimesNewRomanPSMT"/>
          <w:sz w:val="24"/>
          <w:szCs w:val="24"/>
        </w:rPr>
        <w:t xml:space="preserve"> </w:t>
      </w:r>
      <w:r w:rsidRPr="00115EBA">
        <w:rPr>
          <w:rFonts w:cs="TimesNewRomanPSMT"/>
          <w:sz w:val="24"/>
          <w:szCs w:val="24"/>
        </w:rPr>
        <w:t>that segregating IT services into software services and</w:t>
      </w:r>
      <w:r>
        <w:rPr>
          <w:rFonts w:cs="TimesNewRomanPSMT"/>
          <w:sz w:val="24"/>
          <w:szCs w:val="24"/>
        </w:rPr>
        <w:t xml:space="preserve"> </w:t>
      </w:r>
      <w:r w:rsidRPr="00115EBA">
        <w:rPr>
          <w:rFonts w:cs="TimesNewRomanPSMT"/>
          <w:sz w:val="24"/>
          <w:szCs w:val="24"/>
        </w:rPr>
        <w:t>contract R&amp;D services is complicated since many of</w:t>
      </w:r>
      <w:r w:rsidR="00A87BDA">
        <w:rPr>
          <w:rFonts w:cs="TimesNewRomanPSMT"/>
          <w:sz w:val="24"/>
          <w:szCs w:val="24"/>
        </w:rPr>
        <w:t xml:space="preserve"> </w:t>
      </w:r>
      <w:r w:rsidRPr="00115EBA">
        <w:rPr>
          <w:rFonts w:cs="TimesNewRomanPSMT"/>
          <w:sz w:val="24"/>
          <w:szCs w:val="24"/>
        </w:rPr>
        <w:t>the activities may be overlapping and would require</w:t>
      </w:r>
      <w:r>
        <w:rPr>
          <w:rFonts w:cs="TimesNewRomanPSMT"/>
          <w:sz w:val="24"/>
          <w:szCs w:val="24"/>
        </w:rPr>
        <w:t xml:space="preserve"> </w:t>
      </w:r>
      <w:r w:rsidRPr="00115EBA">
        <w:rPr>
          <w:rFonts w:cs="TimesNewRomanPSMT"/>
          <w:sz w:val="24"/>
          <w:szCs w:val="24"/>
        </w:rPr>
        <w:t>a more technical analysis than envisaged in the rules.</w:t>
      </w:r>
      <w:r w:rsidR="00CF5D31" w:rsidRPr="00115EBA">
        <w:rPr>
          <w:rFonts w:cs="TimesNewRomanPSMT"/>
          <w:color w:val="000000"/>
          <w:sz w:val="24"/>
          <w:szCs w:val="24"/>
        </w:rPr>
        <w:t xml:space="preserve"> </w:t>
      </w:r>
    </w:p>
    <w:p w:rsidR="00A75577" w:rsidRPr="00875A8B" w:rsidRDefault="00A75577" w:rsidP="00A75577">
      <w:pPr>
        <w:pStyle w:val="Heading1"/>
        <w:rPr>
          <w:rFonts w:asciiTheme="minorHAnsi" w:hAnsiTheme="minorHAnsi"/>
        </w:rPr>
      </w:pPr>
      <w:r w:rsidRPr="00875A8B">
        <w:rPr>
          <w:rFonts w:asciiTheme="minorHAnsi" w:hAnsiTheme="minorHAnsi"/>
        </w:rPr>
        <w:t>Conclusive Thought</w:t>
      </w:r>
    </w:p>
    <w:p w:rsidR="00A75577" w:rsidRPr="00875A8B" w:rsidRDefault="00A75577" w:rsidP="00A75577">
      <w:pPr>
        <w:pStyle w:val="Heading2"/>
        <w:jc w:val="both"/>
        <w:rPr>
          <w:rFonts w:asciiTheme="minorHAnsi" w:hAnsiTheme="minorHAnsi"/>
        </w:rPr>
      </w:pPr>
      <w:r w:rsidRPr="00875A8B">
        <w:rPr>
          <w:rFonts w:asciiTheme="minorHAnsi" w:hAnsiTheme="minorHAnsi"/>
        </w:rPr>
        <w:t xml:space="preserve">Transfer Pricing is often identified as one of the most serious tax issues facing </w:t>
      </w:r>
      <w:r w:rsidR="009A30F5" w:rsidRPr="00875A8B">
        <w:rPr>
          <w:rFonts w:asciiTheme="minorHAnsi" w:hAnsiTheme="minorHAnsi"/>
        </w:rPr>
        <w:t>corporate</w:t>
      </w:r>
      <w:r w:rsidRPr="00875A8B">
        <w:rPr>
          <w:rFonts w:asciiTheme="minorHAnsi" w:hAnsiTheme="minorHAnsi"/>
        </w:rPr>
        <w:t xml:space="preserve"> in India. In the face of growing uncertainty and litigation, the Government’s announcement of safe harbour rules has been welcomed by all quarters. However, doubts remain on whether these rules will entirely help achieve the stated objectives of reduced Transfer Pricing disputes and usher in more certainty unless resolved appropriately.</w:t>
      </w:r>
      <w:r w:rsidR="00115EBA">
        <w:rPr>
          <w:rFonts w:asciiTheme="minorHAnsi" w:hAnsiTheme="minorHAnsi"/>
        </w:rPr>
        <w:t xml:space="preserve"> Therefore, the safe harbour regime to successfully work </w:t>
      </w:r>
      <w:r w:rsidR="00A87BDA">
        <w:rPr>
          <w:rFonts w:asciiTheme="minorHAnsi" w:hAnsiTheme="minorHAnsi"/>
        </w:rPr>
        <w:t>in India would needed effective implementation measures by the tax authorities.</w:t>
      </w:r>
    </w:p>
    <w:sectPr w:rsidR="00A75577" w:rsidRPr="00875A8B" w:rsidSect="00375D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Italic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2213"/>
    <w:multiLevelType w:val="hybridMultilevel"/>
    <w:tmpl w:val="C45C9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11382"/>
    <w:multiLevelType w:val="hybridMultilevel"/>
    <w:tmpl w:val="E2A0D460"/>
    <w:lvl w:ilvl="0" w:tplc="4D38C772">
      <w:numFmt w:val="bullet"/>
      <w:lvlText w:val="•"/>
      <w:lvlJc w:val="left"/>
      <w:pPr>
        <w:ind w:left="720" w:hanging="360"/>
      </w:pPr>
      <w:rPr>
        <w:rFonts w:ascii="Calibri" w:eastAsiaTheme="majorEastAsia" w:hAnsi="Calibri" w:cstheme="majorBidi" w:hint="default"/>
        <w:b/>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56D50"/>
    <w:multiLevelType w:val="multilevel"/>
    <w:tmpl w:val="CB70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257DAA"/>
    <w:multiLevelType w:val="hybridMultilevel"/>
    <w:tmpl w:val="5C443084"/>
    <w:lvl w:ilvl="0" w:tplc="EFBC98BE">
      <w:numFmt w:val="bullet"/>
      <w:lvlText w:val="•"/>
      <w:lvlJc w:val="left"/>
      <w:pPr>
        <w:ind w:left="720" w:hanging="360"/>
      </w:pPr>
      <w:rPr>
        <w:rFonts w:ascii="Calibri" w:eastAsiaTheme="minorHAnsi" w:hAnsi="Calibri"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CA20D6"/>
    <w:multiLevelType w:val="hybridMultilevel"/>
    <w:tmpl w:val="EF8A4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72513"/>
    <w:multiLevelType w:val="hybridMultilevel"/>
    <w:tmpl w:val="23469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A97AEC"/>
    <w:rsid w:val="00115EBA"/>
    <w:rsid w:val="0016242E"/>
    <w:rsid w:val="00234621"/>
    <w:rsid w:val="00263E3D"/>
    <w:rsid w:val="00293390"/>
    <w:rsid w:val="002A2CE7"/>
    <w:rsid w:val="002A7E39"/>
    <w:rsid w:val="00375DEC"/>
    <w:rsid w:val="00457306"/>
    <w:rsid w:val="005F6586"/>
    <w:rsid w:val="0063721F"/>
    <w:rsid w:val="006F44B1"/>
    <w:rsid w:val="007B73B4"/>
    <w:rsid w:val="007B7AEA"/>
    <w:rsid w:val="00856367"/>
    <w:rsid w:val="00875A8B"/>
    <w:rsid w:val="009A2CF9"/>
    <w:rsid w:val="009A30F5"/>
    <w:rsid w:val="009A7AD2"/>
    <w:rsid w:val="00A75577"/>
    <w:rsid w:val="00A87BDA"/>
    <w:rsid w:val="00A97AEC"/>
    <w:rsid w:val="00B10D17"/>
    <w:rsid w:val="00BE14ED"/>
    <w:rsid w:val="00CB7E5B"/>
    <w:rsid w:val="00CF5D31"/>
    <w:rsid w:val="00D7668A"/>
    <w:rsid w:val="00F0497A"/>
    <w:rsid w:val="00F25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EC"/>
  </w:style>
  <w:style w:type="paragraph" w:styleId="Heading1">
    <w:name w:val="heading 1"/>
    <w:basedOn w:val="Normal"/>
    <w:next w:val="Normal"/>
    <w:link w:val="Heading1Char"/>
    <w:uiPriority w:val="9"/>
    <w:qFormat/>
    <w:rsid w:val="00A97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7A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73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E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E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97A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7AE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A7AD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63E3D"/>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263E3D"/>
    <w:pPr>
      <w:spacing w:before="100" w:beforeAutospacing="1" w:after="100" w:afterAutospacing="1" w:line="240" w:lineRule="auto"/>
    </w:pPr>
    <w:rPr>
      <w:rFonts w:ascii="Times New Roman" w:eastAsia="Times New Roman" w:hAnsi="Times New Roman" w:cs="Times New Roman"/>
      <w:sz w:val="24"/>
      <w:szCs w:val="24"/>
    </w:rPr>
  </w:style>
  <w:style w:type="table" w:styleId="LightGrid-Accent5">
    <w:name w:val="Light Grid Accent 5"/>
    <w:basedOn w:val="TableNormal"/>
    <w:uiPriority w:val="62"/>
    <w:rsid w:val="00263E3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eading3Char">
    <w:name w:val="Heading 3 Char"/>
    <w:basedOn w:val="DefaultParagraphFont"/>
    <w:link w:val="Heading3"/>
    <w:uiPriority w:val="9"/>
    <w:semiHidden/>
    <w:rsid w:val="00457306"/>
    <w:rPr>
      <w:rFonts w:asciiTheme="majorHAnsi" w:eastAsiaTheme="majorEastAsia" w:hAnsiTheme="majorHAnsi" w:cstheme="majorBidi"/>
      <w:b/>
      <w:bCs/>
      <w:color w:val="4F81BD" w:themeColor="accent1"/>
    </w:rPr>
  </w:style>
  <w:style w:type="table" w:styleId="MediumShading1-Accent5">
    <w:name w:val="Medium Shading 1 Accent 5"/>
    <w:basedOn w:val="TableNormal"/>
    <w:uiPriority w:val="63"/>
    <w:rsid w:val="00457306"/>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2-Accent5">
    <w:name w:val="Medium List 2 Accent 5"/>
    <w:basedOn w:val="TableNormal"/>
    <w:uiPriority w:val="66"/>
    <w:rsid w:val="0045730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A75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77"/>
    <w:rPr>
      <w:rFonts w:ascii="Tahoma" w:hAnsi="Tahoma" w:cs="Tahoma"/>
      <w:sz w:val="16"/>
      <w:szCs w:val="16"/>
    </w:rPr>
  </w:style>
  <w:style w:type="paragraph" w:styleId="ListParagraph">
    <w:name w:val="List Paragraph"/>
    <w:basedOn w:val="Normal"/>
    <w:uiPriority w:val="34"/>
    <w:qFormat/>
    <w:rsid w:val="00CF5D31"/>
    <w:pPr>
      <w:ind w:left="720"/>
      <w:contextualSpacing/>
    </w:pPr>
  </w:style>
  <w:style w:type="paragraph" w:customStyle="1" w:styleId="body">
    <w:name w:val="body"/>
    <w:basedOn w:val="Normal"/>
    <w:rsid w:val="00CF5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6367"/>
    <w:rPr>
      <w:color w:val="0000FF"/>
      <w:u w:val="single"/>
    </w:rPr>
  </w:style>
  <w:style w:type="table" w:styleId="MediumGrid1-Accent5">
    <w:name w:val="Medium Grid 1 Accent 5"/>
    <w:basedOn w:val="TableNormal"/>
    <w:uiPriority w:val="67"/>
    <w:rsid w:val="00F0497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6B07A-087F-49BC-8F41-90C5B043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dc:creator>
  <cp:keywords/>
  <dc:description/>
  <cp:lastModifiedBy>AOC</cp:lastModifiedBy>
  <cp:revision>11</cp:revision>
  <dcterms:created xsi:type="dcterms:W3CDTF">2013-11-29T14:51:00Z</dcterms:created>
  <dcterms:modified xsi:type="dcterms:W3CDTF">2014-01-09T07:07:00Z</dcterms:modified>
</cp:coreProperties>
</file>