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A09" w:rsidRPr="001758A5" w:rsidRDefault="00203AFE">
      <w:pPr>
        <w:rPr>
          <w:rFonts w:ascii="EYInterstate Light" w:hAnsi="EYInterstate Light"/>
          <w:b/>
          <w:sz w:val="32"/>
        </w:rPr>
      </w:pPr>
      <w:r w:rsidRPr="001758A5">
        <w:rPr>
          <w:rFonts w:ascii="EYInterstate Light" w:hAnsi="EYInterstate Light"/>
          <w:b/>
          <w:sz w:val="32"/>
        </w:rPr>
        <w:t>An addition to the transfer pricing family “Qatar”</w:t>
      </w:r>
    </w:p>
    <w:p w:rsidR="00203AFE" w:rsidRDefault="00203AFE">
      <w:pPr>
        <w:rPr>
          <w:rFonts w:ascii="EYInterstate Light" w:hAnsi="EYInterstate Light"/>
        </w:rPr>
      </w:pPr>
      <w:r>
        <w:rPr>
          <w:rFonts w:ascii="EYInterstate Light" w:hAnsi="EYInterstate Light"/>
        </w:rPr>
        <w:t xml:space="preserve">Qatar has introduced transfer pricing guidelines vide tax law no. 21 of 2009 (Qatar Income Tax Laws) and it’s supporting Executive regulations as Qatar Financial Centre (“QFC”) </w:t>
      </w:r>
      <w:r w:rsidR="001758A5">
        <w:rPr>
          <w:rFonts w:ascii="EYInterstate Light" w:hAnsi="EYInterstate Light"/>
        </w:rPr>
        <w:t>tax law which was published recently in the official Gazette, and is applicable retrospectively from January 1, 2010. T</w:t>
      </w:r>
      <w:r w:rsidR="001758A5" w:rsidRPr="001758A5">
        <w:rPr>
          <w:rFonts w:ascii="EYInterstate Light" w:hAnsi="EYInterstate Light"/>
        </w:rPr>
        <w:t xml:space="preserve">he new law introduces new concepts including a </w:t>
      </w:r>
      <w:proofErr w:type="spellStart"/>
      <w:r w:rsidR="001758A5" w:rsidRPr="001758A5">
        <w:rPr>
          <w:rFonts w:ascii="EYInterstate Light" w:hAnsi="EYInterstate Light"/>
        </w:rPr>
        <w:t>self assessment</w:t>
      </w:r>
      <w:proofErr w:type="spellEnd"/>
      <w:r w:rsidR="001758A5" w:rsidRPr="001758A5">
        <w:rPr>
          <w:rFonts w:ascii="EYInterstate Light" w:hAnsi="EYInterstate Light"/>
        </w:rPr>
        <w:t xml:space="preserve"> regime, an advance ruling scheme and specific rules for Islamic finance. A few key highlights of the new law are provided below as it pertains to transfer pricing</w:t>
      </w:r>
      <w:r w:rsidR="001758A5">
        <w:rPr>
          <w:rFonts w:ascii="EYInterstate Light" w:hAnsi="EYInterstate Light"/>
        </w:rPr>
        <w:t>.</w:t>
      </w:r>
    </w:p>
    <w:p w:rsidR="001758A5" w:rsidRDefault="001758A5">
      <w:pPr>
        <w:rPr>
          <w:rFonts w:ascii="EYInterstate Light" w:hAnsi="EYInterstate Light"/>
        </w:rPr>
      </w:pPr>
      <w:r>
        <w:rPr>
          <w:rFonts w:ascii="EYInterstate Light" w:hAnsi="EYInterstate Light"/>
        </w:rPr>
        <w:t>As per the QFC law, parties are associated with each other if:</w:t>
      </w:r>
    </w:p>
    <w:p w:rsidR="001758A5" w:rsidRDefault="001758A5" w:rsidP="001758A5">
      <w:pPr>
        <w:pStyle w:val="ListParagraph"/>
        <w:numPr>
          <w:ilvl w:val="0"/>
          <w:numId w:val="1"/>
        </w:numPr>
        <w:rPr>
          <w:rFonts w:ascii="EYInterstate Light" w:hAnsi="EYInterstate Light"/>
        </w:rPr>
      </w:pPr>
      <w:r>
        <w:rPr>
          <w:rFonts w:ascii="EYInterstate Light" w:hAnsi="EYInterstate Light"/>
        </w:rPr>
        <w:t>For natural persons, where one of them is a spouse, an in-law or a relative up to the fourth degree</w:t>
      </w:r>
    </w:p>
    <w:p w:rsidR="001758A5" w:rsidRDefault="001758A5" w:rsidP="001758A5">
      <w:pPr>
        <w:pStyle w:val="ListParagraph"/>
        <w:numPr>
          <w:ilvl w:val="0"/>
          <w:numId w:val="1"/>
        </w:numPr>
        <w:rPr>
          <w:rFonts w:ascii="EYInterstate Light" w:hAnsi="EYInterstate Light"/>
        </w:rPr>
      </w:pPr>
      <w:r w:rsidRPr="001758A5">
        <w:rPr>
          <w:rFonts w:ascii="EYInterstate Light" w:hAnsi="EYInterstate Light"/>
        </w:rPr>
        <w:t>For natural and legal persons, where the natural person owns, alone or with other related person or persons, directly or indirectly, more than 50% of the capital, voting rights or income rights of the legal person</w:t>
      </w:r>
    </w:p>
    <w:p w:rsidR="001758A5" w:rsidRDefault="001758A5" w:rsidP="001758A5">
      <w:pPr>
        <w:pStyle w:val="ListParagraph"/>
        <w:numPr>
          <w:ilvl w:val="0"/>
          <w:numId w:val="1"/>
        </w:numPr>
        <w:rPr>
          <w:rFonts w:ascii="EYInterstate Light" w:hAnsi="EYInterstate Light"/>
        </w:rPr>
      </w:pPr>
      <w:r w:rsidRPr="001758A5">
        <w:rPr>
          <w:rFonts w:ascii="EYInterstate Light" w:hAnsi="EYInterstate Light"/>
        </w:rPr>
        <w:t>For legal persons, where one of them owns, alone or with other related person or persons, more than 50% of the capital, voting rights or income rights of the other, or where another person, or other related persons, own, directly or indirectly, more than 50% of the capital, voting rights or income rights of both legal persons</w:t>
      </w:r>
      <w:r>
        <w:rPr>
          <w:rFonts w:ascii="EYInterstate Light" w:hAnsi="EYInterstate Light"/>
        </w:rPr>
        <w:t>.</w:t>
      </w:r>
    </w:p>
    <w:p w:rsidR="001758A5" w:rsidRDefault="001758A5" w:rsidP="001758A5">
      <w:pPr>
        <w:rPr>
          <w:rFonts w:ascii="EYInterstate Light" w:hAnsi="EYInterstate Light"/>
        </w:rPr>
      </w:pPr>
      <w:r>
        <w:rPr>
          <w:rFonts w:ascii="EYInterstate Light" w:hAnsi="EYInterstate Light"/>
        </w:rPr>
        <w:t>The guidelines are based largely on the OECD model; however there is no mention of OECD in the law itself</w:t>
      </w:r>
    </w:p>
    <w:p w:rsidR="001758A5" w:rsidRDefault="001758A5" w:rsidP="001758A5">
      <w:pPr>
        <w:rPr>
          <w:rFonts w:ascii="EYInterstate Light" w:hAnsi="EYInterstate Light"/>
        </w:rPr>
      </w:pPr>
      <w:r w:rsidRPr="001758A5">
        <w:rPr>
          <w:rFonts w:ascii="EYInterstate Light" w:hAnsi="EYInterstate Light"/>
        </w:rPr>
        <w:t xml:space="preserve">As per the QFC Tax Law, the market price in the case of related party transactions should be determined in accordance with the </w:t>
      </w:r>
      <w:r>
        <w:rPr>
          <w:rFonts w:ascii="EYInterstate Light" w:hAnsi="EYInterstate Light"/>
        </w:rPr>
        <w:t>comparable uncontrolled price</w:t>
      </w:r>
      <w:r w:rsidRPr="001758A5">
        <w:rPr>
          <w:rFonts w:ascii="EYInterstate Light" w:hAnsi="EYInterstate Light"/>
        </w:rPr>
        <w:t xml:space="preserve"> method (</w:t>
      </w:r>
      <w:r>
        <w:rPr>
          <w:rFonts w:ascii="EYInterstate Light" w:hAnsi="EYInterstate Light"/>
        </w:rPr>
        <w:t>“CUP”)</w:t>
      </w:r>
      <w:r w:rsidRPr="001758A5">
        <w:rPr>
          <w:rFonts w:ascii="EYInterstate Light" w:hAnsi="EYInterstate Light"/>
        </w:rPr>
        <w:t xml:space="preserve">. In cases where the necessary information is not available to apply the </w:t>
      </w:r>
      <w:r w:rsidR="00106D87">
        <w:rPr>
          <w:rFonts w:ascii="EYInterstate Light" w:hAnsi="EYInterstate Light"/>
        </w:rPr>
        <w:t xml:space="preserve">CUP </w:t>
      </w:r>
      <w:r w:rsidRPr="001758A5">
        <w:rPr>
          <w:rFonts w:ascii="EYInterstate Light" w:hAnsi="EYInterstate Light"/>
        </w:rPr>
        <w:t>method, the taxpayer may apply any of the specified methods in the OECD Guidelines</w:t>
      </w:r>
      <w:r w:rsidR="00106D87">
        <w:rPr>
          <w:rFonts w:ascii="EYInterstate Light" w:hAnsi="EYInterstate Light"/>
        </w:rPr>
        <w:t xml:space="preserve"> by submitting an application to Public Revenue and Taxes Department (“PRTD”)</w:t>
      </w:r>
      <w:r w:rsidRPr="001758A5">
        <w:rPr>
          <w:rFonts w:ascii="EYInterstate Light" w:hAnsi="EYInterstate Light"/>
        </w:rPr>
        <w:t>.</w:t>
      </w:r>
    </w:p>
    <w:p w:rsidR="00106D87" w:rsidRDefault="00106D87" w:rsidP="001758A5">
      <w:pPr>
        <w:rPr>
          <w:rFonts w:ascii="EYInterstate Light" w:hAnsi="EYInterstate Light"/>
        </w:rPr>
      </w:pPr>
      <w:r>
        <w:rPr>
          <w:rFonts w:ascii="EYInterstate Light" w:hAnsi="EYInterstate Light"/>
        </w:rPr>
        <w:t xml:space="preserve">There is no </w:t>
      </w:r>
      <w:r w:rsidRPr="00106D87">
        <w:rPr>
          <w:rFonts w:ascii="EYInterstate Light" w:hAnsi="EYInterstate Light"/>
        </w:rPr>
        <w:t xml:space="preserve">specific </w:t>
      </w:r>
      <w:r>
        <w:rPr>
          <w:rFonts w:ascii="EYInterstate Light" w:hAnsi="EYInterstate Light"/>
        </w:rPr>
        <w:t xml:space="preserve">provision for </w:t>
      </w:r>
      <w:r w:rsidRPr="00106D87">
        <w:rPr>
          <w:rFonts w:ascii="EYInterstate Light" w:hAnsi="EYInterstate Light"/>
        </w:rPr>
        <w:t xml:space="preserve">documentation </w:t>
      </w:r>
      <w:r>
        <w:rPr>
          <w:rFonts w:ascii="EYInterstate Light" w:hAnsi="EYInterstate Light"/>
        </w:rPr>
        <w:t>in the law</w:t>
      </w:r>
      <w:r w:rsidRPr="00106D87">
        <w:rPr>
          <w:rFonts w:ascii="EYInterstate Light" w:hAnsi="EYInterstate Light"/>
        </w:rPr>
        <w:t>, but since the Qatar Income Tax Law requires the use of the CUP method, or other transfer pricing methods also authorized by the OECD, there is an implied requirement to have documentation in place. A written approval to use an OECD authorized transfer pricing method other than the CUP method may be obtained from the PRTD in advance of the related party transactions taking place.</w:t>
      </w:r>
    </w:p>
    <w:p w:rsidR="00E97DDC" w:rsidRDefault="00106D87" w:rsidP="001758A5">
      <w:pPr>
        <w:rPr>
          <w:rFonts w:ascii="EYInterstate Light" w:hAnsi="EYInterstate Light"/>
        </w:rPr>
      </w:pPr>
      <w:r>
        <w:rPr>
          <w:rFonts w:ascii="EYInterstate Light" w:hAnsi="EYInterstate Light"/>
        </w:rPr>
        <w:t xml:space="preserve">There are no penalty </w:t>
      </w:r>
      <w:r w:rsidR="00E97DDC">
        <w:rPr>
          <w:rFonts w:ascii="EYInterstate Light" w:hAnsi="EYInterstate Light"/>
        </w:rPr>
        <w:t>specific penalties for failure to properly document related party transactions, however, interest on any additional income tax due resulting from a transfer pricing adjustment may be levied at the rate of 1.5% per month of delay (capped at amount of income tax due). Also, t</w:t>
      </w:r>
      <w:r w:rsidR="00E97DDC" w:rsidRPr="00E97DDC">
        <w:rPr>
          <w:rFonts w:ascii="EYInterstate Light" w:hAnsi="EYInterstate Light"/>
        </w:rPr>
        <w:t>here is currently no requirement for contemporaneous transfer pricing documentation or for documentation to be submitted to the PRTD together with the filing of tax declaration.</w:t>
      </w:r>
    </w:p>
    <w:p w:rsidR="00E97DDC" w:rsidRPr="001758A5" w:rsidRDefault="00E97DDC" w:rsidP="001758A5">
      <w:pPr>
        <w:rPr>
          <w:rFonts w:ascii="EYInterstate Light" w:hAnsi="EYInterstate Light"/>
        </w:rPr>
      </w:pPr>
      <w:r>
        <w:rPr>
          <w:rFonts w:ascii="EYInterstate Light" w:hAnsi="EYInterstate Light"/>
        </w:rPr>
        <w:t>Qatar is the second Middle Eastern country after Egypt to introduce transfer pricing regulations, emphasising the growing importance of the subject worldwide.</w:t>
      </w:r>
      <w:bookmarkStart w:id="0" w:name="_GoBack"/>
      <w:bookmarkEnd w:id="0"/>
      <w:r>
        <w:rPr>
          <w:rFonts w:ascii="EYInterstate Light" w:hAnsi="EYInterstate Light"/>
        </w:rPr>
        <w:t xml:space="preserve"> </w:t>
      </w:r>
    </w:p>
    <w:sectPr w:rsidR="00E97DDC" w:rsidRPr="00175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0194E"/>
    <w:multiLevelType w:val="hybridMultilevel"/>
    <w:tmpl w:val="53E867CE"/>
    <w:lvl w:ilvl="0" w:tplc="B0E86826">
      <w:start w:val="1"/>
      <w:numFmt w:val="bullet"/>
      <w:lvlText w:val=""/>
      <w:lvlJc w:val="left"/>
      <w:pPr>
        <w:ind w:left="720" w:hanging="360"/>
      </w:pPr>
      <w:rPr>
        <w:rFonts w:ascii="Wingdings" w:hAnsi="Wingdings" w:hint="default"/>
        <w:color w:val="FFFF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AFE"/>
    <w:rsid w:val="00106D87"/>
    <w:rsid w:val="001107D2"/>
    <w:rsid w:val="001758A5"/>
    <w:rsid w:val="00203AFE"/>
    <w:rsid w:val="00D2625D"/>
    <w:rsid w:val="00E97D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8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 Pandey</dc:creator>
  <cp:lastModifiedBy>Rohan Pandey</cp:lastModifiedBy>
  <cp:revision>1</cp:revision>
  <dcterms:created xsi:type="dcterms:W3CDTF">2013-08-16T04:25:00Z</dcterms:created>
  <dcterms:modified xsi:type="dcterms:W3CDTF">2013-08-16T05:08:00Z</dcterms:modified>
</cp:coreProperties>
</file>