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750" w:rsidRDefault="00D21750" w:rsidP="002D6161">
      <w:pPr>
        <w:pStyle w:val="NormalWeb"/>
        <w:shd w:val="clear" w:color="auto" w:fill="FFFFFF"/>
        <w:spacing w:before="0" w:beforeAutospacing="0" w:after="0" w:afterAutospacing="0" w:line="272" w:lineRule="atLeast"/>
        <w:jc w:val="center"/>
        <w:rPr>
          <w:rStyle w:val="Strong"/>
          <w:rFonts w:ascii="Arial" w:hAnsi="Arial" w:cs="Arial"/>
          <w:color w:val="5E5E5E"/>
          <w:u w:val="single"/>
        </w:rPr>
      </w:pPr>
      <w:r w:rsidRPr="00D21750">
        <w:rPr>
          <w:rStyle w:val="Strong"/>
          <w:rFonts w:ascii="Arial" w:hAnsi="Arial" w:cs="Arial"/>
          <w:color w:val="5E5E5E"/>
          <w:u w:val="single"/>
        </w:rPr>
        <w:t xml:space="preserve">DEPRECIATION ON COMPUTER </w:t>
      </w:r>
      <w:proofErr w:type="gramStart"/>
      <w:r w:rsidRPr="00D21750">
        <w:rPr>
          <w:rStyle w:val="Strong"/>
          <w:rFonts w:ascii="Arial" w:hAnsi="Arial" w:cs="Arial"/>
          <w:color w:val="5E5E5E"/>
          <w:u w:val="single"/>
        </w:rPr>
        <w:t>PERIPHERALS :</w:t>
      </w:r>
      <w:proofErr w:type="gramEnd"/>
    </w:p>
    <w:p w:rsidR="00D21750" w:rsidRPr="00D21750" w:rsidRDefault="00D21750" w:rsidP="002750F6">
      <w:pPr>
        <w:pStyle w:val="NormalWeb"/>
        <w:shd w:val="clear" w:color="auto" w:fill="FFFFFF"/>
        <w:spacing w:before="0" w:beforeAutospacing="0" w:after="0" w:afterAutospacing="0" w:line="272" w:lineRule="atLeast"/>
        <w:rPr>
          <w:rStyle w:val="Strong"/>
          <w:rFonts w:ascii="Arial" w:hAnsi="Arial" w:cs="Arial"/>
          <w:color w:val="5E5E5E"/>
          <w:u w:val="single"/>
        </w:rPr>
      </w:pPr>
    </w:p>
    <w:p w:rsidR="002750F6" w:rsidRDefault="002750F6" w:rsidP="002750F6">
      <w:pPr>
        <w:pStyle w:val="NormalWeb"/>
        <w:shd w:val="clear" w:color="auto" w:fill="FFFFFF"/>
        <w:spacing w:before="0" w:beforeAutospacing="0" w:after="0" w:afterAutospacing="0" w:line="272" w:lineRule="atLeast"/>
        <w:rPr>
          <w:rFonts w:ascii="Arial" w:hAnsi="Arial" w:cs="Arial"/>
          <w:color w:val="5E5E5E"/>
          <w:sz w:val="18"/>
          <w:szCs w:val="18"/>
        </w:rPr>
      </w:pPr>
      <w:r>
        <w:rPr>
          <w:rStyle w:val="Strong"/>
          <w:rFonts w:ascii="Arial" w:hAnsi="Arial" w:cs="Arial"/>
          <w:color w:val="5E5E5E"/>
          <w:sz w:val="18"/>
          <w:szCs w:val="18"/>
          <w:u w:val="single"/>
        </w:rPr>
        <w:t>CASE LAW DETAILS</w:t>
      </w:r>
      <w:r>
        <w:rPr>
          <w:rFonts w:ascii="Arial" w:hAnsi="Arial" w:cs="Arial"/>
          <w:color w:val="5E5E5E"/>
          <w:sz w:val="18"/>
          <w:szCs w:val="18"/>
        </w:rPr>
        <w:br/>
        <w:t>Decided by: ITAT, DELHI BENCH `B’: NEW DELHI</w:t>
      </w:r>
      <w:r>
        <w:rPr>
          <w:rFonts w:ascii="Arial" w:hAnsi="Arial" w:cs="Arial"/>
          <w:color w:val="5E5E5E"/>
          <w:sz w:val="18"/>
          <w:szCs w:val="18"/>
        </w:rPr>
        <w:br/>
        <w:t>In</w:t>
      </w:r>
      <w:r>
        <w:rPr>
          <w:rStyle w:val="apple-converted-space"/>
          <w:rFonts w:ascii="Arial" w:hAnsi="Arial" w:cs="Arial"/>
          <w:color w:val="5E5E5E"/>
          <w:sz w:val="18"/>
          <w:szCs w:val="18"/>
        </w:rPr>
        <w:t> </w:t>
      </w:r>
      <w:r>
        <w:rPr>
          <w:rStyle w:val="ilad"/>
          <w:rFonts w:ascii="Arial" w:hAnsi="Arial" w:cs="Arial"/>
          <w:color w:val="5E5E5E"/>
          <w:sz w:val="18"/>
          <w:szCs w:val="18"/>
        </w:rPr>
        <w:t>The case</w:t>
      </w:r>
      <w:r>
        <w:rPr>
          <w:rStyle w:val="apple-converted-space"/>
          <w:rFonts w:ascii="Arial" w:hAnsi="Arial" w:cs="Arial"/>
          <w:color w:val="5E5E5E"/>
          <w:sz w:val="18"/>
          <w:szCs w:val="18"/>
        </w:rPr>
        <w:t> </w:t>
      </w:r>
      <w:r>
        <w:rPr>
          <w:rFonts w:ascii="Arial" w:hAnsi="Arial" w:cs="Arial"/>
          <w:color w:val="5E5E5E"/>
          <w:sz w:val="18"/>
          <w:szCs w:val="18"/>
        </w:rPr>
        <w:t>of: ACIT v</w:t>
      </w:r>
      <w:r>
        <w:rPr>
          <w:rStyle w:val="apple-converted-space"/>
          <w:rFonts w:ascii="Arial" w:hAnsi="Arial" w:cs="Arial"/>
          <w:color w:val="5E5E5E"/>
          <w:sz w:val="18"/>
          <w:szCs w:val="18"/>
        </w:rPr>
        <w:t> </w:t>
      </w:r>
      <w:r>
        <w:rPr>
          <w:rStyle w:val="ilad"/>
          <w:rFonts w:ascii="Arial" w:hAnsi="Arial" w:cs="Arial"/>
          <w:color w:val="5E5E5E"/>
          <w:sz w:val="18"/>
          <w:szCs w:val="18"/>
        </w:rPr>
        <w:t>Container Corporation</w:t>
      </w:r>
      <w:r>
        <w:rPr>
          <w:rStyle w:val="apple-converted-space"/>
          <w:rFonts w:ascii="Arial" w:hAnsi="Arial" w:cs="Arial"/>
          <w:color w:val="5E5E5E"/>
          <w:sz w:val="18"/>
          <w:szCs w:val="18"/>
        </w:rPr>
        <w:t> </w:t>
      </w:r>
      <w:r>
        <w:rPr>
          <w:rFonts w:ascii="Arial" w:hAnsi="Arial" w:cs="Arial"/>
          <w:color w:val="5E5E5E"/>
          <w:sz w:val="18"/>
          <w:szCs w:val="18"/>
        </w:rPr>
        <w:t>of India Ltd</w:t>
      </w:r>
      <w:proofErr w:type="gramStart"/>
      <w:r>
        <w:rPr>
          <w:rFonts w:ascii="Arial" w:hAnsi="Arial" w:cs="Arial"/>
          <w:color w:val="5E5E5E"/>
          <w:sz w:val="18"/>
          <w:szCs w:val="18"/>
        </w:rPr>
        <w:t>.</w:t>
      </w:r>
      <w:proofErr w:type="gramEnd"/>
      <w:r>
        <w:rPr>
          <w:rFonts w:ascii="Arial" w:hAnsi="Arial" w:cs="Arial"/>
          <w:color w:val="5E5E5E"/>
          <w:sz w:val="18"/>
          <w:szCs w:val="18"/>
        </w:rPr>
        <w:br/>
        <w:t>Appeal No. : ITA Nos. 2851 &amp; 3680/Del/2007</w:t>
      </w:r>
      <w:r>
        <w:rPr>
          <w:rFonts w:ascii="Arial" w:hAnsi="Arial" w:cs="Arial"/>
          <w:color w:val="5E5E5E"/>
          <w:sz w:val="18"/>
          <w:szCs w:val="18"/>
        </w:rPr>
        <w:br/>
        <w:t>Decided on: February 27, 2009</w:t>
      </w:r>
    </w:p>
    <w:p w:rsidR="002750F6" w:rsidRDefault="002750F6" w:rsidP="002750F6">
      <w:pPr>
        <w:pStyle w:val="NormalWeb"/>
        <w:shd w:val="clear" w:color="auto" w:fill="FFFFFF"/>
        <w:spacing w:before="0" w:beforeAutospacing="0" w:after="0" w:afterAutospacing="0" w:line="272" w:lineRule="atLeast"/>
        <w:jc w:val="both"/>
        <w:rPr>
          <w:rStyle w:val="Strong"/>
          <w:rFonts w:ascii="Arial" w:hAnsi="Arial" w:cs="Arial"/>
          <w:color w:val="5E5E5E"/>
          <w:sz w:val="18"/>
          <w:szCs w:val="18"/>
          <w:u w:val="single"/>
        </w:rPr>
      </w:pPr>
    </w:p>
    <w:p w:rsidR="002750F6" w:rsidRDefault="002750F6" w:rsidP="002750F6">
      <w:pPr>
        <w:pStyle w:val="NormalWeb"/>
        <w:shd w:val="clear" w:color="auto" w:fill="FFFFFF"/>
        <w:spacing w:before="0" w:beforeAutospacing="0" w:after="0" w:afterAutospacing="0" w:line="272" w:lineRule="atLeast"/>
        <w:jc w:val="both"/>
        <w:rPr>
          <w:rFonts w:ascii="Arial" w:hAnsi="Arial" w:cs="Arial"/>
          <w:color w:val="5E5E5E"/>
          <w:sz w:val="18"/>
          <w:szCs w:val="18"/>
        </w:rPr>
      </w:pPr>
      <w:r>
        <w:rPr>
          <w:rStyle w:val="Strong"/>
          <w:rFonts w:ascii="Arial" w:hAnsi="Arial" w:cs="Arial"/>
          <w:color w:val="5E5E5E"/>
          <w:sz w:val="18"/>
          <w:szCs w:val="18"/>
          <w:u w:val="single"/>
        </w:rPr>
        <w:t>RELEVANT PARAGRAPHS:</w:t>
      </w:r>
    </w:p>
    <w:p w:rsidR="002750F6" w:rsidRDefault="002750F6" w:rsidP="002750F6">
      <w:pPr>
        <w:pStyle w:val="NormalWeb"/>
        <w:shd w:val="clear" w:color="auto" w:fill="FFFFFF"/>
        <w:spacing w:before="0" w:beforeAutospacing="0" w:after="0" w:afterAutospacing="0" w:line="272" w:lineRule="atLeast"/>
        <w:jc w:val="both"/>
        <w:rPr>
          <w:rFonts w:ascii="Arial" w:hAnsi="Arial" w:cs="Arial"/>
          <w:color w:val="5E5E5E"/>
          <w:sz w:val="18"/>
          <w:szCs w:val="18"/>
        </w:rPr>
      </w:pPr>
      <w:r>
        <w:rPr>
          <w:rFonts w:ascii="Arial" w:hAnsi="Arial" w:cs="Arial"/>
          <w:color w:val="5E5E5E"/>
          <w:sz w:val="18"/>
          <w:szCs w:val="18"/>
        </w:rPr>
        <w:t>40. The</w:t>
      </w:r>
      <w:r>
        <w:rPr>
          <w:rStyle w:val="apple-converted-space"/>
          <w:rFonts w:ascii="Arial" w:hAnsi="Arial" w:cs="Arial"/>
          <w:color w:val="5E5E5E"/>
          <w:sz w:val="18"/>
          <w:szCs w:val="18"/>
        </w:rPr>
        <w:t> </w:t>
      </w:r>
      <w:r>
        <w:rPr>
          <w:rStyle w:val="ilad"/>
          <w:rFonts w:ascii="Arial" w:hAnsi="Arial" w:cs="Arial"/>
          <w:color w:val="5E5E5E"/>
          <w:sz w:val="18"/>
          <w:szCs w:val="18"/>
        </w:rPr>
        <w:t>accessories and</w:t>
      </w:r>
      <w:r>
        <w:rPr>
          <w:rStyle w:val="apple-converted-space"/>
          <w:rFonts w:ascii="Arial" w:hAnsi="Arial" w:cs="Arial"/>
          <w:color w:val="5E5E5E"/>
          <w:sz w:val="18"/>
          <w:szCs w:val="18"/>
        </w:rPr>
        <w:t> </w:t>
      </w:r>
      <w:r>
        <w:rPr>
          <w:rStyle w:val="ilad"/>
          <w:rFonts w:ascii="Arial" w:hAnsi="Arial" w:cs="Arial"/>
          <w:color w:val="5E5E5E"/>
          <w:sz w:val="18"/>
          <w:szCs w:val="18"/>
        </w:rPr>
        <w:t>peripherals</w:t>
      </w:r>
      <w:r>
        <w:rPr>
          <w:rStyle w:val="apple-converted-space"/>
          <w:rFonts w:ascii="Arial" w:hAnsi="Arial" w:cs="Arial"/>
          <w:color w:val="5E5E5E"/>
          <w:sz w:val="18"/>
          <w:szCs w:val="18"/>
        </w:rPr>
        <w:t> </w:t>
      </w:r>
      <w:r>
        <w:rPr>
          <w:rFonts w:ascii="Arial" w:hAnsi="Arial" w:cs="Arial"/>
          <w:color w:val="5E5E5E"/>
          <w:sz w:val="18"/>
          <w:szCs w:val="18"/>
        </w:rPr>
        <w:t>of computers provide input processing, storage and various</w:t>
      </w:r>
      <w:r>
        <w:rPr>
          <w:rStyle w:val="apple-converted-space"/>
          <w:rFonts w:ascii="Arial" w:hAnsi="Arial" w:cs="Arial"/>
          <w:color w:val="5E5E5E"/>
          <w:sz w:val="18"/>
          <w:szCs w:val="18"/>
        </w:rPr>
        <w:t> </w:t>
      </w:r>
      <w:r>
        <w:rPr>
          <w:rStyle w:val="ilad"/>
          <w:rFonts w:ascii="Arial" w:hAnsi="Arial" w:cs="Arial"/>
          <w:color w:val="5E5E5E"/>
          <w:sz w:val="18"/>
          <w:szCs w:val="18"/>
        </w:rPr>
        <w:t>output devices</w:t>
      </w:r>
      <w:r>
        <w:rPr>
          <w:rFonts w:ascii="Arial" w:hAnsi="Arial" w:cs="Arial"/>
          <w:color w:val="5E5E5E"/>
          <w:sz w:val="18"/>
          <w:szCs w:val="18"/>
        </w:rPr>
        <w:t xml:space="preserve">. </w:t>
      </w:r>
      <w:proofErr w:type="spellStart"/>
      <w:r>
        <w:rPr>
          <w:rFonts w:ascii="Arial" w:hAnsi="Arial" w:cs="Arial"/>
          <w:color w:val="5E5E5E"/>
          <w:sz w:val="18"/>
          <w:szCs w:val="18"/>
        </w:rPr>
        <w:t>Theoutput</w:t>
      </w:r>
      <w:proofErr w:type="spellEnd"/>
      <w:r>
        <w:rPr>
          <w:rFonts w:ascii="Arial" w:hAnsi="Arial" w:cs="Arial"/>
          <w:color w:val="5E5E5E"/>
          <w:sz w:val="18"/>
          <w:szCs w:val="18"/>
        </w:rPr>
        <w:t xml:space="preserve"> devices</w:t>
      </w:r>
      <w:r>
        <w:rPr>
          <w:rStyle w:val="apple-converted-space"/>
          <w:rFonts w:ascii="Arial" w:hAnsi="Arial" w:cs="Arial"/>
          <w:color w:val="5E5E5E"/>
          <w:sz w:val="18"/>
          <w:szCs w:val="18"/>
        </w:rPr>
        <w:t> </w:t>
      </w:r>
      <w:r>
        <w:rPr>
          <w:rFonts w:ascii="Arial" w:hAnsi="Arial" w:cs="Arial"/>
          <w:color w:val="5E5E5E"/>
          <w:sz w:val="18"/>
          <w:szCs w:val="18"/>
        </w:rPr>
        <w:t>such as printer, scanner etc. are</w:t>
      </w:r>
      <w:r>
        <w:rPr>
          <w:rStyle w:val="apple-converted-space"/>
          <w:rFonts w:ascii="Arial" w:hAnsi="Arial" w:cs="Arial"/>
          <w:color w:val="5E5E5E"/>
          <w:sz w:val="18"/>
          <w:szCs w:val="18"/>
        </w:rPr>
        <w:t> </w:t>
      </w:r>
      <w:r>
        <w:rPr>
          <w:rStyle w:val="ilad"/>
          <w:rFonts w:ascii="Arial" w:hAnsi="Arial" w:cs="Arial"/>
          <w:color w:val="5E5E5E"/>
          <w:sz w:val="18"/>
          <w:szCs w:val="18"/>
        </w:rPr>
        <w:t>computer peripherals</w:t>
      </w:r>
      <w:r>
        <w:rPr>
          <w:rStyle w:val="apple-converted-space"/>
          <w:rFonts w:ascii="Arial" w:hAnsi="Arial" w:cs="Arial"/>
          <w:color w:val="5E5E5E"/>
          <w:sz w:val="18"/>
          <w:szCs w:val="18"/>
        </w:rPr>
        <w:t> </w:t>
      </w:r>
      <w:r>
        <w:rPr>
          <w:rFonts w:ascii="Arial" w:hAnsi="Arial" w:cs="Arial"/>
          <w:color w:val="5E5E5E"/>
          <w:sz w:val="18"/>
          <w:szCs w:val="18"/>
        </w:rPr>
        <w:t>and form essential parts of PC. These</w:t>
      </w:r>
      <w:r>
        <w:rPr>
          <w:rStyle w:val="apple-converted-space"/>
          <w:rFonts w:ascii="Arial" w:hAnsi="Arial" w:cs="Arial"/>
          <w:color w:val="5E5E5E"/>
          <w:sz w:val="18"/>
          <w:szCs w:val="18"/>
        </w:rPr>
        <w:t> </w:t>
      </w:r>
      <w:r>
        <w:rPr>
          <w:rFonts w:ascii="Arial" w:hAnsi="Arial" w:cs="Arial"/>
          <w:color w:val="5E5E5E"/>
          <w:sz w:val="18"/>
          <w:szCs w:val="18"/>
        </w:rPr>
        <w:t>output devices</w:t>
      </w:r>
      <w:r>
        <w:rPr>
          <w:rStyle w:val="apple-converted-space"/>
          <w:rFonts w:ascii="Arial" w:hAnsi="Arial" w:cs="Arial"/>
          <w:color w:val="5E5E5E"/>
          <w:sz w:val="18"/>
          <w:szCs w:val="18"/>
        </w:rPr>
        <w:t> </w:t>
      </w:r>
      <w:r>
        <w:rPr>
          <w:rFonts w:ascii="Arial" w:hAnsi="Arial" w:cs="Arial"/>
          <w:color w:val="5E5E5E"/>
          <w:sz w:val="18"/>
          <w:szCs w:val="18"/>
        </w:rPr>
        <w:t>cannot work in isolation and also working on</w:t>
      </w:r>
      <w:r>
        <w:rPr>
          <w:rStyle w:val="apple-converted-space"/>
          <w:rFonts w:ascii="Arial" w:hAnsi="Arial" w:cs="Arial"/>
          <w:color w:val="5E5E5E"/>
          <w:sz w:val="18"/>
          <w:szCs w:val="18"/>
        </w:rPr>
        <w:t> </w:t>
      </w:r>
      <w:r>
        <w:rPr>
          <w:rStyle w:val="ilad"/>
          <w:rFonts w:ascii="Arial" w:hAnsi="Arial" w:cs="Arial"/>
          <w:color w:val="5E5E5E"/>
          <w:sz w:val="18"/>
          <w:szCs w:val="18"/>
        </w:rPr>
        <w:t>computer system</w:t>
      </w:r>
      <w:r>
        <w:rPr>
          <w:rStyle w:val="apple-converted-space"/>
          <w:rFonts w:ascii="Arial" w:hAnsi="Arial" w:cs="Arial"/>
          <w:color w:val="5E5E5E"/>
          <w:sz w:val="18"/>
          <w:szCs w:val="18"/>
        </w:rPr>
        <w:t> </w:t>
      </w:r>
      <w:r>
        <w:rPr>
          <w:rFonts w:ascii="Arial" w:hAnsi="Arial" w:cs="Arial"/>
          <w:color w:val="5E5E5E"/>
          <w:sz w:val="18"/>
          <w:szCs w:val="18"/>
        </w:rPr>
        <w:t>without an output device such as printer would be futile. In view of the above, the claim of depreciation at 60% on printer, scanner and other</w:t>
      </w:r>
      <w:r>
        <w:rPr>
          <w:rStyle w:val="apple-converted-space"/>
          <w:rFonts w:ascii="Arial" w:hAnsi="Arial" w:cs="Arial"/>
          <w:color w:val="5E5E5E"/>
          <w:sz w:val="18"/>
          <w:szCs w:val="18"/>
        </w:rPr>
        <w:t> </w:t>
      </w:r>
      <w:r>
        <w:rPr>
          <w:rFonts w:ascii="Arial" w:hAnsi="Arial" w:cs="Arial"/>
          <w:color w:val="5E5E5E"/>
          <w:sz w:val="18"/>
          <w:szCs w:val="18"/>
        </w:rPr>
        <w:t>computer peripherals</w:t>
      </w:r>
      <w:r>
        <w:rPr>
          <w:rStyle w:val="apple-converted-space"/>
          <w:rFonts w:ascii="Arial" w:hAnsi="Arial" w:cs="Arial"/>
          <w:color w:val="5E5E5E"/>
          <w:sz w:val="18"/>
          <w:szCs w:val="18"/>
        </w:rPr>
        <w:t> </w:t>
      </w:r>
      <w:r>
        <w:rPr>
          <w:rFonts w:ascii="Arial" w:hAnsi="Arial" w:cs="Arial"/>
          <w:color w:val="5E5E5E"/>
          <w:sz w:val="18"/>
          <w:szCs w:val="18"/>
        </w:rPr>
        <w:t>is completely justified. The claim of depreciation of 60% further gets justified in view of the fact that even</w:t>
      </w:r>
      <w:r>
        <w:rPr>
          <w:rStyle w:val="apple-converted-space"/>
          <w:rFonts w:ascii="Arial" w:hAnsi="Arial" w:cs="Arial"/>
          <w:color w:val="5E5E5E"/>
          <w:sz w:val="18"/>
          <w:szCs w:val="18"/>
        </w:rPr>
        <w:t> </w:t>
      </w:r>
      <w:r>
        <w:rPr>
          <w:rStyle w:val="ilad"/>
          <w:rFonts w:ascii="Arial" w:hAnsi="Arial" w:cs="Arial"/>
          <w:color w:val="5E5E5E"/>
          <w:sz w:val="18"/>
          <w:szCs w:val="18"/>
        </w:rPr>
        <w:t>computer</w:t>
      </w:r>
      <w:r>
        <w:rPr>
          <w:rStyle w:val="apple-converted-space"/>
          <w:rFonts w:ascii="Arial" w:hAnsi="Arial" w:cs="Arial"/>
          <w:color w:val="5E5E5E"/>
          <w:sz w:val="18"/>
          <w:szCs w:val="18"/>
        </w:rPr>
        <w:t> </w:t>
      </w:r>
      <w:r>
        <w:rPr>
          <w:rFonts w:ascii="Arial" w:hAnsi="Arial" w:cs="Arial"/>
          <w:color w:val="5E5E5E"/>
          <w:sz w:val="18"/>
          <w:szCs w:val="18"/>
        </w:rPr>
        <w:t>software which is installed on</w:t>
      </w:r>
      <w:r>
        <w:rPr>
          <w:rStyle w:val="apple-converted-space"/>
          <w:rFonts w:ascii="Arial" w:hAnsi="Arial" w:cs="Arial"/>
          <w:color w:val="5E5E5E"/>
          <w:sz w:val="18"/>
          <w:szCs w:val="18"/>
        </w:rPr>
        <w:t> </w:t>
      </w:r>
      <w:r>
        <w:rPr>
          <w:rFonts w:ascii="Arial" w:hAnsi="Arial" w:cs="Arial"/>
          <w:color w:val="5E5E5E"/>
          <w:sz w:val="18"/>
          <w:szCs w:val="18"/>
        </w:rPr>
        <w:t>computer system</w:t>
      </w:r>
      <w:r>
        <w:rPr>
          <w:rStyle w:val="apple-converted-space"/>
          <w:rFonts w:ascii="Arial" w:hAnsi="Arial" w:cs="Arial"/>
          <w:color w:val="5E5E5E"/>
          <w:sz w:val="18"/>
          <w:szCs w:val="18"/>
        </w:rPr>
        <w:t> </w:t>
      </w:r>
      <w:r>
        <w:rPr>
          <w:rFonts w:ascii="Arial" w:hAnsi="Arial" w:cs="Arial"/>
          <w:color w:val="5E5E5E"/>
          <w:sz w:val="18"/>
          <w:szCs w:val="18"/>
        </w:rPr>
        <w:t>supports the</w:t>
      </w:r>
      <w:r>
        <w:rPr>
          <w:rStyle w:val="apple-converted-space"/>
          <w:rFonts w:ascii="Arial" w:hAnsi="Arial" w:cs="Arial"/>
          <w:color w:val="5E5E5E"/>
          <w:sz w:val="18"/>
          <w:szCs w:val="18"/>
        </w:rPr>
        <w:t> </w:t>
      </w:r>
      <w:r>
        <w:rPr>
          <w:rFonts w:ascii="Arial" w:hAnsi="Arial" w:cs="Arial"/>
          <w:color w:val="5E5E5E"/>
          <w:sz w:val="18"/>
          <w:szCs w:val="18"/>
        </w:rPr>
        <w:t>computer</w:t>
      </w:r>
      <w:r>
        <w:rPr>
          <w:rStyle w:val="apple-converted-space"/>
          <w:rFonts w:ascii="Arial" w:hAnsi="Arial" w:cs="Arial"/>
          <w:color w:val="5E5E5E"/>
          <w:sz w:val="18"/>
          <w:szCs w:val="18"/>
        </w:rPr>
        <w:t> </w:t>
      </w:r>
      <w:r>
        <w:rPr>
          <w:rFonts w:ascii="Arial" w:hAnsi="Arial" w:cs="Arial"/>
          <w:color w:val="5E5E5E"/>
          <w:sz w:val="18"/>
          <w:szCs w:val="18"/>
        </w:rPr>
        <w:t>hardware and is eligible for depreciation at 60%.</w:t>
      </w:r>
    </w:p>
    <w:p w:rsidR="002750F6" w:rsidRDefault="002750F6" w:rsidP="002750F6">
      <w:pPr>
        <w:pStyle w:val="NormalWeb"/>
        <w:shd w:val="clear" w:color="auto" w:fill="FFFFFF"/>
        <w:spacing w:before="136" w:beforeAutospacing="0" w:after="0" w:afterAutospacing="0" w:line="272" w:lineRule="atLeast"/>
        <w:jc w:val="both"/>
        <w:rPr>
          <w:rFonts w:ascii="Arial" w:hAnsi="Arial" w:cs="Arial"/>
          <w:color w:val="5E5E5E"/>
          <w:sz w:val="18"/>
          <w:szCs w:val="18"/>
        </w:rPr>
      </w:pPr>
      <w:r>
        <w:rPr>
          <w:rFonts w:ascii="Arial" w:hAnsi="Arial" w:cs="Arial"/>
          <w:color w:val="5E5E5E"/>
          <w:sz w:val="18"/>
          <w:szCs w:val="18"/>
        </w:rPr>
        <w:t>41. As held by the Calcutta High Court decision in Jokai India Ltd. 251 ITR 39. in view of decision of Kolkata, ITAT in</w:t>
      </w:r>
      <w:r>
        <w:rPr>
          <w:rStyle w:val="apple-converted-space"/>
          <w:rFonts w:ascii="Arial" w:hAnsi="Arial" w:cs="Arial"/>
          <w:color w:val="5E5E5E"/>
          <w:sz w:val="18"/>
          <w:szCs w:val="18"/>
        </w:rPr>
        <w:t> </w:t>
      </w:r>
      <w:r>
        <w:rPr>
          <w:rFonts w:ascii="Arial" w:hAnsi="Arial" w:cs="Arial"/>
          <w:color w:val="5E5E5E"/>
          <w:sz w:val="18"/>
          <w:szCs w:val="18"/>
        </w:rPr>
        <w:t>the case</w:t>
      </w:r>
      <w:r>
        <w:rPr>
          <w:rStyle w:val="apple-converted-space"/>
          <w:rFonts w:ascii="Arial" w:hAnsi="Arial" w:cs="Arial"/>
          <w:color w:val="5E5E5E"/>
          <w:sz w:val="18"/>
          <w:szCs w:val="18"/>
        </w:rPr>
        <w:t> </w:t>
      </w:r>
      <w:r>
        <w:rPr>
          <w:rFonts w:ascii="Arial" w:hAnsi="Arial" w:cs="Arial"/>
          <w:color w:val="5E5E5E"/>
          <w:sz w:val="18"/>
          <w:szCs w:val="18"/>
        </w:rPr>
        <w:t>of ITO Vs. Sa Majumdar-2804TR~ 74, we hold that printers, scanners and other</w:t>
      </w:r>
      <w:r>
        <w:rPr>
          <w:rStyle w:val="apple-converted-space"/>
          <w:rFonts w:ascii="Arial" w:hAnsi="Arial" w:cs="Arial"/>
          <w:color w:val="5E5E5E"/>
          <w:sz w:val="18"/>
          <w:szCs w:val="18"/>
        </w:rPr>
        <w:t> </w:t>
      </w:r>
      <w:r>
        <w:rPr>
          <w:rFonts w:ascii="Arial" w:hAnsi="Arial" w:cs="Arial"/>
          <w:color w:val="5E5E5E"/>
          <w:sz w:val="18"/>
          <w:szCs w:val="18"/>
        </w:rPr>
        <w:t>peripherals</w:t>
      </w:r>
      <w:r>
        <w:rPr>
          <w:rStyle w:val="apple-converted-space"/>
          <w:rFonts w:ascii="Arial" w:hAnsi="Arial" w:cs="Arial"/>
          <w:color w:val="5E5E5E"/>
          <w:sz w:val="18"/>
          <w:szCs w:val="18"/>
        </w:rPr>
        <w:t> </w:t>
      </w:r>
      <w:r>
        <w:rPr>
          <w:rFonts w:ascii="Arial" w:hAnsi="Arial" w:cs="Arial"/>
          <w:color w:val="5E5E5E"/>
          <w:sz w:val="18"/>
          <w:szCs w:val="18"/>
        </w:rPr>
        <w:t>were part and parcel of</w:t>
      </w:r>
      <w:r>
        <w:rPr>
          <w:rStyle w:val="apple-converted-space"/>
          <w:rFonts w:ascii="Arial" w:hAnsi="Arial" w:cs="Arial"/>
          <w:color w:val="5E5E5E"/>
          <w:sz w:val="18"/>
          <w:szCs w:val="18"/>
        </w:rPr>
        <w:t> </w:t>
      </w:r>
      <w:r>
        <w:rPr>
          <w:rFonts w:ascii="Arial" w:hAnsi="Arial" w:cs="Arial"/>
          <w:color w:val="5E5E5E"/>
          <w:sz w:val="18"/>
          <w:szCs w:val="18"/>
        </w:rPr>
        <w:t>computer</w:t>
      </w:r>
      <w:r>
        <w:rPr>
          <w:rStyle w:val="apple-converted-space"/>
          <w:rFonts w:ascii="Arial" w:hAnsi="Arial" w:cs="Arial"/>
          <w:color w:val="5E5E5E"/>
          <w:sz w:val="18"/>
          <w:szCs w:val="18"/>
        </w:rPr>
        <w:t> </w:t>
      </w:r>
      <w:r>
        <w:rPr>
          <w:rFonts w:ascii="Arial" w:hAnsi="Arial" w:cs="Arial"/>
          <w:color w:val="5E5E5E"/>
          <w:sz w:val="18"/>
          <w:szCs w:val="18"/>
        </w:rPr>
        <w:t xml:space="preserve">and depreciation against such asset are allowable @ 60%. This ground is to be decided in </w:t>
      </w:r>
      <w:proofErr w:type="spellStart"/>
      <w:r>
        <w:rPr>
          <w:rFonts w:ascii="Arial" w:hAnsi="Arial" w:cs="Arial"/>
          <w:color w:val="5E5E5E"/>
          <w:sz w:val="18"/>
          <w:szCs w:val="18"/>
        </w:rPr>
        <w:t>favour</w:t>
      </w:r>
      <w:proofErr w:type="spellEnd"/>
      <w:r>
        <w:rPr>
          <w:rFonts w:ascii="Arial" w:hAnsi="Arial" w:cs="Arial"/>
          <w:color w:val="5E5E5E"/>
          <w:sz w:val="18"/>
          <w:szCs w:val="18"/>
        </w:rPr>
        <w:t xml:space="preserve"> of the assessee and against the revenue in view of the decision of the Kolkata Bench `B’ of the Tribunal in</w:t>
      </w:r>
      <w:r>
        <w:rPr>
          <w:rStyle w:val="apple-converted-space"/>
          <w:rFonts w:ascii="Arial" w:hAnsi="Arial" w:cs="Arial"/>
          <w:color w:val="5E5E5E"/>
          <w:sz w:val="18"/>
          <w:szCs w:val="18"/>
        </w:rPr>
        <w:t> </w:t>
      </w:r>
      <w:r>
        <w:rPr>
          <w:rFonts w:ascii="Arial" w:hAnsi="Arial" w:cs="Arial"/>
          <w:color w:val="5E5E5E"/>
          <w:sz w:val="18"/>
          <w:szCs w:val="18"/>
        </w:rPr>
        <w:t>the case</w:t>
      </w:r>
      <w:r>
        <w:rPr>
          <w:rStyle w:val="apple-converted-space"/>
          <w:rFonts w:ascii="Arial" w:hAnsi="Arial" w:cs="Arial"/>
          <w:color w:val="5E5E5E"/>
          <w:sz w:val="18"/>
          <w:szCs w:val="18"/>
        </w:rPr>
        <w:t> </w:t>
      </w:r>
      <w:r>
        <w:rPr>
          <w:rFonts w:ascii="Arial" w:hAnsi="Arial" w:cs="Arial"/>
          <w:color w:val="5E5E5E"/>
          <w:sz w:val="18"/>
          <w:szCs w:val="18"/>
        </w:rPr>
        <w:t xml:space="preserve">of ITO vs. </w:t>
      </w:r>
      <w:proofErr w:type="spellStart"/>
      <w:r>
        <w:rPr>
          <w:rFonts w:ascii="Arial" w:hAnsi="Arial" w:cs="Arial"/>
          <w:color w:val="5E5E5E"/>
          <w:sz w:val="18"/>
          <w:szCs w:val="18"/>
        </w:rPr>
        <w:t>Samiran</w:t>
      </w:r>
      <w:proofErr w:type="spellEnd"/>
      <w:r>
        <w:rPr>
          <w:rFonts w:ascii="Arial" w:hAnsi="Arial" w:cs="Arial"/>
          <w:color w:val="5E5E5E"/>
          <w:sz w:val="18"/>
          <w:szCs w:val="18"/>
        </w:rPr>
        <w:t xml:space="preserve"> </w:t>
      </w:r>
      <w:proofErr w:type="spellStart"/>
      <w:r>
        <w:rPr>
          <w:rFonts w:ascii="Arial" w:hAnsi="Arial" w:cs="Arial"/>
          <w:color w:val="5E5E5E"/>
          <w:sz w:val="18"/>
          <w:szCs w:val="18"/>
        </w:rPr>
        <w:t>Majumdar</w:t>
      </w:r>
      <w:proofErr w:type="spellEnd"/>
      <w:r>
        <w:rPr>
          <w:rFonts w:ascii="Arial" w:hAnsi="Arial" w:cs="Arial"/>
          <w:color w:val="5E5E5E"/>
          <w:sz w:val="18"/>
          <w:szCs w:val="18"/>
        </w:rPr>
        <w:t xml:space="preserve"> (2006) 98 ITD 119 (</w:t>
      </w:r>
      <w:proofErr w:type="spellStart"/>
      <w:r>
        <w:rPr>
          <w:rFonts w:ascii="Arial" w:hAnsi="Arial" w:cs="Arial"/>
          <w:color w:val="5E5E5E"/>
          <w:sz w:val="18"/>
          <w:szCs w:val="18"/>
        </w:rPr>
        <w:t>Kol</w:t>
      </w:r>
      <w:proofErr w:type="spellEnd"/>
      <w:r>
        <w:rPr>
          <w:rFonts w:ascii="Arial" w:hAnsi="Arial" w:cs="Arial"/>
          <w:color w:val="5E5E5E"/>
          <w:sz w:val="18"/>
          <w:szCs w:val="18"/>
        </w:rPr>
        <w:t>) wherein the Tribunal allowed the claim by observing as under :</w:t>
      </w:r>
    </w:p>
    <w:p w:rsidR="002750F6" w:rsidRDefault="002750F6" w:rsidP="002750F6">
      <w:pPr>
        <w:pStyle w:val="NormalWeb"/>
        <w:shd w:val="clear" w:color="auto" w:fill="FFFFFF"/>
        <w:spacing w:before="0" w:beforeAutospacing="0" w:after="0" w:afterAutospacing="0" w:line="272" w:lineRule="atLeast"/>
        <w:jc w:val="both"/>
        <w:rPr>
          <w:rFonts w:ascii="Arial" w:hAnsi="Arial" w:cs="Arial"/>
          <w:color w:val="5E5E5E"/>
          <w:sz w:val="18"/>
          <w:szCs w:val="18"/>
        </w:rPr>
      </w:pPr>
      <w:r>
        <w:rPr>
          <w:rFonts w:ascii="Arial" w:hAnsi="Arial" w:cs="Arial"/>
          <w:color w:val="5E5E5E"/>
          <w:sz w:val="18"/>
          <w:szCs w:val="18"/>
        </w:rPr>
        <w:t>“Therefore, the printer and scanner were integral</w:t>
      </w:r>
      <w:r>
        <w:rPr>
          <w:rStyle w:val="apple-converted-space"/>
          <w:rFonts w:ascii="Arial" w:hAnsi="Arial" w:cs="Arial"/>
          <w:color w:val="5E5E5E"/>
          <w:sz w:val="18"/>
          <w:szCs w:val="18"/>
        </w:rPr>
        <w:t> </w:t>
      </w:r>
      <w:r>
        <w:rPr>
          <w:rStyle w:val="ilad"/>
          <w:rFonts w:ascii="Arial" w:hAnsi="Arial" w:cs="Arial"/>
          <w:color w:val="5E5E5E"/>
          <w:sz w:val="18"/>
          <w:szCs w:val="18"/>
        </w:rPr>
        <w:t>part of the computer</w:t>
      </w:r>
      <w:r>
        <w:rPr>
          <w:rStyle w:val="apple-converted-space"/>
          <w:rFonts w:ascii="Arial" w:hAnsi="Arial" w:cs="Arial"/>
          <w:color w:val="5E5E5E"/>
          <w:sz w:val="18"/>
          <w:szCs w:val="18"/>
        </w:rPr>
        <w:t> </w:t>
      </w:r>
      <w:r>
        <w:rPr>
          <w:rFonts w:ascii="Arial" w:hAnsi="Arial" w:cs="Arial"/>
          <w:color w:val="5E5E5E"/>
          <w:sz w:val="18"/>
          <w:szCs w:val="18"/>
        </w:rPr>
        <w:t>system and were to be treated as</w:t>
      </w:r>
      <w:r>
        <w:rPr>
          <w:rStyle w:val="apple-converted-space"/>
          <w:rFonts w:ascii="Arial" w:hAnsi="Arial" w:cs="Arial"/>
          <w:color w:val="5E5E5E"/>
          <w:sz w:val="18"/>
          <w:szCs w:val="18"/>
        </w:rPr>
        <w:t> </w:t>
      </w:r>
      <w:r>
        <w:rPr>
          <w:rFonts w:ascii="Arial" w:hAnsi="Arial" w:cs="Arial"/>
          <w:color w:val="5E5E5E"/>
          <w:sz w:val="18"/>
          <w:szCs w:val="18"/>
        </w:rPr>
        <w:t>computer</w:t>
      </w:r>
      <w:r>
        <w:rPr>
          <w:rStyle w:val="apple-converted-space"/>
          <w:rFonts w:ascii="Arial" w:hAnsi="Arial" w:cs="Arial"/>
          <w:color w:val="5E5E5E"/>
          <w:sz w:val="18"/>
          <w:szCs w:val="18"/>
        </w:rPr>
        <w:t> </w:t>
      </w:r>
      <w:r>
        <w:rPr>
          <w:rFonts w:ascii="Arial" w:hAnsi="Arial" w:cs="Arial"/>
          <w:color w:val="5E5E5E"/>
          <w:sz w:val="18"/>
          <w:szCs w:val="18"/>
        </w:rPr>
        <w:t>for the purposes of allowing higher rate of depreciation, i.e., 60 per cent and accordingly, no interference was required in the order passed by the Commissioner (Appeals) on that account.” Therefore, the effective ground remains with regard to deduction under section 80IA in respect of inland ports.</w:t>
      </w:r>
    </w:p>
    <w:p w:rsidR="002750F6" w:rsidRDefault="002750F6" w:rsidP="002750F6">
      <w:pPr>
        <w:pStyle w:val="NormalWeb"/>
        <w:shd w:val="clear" w:color="auto" w:fill="FFFFFF"/>
        <w:spacing w:before="136" w:beforeAutospacing="0" w:after="0" w:afterAutospacing="0" w:line="272" w:lineRule="atLeast"/>
        <w:jc w:val="both"/>
        <w:rPr>
          <w:rFonts w:ascii="Arial" w:hAnsi="Arial" w:cs="Arial"/>
          <w:color w:val="5E5E5E"/>
          <w:sz w:val="18"/>
          <w:szCs w:val="18"/>
        </w:rPr>
      </w:pPr>
      <w:r>
        <w:rPr>
          <w:rFonts w:ascii="Arial" w:hAnsi="Arial" w:cs="Arial"/>
          <w:color w:val="5E5E5E"/>
          <w:sz w:val="18"/>
          <w:szCs w:val="18"/>
        </w:rPr>
        <w:t xml:space="preserve">42. We accordingly uphold the order of the </w:t>
      </w:r>
      <w:proofErr w:type="gramStart"/>
      <w:r>
        <w:rPr>
          <w:rFonts w:ascii="Arial" w:hAnsi="Arial" w:cs="Arial"/>
          <w:color w:val="5E5E5E"/>
          <w:sz w:val="18"/>
          <w:szCs w:val="18"/>
        </w:rPr>
        <w:t>CIT(</w:t>
      </w:r>
      <w:proofErr w:type="gramEnd"/>
      <w:r>
        <w:rPr>
          <w:rFonts w:ascii="Arial" w:hAnsi="Arial" w:cs="Arial"/>
          <w:color w:val="5E5E5E"/>
          <w:sz w:val="18"/>
          <w:szCs w:val="18"/>
        </w:rPr>
        <w:t>A) in allowing depreciation @ 60% on</w:t>
      </w:r>
      <w:r>
        <w:rPr>
          <w:rStyle w:val="apple-converted-space"/>
          <w:rFonts w:ascii="Arial" w:hAnsi="Arial" w:cs="Arial"/>
          <w:color w:val="5E5E5E"/>
          <w:sz w:val="18"/>
          <w:szCs w:val="18"/>
        </w:rPr>
        <w:t> </w:t>
      </w:r>
      <w:r>
        <w:rPr>
          <w:rFonts w:ascii="Arial" w:hAnsi="Arial" w:cs="Arial"/>
          <w:color w:val="5E5E5E"/>
          <w:sz w:val="18"/>
          <w:szCs w:val="18"/>
        </w:rPr>
        <w:t>computer peripherals</w:t>
      </w:r>
      <w:r>
        <w:rPr>
          <w:rStyle w:val="apple-converted-space"/>
          <w:rFonts w:ascii="Arial" w:hAnsi="Arial" w:cs="Arial"/>
          <w:color w:val="5E5E5E"/>
          <w:sz w:val="18"/>
          <w:szCs w:val="18"/>
        </w:rPr>
        <w:t> </w:t>
      </w:r>
      <w:r>
        <w:rPr>
          <w:rFonts w:ascii="Arial" w:hAnsi="Arial" w:cs="Arial"/>
          <w:color w:val="5E5E5E"/>
          <w:sz w:val="18"/>
          <w:szCs w:val="18"/>
        </w:rPr>
        <w:t>and accessories by treating them as computers</w:t>
      </w:r>
    </w:p>
    <w:p w:rsidR="00A20389" w:rsidRDefault="00A20389"/>
    <w:sectPr w:rsidR="00A20389" w:rsidSect="00A203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750F6"/>
    <w:rsid w:val="002750F6"/>
    <w:rsid w:val="002D6161"/>
    <w:rsid w:val="005B3007"/>
    <w:rsid w:val="007867FC"/>
    <w:rsid w:val="007B05ED"/>
    <w:rsid w:val="00A20389"/>
    <w:rsid w:val="00D217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0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50F6"/>
    <w:rPr>
      <w:b/>
      <w:bCs/>
    </w:rPr>
  </w:style>
  <w:style w:type="character" w:customStyle="1" w:styleId="apple-converted-space">
    <w:name w:val="apple-converted-space"/>
    <w:basedOn w:val="DefaultParagraphFont"/>
    <w:rsid w:val="002750F6"/>
  </w:style>
  <w:style w:type="character" w:customStyle="1" w:styleId="ilad">
    <w:name w:val="il_ad"/>
    <w:basedOn w:val="DefaultParagraphFont"/>
    <w:rsid w:val="002750F6"/>
  </w:style>
</w:styles>
</file>

<file path=word/webSettings.xml><?xml version="1.0" encoding="utf-8"?>
<w:webSettings xmlns:r="http://schemas.openxmlformats.org/officeDocument/2006/relationships" xmlns:w="http://schemas.openxmlformats.org/wordprocessingml/2006/main">
  <w:divs>
    <w:div w:id="10659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4</cp:revision>
  <dcterms:created xsi:type="dcterms:W3CDTF">2013-11-26T10:33:00Z</dcterms:created>
  <dcterms:modified xsi:type="dcterms:W3CDTF">2013-11-26T10:35:00Z</dcterms:modified>
</cp:coreProperties>
</file>