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ECD" w:rsidRPr="000E5BD9" w:rsidRDefault="00987957" w:rsidP="000E5BD9">
      <w:pPr>
        <w:pStyle w:val="ListParagraph"/>
        <w:numPr>
          <w:ilvl w:val="0"/>
          <w:numId w:val="5"/>
        </w:numPr>
        <w:spacing w:after="0" w:line="240" w:lineRule="auto"/>
        <w:jc w:val="both"/>
        <w:rPr>
          <w:rFonts w:asciiTheme="majorHAnsi" w:hAnsiTheme="majorHAnsi"/>
          <w:b/>
          <w:u w:val="single"/>
        </w:rPr>
      </w:pPr>
      <w:r w:rsidRPr="000E5BD9">
        <w:rPr>
          <w:rFonts w:asciiTheme="majorHAnsi" w:hAnsiTheme="majorHAnsi"/>
          <w:b/>
          <w:u w:val="single"/>
        </w:rPr>
        <w:t>Facts of the transaction:</w:t>
      </w:r>
    </w:p>
    <w:p w:rsidR="000E5BD9" w:rsidRDefault="00BC19F0" w:rsidP="000E5BD9">
      <w:pPr>
        <w:spacing w:after="0" w:line="240" w:lineRule="auto"/>
        <w:jc w:val="both"/>
        <w:rPr>
          <w:rFonts w:asciiTheme="majorHAnsi" w:hAnsiTheme="majorHAnsi"/>
        </w:rPr>
      </w:pPr>
      <w:r w:rsidRPr="000E5BD9">
        <w:rPr>
          <w:rFonts w:asciiTheme="majorHAnsi" w:hAnsiTheme="majorHAnsi"/>
        </w:rPr>
        <w:t>Parties to the transactions are</w:t>
      </w:r>
      <w:r w:rsidR="00987957" w:rsidRPr="000E5BD9">
        <w:rPr>
          <w:rFonts w:asciiTheme="majorHAnsi" w:hAnsiTheme="majorHAnsi"/>
        </w:rPr>
        <w:t xml:space="preserve"> the service provider</w:t>
      </w:r>
      <w:r w:rsidRPr="000E5BD9">
        <w:rPr>
          <w:rFonts w:asciiTheme="majorHAnsi" w:hAnsiTheme="majorHAnsi"/>
        </w:rPr>
        <w:t>,</w:t>
      </w:r>
      <w:r w:rsidR="00987957" w:rsidRPr="000E5BD9">
        <w:rPr>
          <w:rFonts w:asciiTheme="majorHAnsi" w:hAnsiTheme="majorHAnsi"/>
        </w:rPr>
        <w:t xml:space="preserve"> </w:t>
      </w:r>
      <w:r w:rsidR="000E5BD9">
        <w:rPr>
          <w:rFonts w:asciiTheme="majorHAnsi" w:hAnsiTheme="majorHAnsi"/>
        </w:rPr>
        <w:t>W</w:t>
      </w:r>
      <w:r w:rsidR="003A62E5">
        <w:rPr>
          <w:rFonts w:asciiTheme="majorHAnsi" w:hAnsiTheme="majorHAnsi"/>
        </w:rPr>
        <w:t>DL</w:t>
      </w:r>
      <w:r w:rsidR="00FB0D69">
        <w:rPr>
          <w:rFonts w:asciiTheme="majorHAnsi" w:hAnsiTheme="majorHAnsi"/>
        </w:rPr>
        <w:t xml:space="preserve">, </w:t>
      </w:r>
      <w:r w:rsidR="00987957" w:rsidRPr="000E5BD9">
        <w:rPr>
          <w:rFonts w:asciiTheme="majorHAnsi" w:hAnsiTheme="majorHAnsi"/>
        </w:rPr>
        <w:t>LLP,</w:t>
      </w:r>
      <w:r w:rsidR="000E5BD9">
        <w:rPr>
          <w:rFonts w:asciiTheme="majorHAnsi" w:hAnsiTheme="majorHAnsi"/>
        </w:rPr>
        <w:t xml:space="preserve"> </w:t>
      </w:r>
      <w:r w:rsidR="008A1D02" w:rsidRPr="000E5BD9">
        <w:rPr>
          <w:rFonts w:asciiTheme="majorHAnsi" w:hAnsiTheme="majorHAnsi"/>
        </w:rPr>
        <w:t xml:space="preserve">USA </w:t>
      </w:r>
      <w:r w:rsidR="00FB0D69">
        <w:rPr>
          <w:rFonts w:asciiTheme="majorHAnsi" w:hAnsiTheme="majorHAnsi"/>
        </w:rPr>
        <w:t>and the service receiver,</w:t>
      </w:r>
      <w:r w:rsidR="003A62E5">
        <w:rPr>
          <w:rFonts w:asciiTheme="majorHAnsi" w:hAnsiTheme="majorHAnsi"/>
        </w:rPr>
        <w:t xml:space="preserve"> BKC</w:t>
      </w:r>
      <w:r w:rsidRPr="000E5BD9">
        <w:rPr>
          <w:rFonts w:asciiTheme="majorHAnsi" w:hAnsiTheme="majorHAnsi"/>
        </w:rPr>
        <w:t xml:space="preserve"> Mumbai.</w:t>
      </w:r>
      <w:r w:rsidR="000E5BD9">
        <w:rPr>
          <w:rFonts w:asciiTheme="majorHAnsi" w:hAnsiTheme="majorHAnsi"/>
        </w:rPr>
        <w:t xml:space="preserve"> </w:t>
      </w:r>
      <w:r w:rsidR="003A62E5">
        <w:rPr>
          <w:rFonts w:asciiTheme="majorHAnsi" w:hAnsiTheme="majorHAnsi"/>
        </w:rPr>
        <w:t xml:space="preserve">WDL </w:t>
      </w:r>
      <w:r w:rsidRPr="000E5BD9">
        <w:rPr>
          <w:rFonts w:asciiTheme="majorHAnsi" w:hAnsiTheme="majorHAnsi"/>
        </w:rPr>
        <w:t>is a non resident as per Income Tax Act,</w:t>
      </w:r>
      <w:r w:rsidR="000E5BD9">
        <w:rPr>
          <w:rFonts w:asciiTheme="majorHAnsi" w:hAnsiTheme="majorHAnsi"/>
        </w:rPr>
        <w:t xml:space="preserve"> </w:t>
      </w:r>
      <w:r w:rsidRPr="000E5BD9">
        <w:rPr>
          <w:rFonts w:asciiTheme="majorHAnsi" w:hAnsiTheme="majorHAnsi"/>
        </w:rPr>
        <w:t>1961. It has no permanent establishment in India.</w:t>
      </w:r>
      <w:r w:rsidR="000E5BD9">
        <w:rPr>
          <w:rFonts w:asciiTheme="majorHAnsi" w:hAnsiTheme="majorHAnsi"/>
        </w:rPr>
        <w:t xml:space="preserve"> </w:t>
      </w:r>
      <w:r w:rsidR="00F84AEF" w:rsidRPr="000E5BD9">
        <w:rPr>
          <w:rFonts w:asciiTheme="majorHAnsi" w:hAnsiTheme="majorHAnsi"/>
        </w:rPr>
        <w:t>The nature of service rendered is ‘brief assessment ‘.</w:t>
      </w:r>
      <w:r w:rsidR="003A62E5">
        <w:rPr>
          <w:rFonts w:asciiTheme="majorHAnsi" w:hAnsiTheme="majorHAnsi"/>
        </w:rPr>
        <w:t xml:space="preserve">  WDL has raised invoices on BKC</w:t>
      </w:r>
    </w:p>
    <w:p w:rsidR="000E5BD9" w:rsidRDefault="000E5BD9" w:rsidP="000E5BD9">
      <w:pPr>
        <w:spacing w:after="0" w:line="240" w:lineRule="auto"/>
        <w:jc w:val="both"/>
        <w:rPr>
          <w:rFonts w:asciiTheme="majorHAnsi" w:hAnsiTheme="majorHAnsi"/>
          <w:b/>
        </w:rPr>
      </w:pPr>
    </w:p>
    <w:p w:rsidR="000E5BD9" w:rsidRPr="000E5BD9" w:rsidRDefault="000E5BD9" w:rsidP="000E5BD9">
      <w:pPr>
        <w:pStyle w:val="ListParagraph"/>
        <w:numPr>
          <w:ilvl w:val="0"/>
          <w:numId w:val="5"/>
        </w:numPr>
        <w:spacing w:after="0" w:line="240" w:lineRule="auto"/>
        <w:jc w:val="both"/>
        <w:rPr>
          <w:rFonts w:asciiTheme="majorHAnsi" w:hAnsiTheme="majorHAnsi"/>
        </w:rPr>
      </w:pPr>
      <w:r w:rsidRPr="000E5BD9">
        <w:rPr>
          <w:rFonts w:asciiTheme="majorHAnsi" w:hAnsiTheme="majorHAnsi"/>
          <w:b/>
          <w:u w:val="single"/>
        </w:rPr>
        <w:t>Taxability  under  Income Tax Act,</w:t>
      </w:r>
      <w:r>
        <w:rPr>
          <w:rFonts w:asciiTheme="majorHAnsi" w:hAnsiTheme="majorHAnsi"/>
          <w:b/>
          <w:u w:val="single"/>
        </w:rPr>
        <w:t xml:space="preserve"> </w:t>
      </w:r>
      <w:r w:rsidRPr="000E5BD9">
        <w:rPr>
          <w:rFonts w:asciiTheme="majorHAnsi" w:hAnsiTheme="majorHAnsi"/>
          <w:b/>
          <w:u w:val="single"/>
        </w:rPr>
        <w:t>1961</w:t>
      </w:r>
      <w:r w:rsidRPr="000E5BD9">
        <w:rPr>
          <w:rFonts w:asciiTheme="majorHAnsi" w:hAnsiTheme="majorHAnsi"/>
          <w:b/>
        </w:rPr>
        <w:t xml:space="preserve"> :</w:t>
      </w:r>
      <w:r w:rsidRPr="000E5BD9">
        <w:rPr>
          <w:rFonts w:asciiTheme="majorHAnsi" w:hAnsiTheme="majorHAnsi"/>
        </w:rPr>
        <w:t>Based on the substance of the agreement and transactions, it is evident that the amount payable towards  these services constitute ‘</w:t>
      </w:r>
      <w:r w:rsidRPr="000E5BD9">
        <w:rPr>
          <w:rFonts w:asciiTheme="majorHAnsi" w:hAnsiTheme="majorHAnsi"/>
          <w:b/>
        </w:rPr>
        <w:t>income by way of fees payable for technical services (FTS).</w:t>
      </w:r>
      <w:r w:rsidRPr="000E5BD9">
        <w:rPr>
          <w:rFonts w:asciiTheme="majorHAnsi" w:hAnsiTheme="majorHAnsi"/>
        </w:rPr>
        <w:t xml:space="preserve"> Rele</w:t>
      </w:r>
      <w:r>
        <w:rPr>
          <w:rFonts w:asciiTheme="majorHAnsi" w:hAnsiTheme="majorHAnsi"/>
        </w:rPr>
        <w:t>va</w:t>
      </w:r>
      <w:r w:rsidRPr="000E5BD9">
        <w:rPr>
          <w:rFonts w:asciiTheme="majorHAnsi" w:hAnsiTheme="majorHAnsi"/>
        </w:rPr>
        <w:t xml:space="preserve">nt provisions relating to </w:t>
      </w:r>
      <w:r w:rsidRPr="000E5BD9">
        <w:rPr>
          <w:rFonts w:asciiTheme="majorHAnsi" w:hAnsiTheme="majorHAnsi"/>
          <w:b/>
        </w:rPr>
        <w:t>Income deemed to accrue or arise in India in Sec 9</w:t>
      </w:r>
      <w:r w:rsidRPr="000E5BD9">
        <w:rPr>
          <w:rFonts w:asciiTheme="majorHAnsi" w:hAnsiTheme="majorHAnsi"/>
        </w:rPr>
        <w:t xml:space="preserve"> are given below.</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b/>
          <w:i/>
          <w:iCs/>
        </w:rPr>
        <w:t>vii</w:t>
      </w:r>
      <w:r w:rsidRPr="003756C2">
        <w:rPr>
          <w:rFonts w:asciiTheme="majorHAnsi" w:eastAsia="Times New Roman" w:hAnsiTheme="majorHAnsi" w:cs="Times New Roman"/>
          <w:b/>
        </w:rPr>
        <w:t>) income by way of fees for technical services</w:t>
      </w:r>
      <w:r w:rsidR="00075170">
        <w:rPr>
          <w:rFonts w:asciiTheme="majorHAnsi" w:eastAsia="Times New Roman" w:hAnsiTheme="majorHAnsi" w:cs="Times New Roman"/>
          <w:b/>
          <w:color w:val="0000FF"/>
          <w:u w:val="single"/>
          <w:vertAlign w:val="superscript"/>
        </w:rPr>
        <w:t xml:space="preserve"> </w:t>
      </w:r>
      <w:r w:rsidRPr="003756C2">
        <w:rPr>
          <w:rFonts w:asciiTheme="majorHAnsi" w:eastAsia="Times New Roman" w:hAnsiTheme="majorHAnsi" w:cs="Times New Roman"/>
          <w:b/>
        </w:rPr>
        <w:t>payable by</w:t>
      </w:r>
      <w:r w:rsidRPr="003756C2">
        <w:rPr>
          <w:rFonts w:asciiTheme="majorHAnsi" w:eastAsia="Times New Roman" w:hAnsiTheme="majorHAnsi" w:cs="Times New Roman"/>
        </w:rPr>
        <w:t>—</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a</w:t>
      </w:r>
      <w:r w:rsidRPr="003756C2">
        <w:rPr>
          <w:rFonts w:asciiTheme="majorHAnsi" w:eastAsia="Times New Roman" w:hAnsiTheme="majorHAnsi" w:cs="Times New Roman"/>
        </w:rPr>
        <w:t>)  the Government ; or</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b</w:t>
      </w:r>
      <w:r w:rsidRPr="003756C2">
        <w:rPr>
          <w:rFonts w:asciiTheme="majorHAnsi" w:eastAsia="Times New Roman" w:hAnsiTheme="majorHAnsi" w:cs="Times New Roman"/>
        </w:rPr>
        <w:t>)  a person who is a resident, except where the fees are payable in respect of services utilised in a business or profession carried on by such person outside India or for the purposes of making or earning any income from any source outside India ; or</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c</w:t>
      </w:r>
      <w:r w:rsidRPr="003756C2">
        <w:rPr>
          <w:rFonts w:asciiTheme="majorHAnsi" w:eastAsia="Times New Roman" w:hAnsiTheme="majorHAnsi" w:cs="Times New Roman"/>
        </w:rPr>
        <w:t>)  a person who is a non-resident, where the fees are payable in respect of services utilised in a business or profession carried on by such person in India or for the purposes of making or earning any income from any source in India :</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b/>
          <w:bCs/>
        </w:rPr>
        <w:t>Provided</w:t>
      </w:r>
      <w:r w:rsidRPr="003756C2">
        <w:rPr>
          <w:rFonts w:asciiTheme="majorHAnsi" w:eastAsia="Times New Roman" w:hAnsiTheme="majorHAnsi" w:cs="Times New Roman"/>
        </w:rPr>
        <w:t xml:space="preserve"> that nothing contained in this clause shall apply in relation to any income by way of fees for technical services payable in pursuance of an agreement made before the 1st day of April, 1976, and approved by the Central Government.]</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Explanation 1.</w:t>
      </w:r>
      <w:r w:rsidRPr="003756C2">
        <w:rPr>
          <w:rFonts w:asciiTheme="majorHAnsi" w:eastAsia="Times New Roman" w:hAnsiTheme="majorHAnsi" w:cs="Times New Roman"/>
        </w:rPr>
        <w:t>—For the purposes of the foregoing proviso, an agreement made on or after the 1st day of April, 1976, shall be deemed to have been made before that date if the agreement is made in accordance with proposals approved by the Central Government before that date.]</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i/>
          <w:iCs/>
        </w:rPr>
        <w:t xml:space="preserve">Explanation </w:t>
      </w:r>
      <w:r w:rsidRPr="003756C2">
        <w:rPr>
          <w:rFonts w:asciiTheme="majorHAnsi" w:eastAsia="Times New Roman" w:hAnsiTheme="majorHAnsi" w:cs="Times New Roman"/>
        </w:rPr>
        <w:t>[</w:t>
      </w:r>
      <w:r w:rsidRPr="003756C2">
        <w:rPr>
          <w:rFonts w:asciiTheme="majorHAnsi" w:eastAsia="Times New Roman" w:hAnsiTheme="majorHAnsi" w:cs="Times New Roman"/>
          <w:i/>
          <w:iCs/>
        </w:rPr>
        <w:t>2</w:t>
      </w:r>
      <w:r w:rsidRPr="003756C2">
        <w:rPr>
          <w:rFonts w:asciiTheme="majorHAnsi" w:eastAsia="Times New Roman" w:hAnsiTheme="majorHAnsi" w:cs="Times New Roman"/>
        </w:rPr>
        <w:t>]</w:t>
      </w:r>
      <w:r w:rsidRPr="003756C2">
        <w:rPr>
          <w:rFonts w:asciiTheme="majorHAnsi" w:eastAsia="Times New Roman" w:hAnsiTheme="majorHAnsi" w:cs="Times New Roman"/>
          <w:i/>
          <w:iCs/>
        </w:rPr>
        <w:t>.</w:t>
      </w:r>
      <w:r w:rsidRPr="003756C2">
        <w:rPr>
          <w:rFonts w:asciiTheme="majorHAnsi" w:eastAsia="Times New Roman" w:hAnsiTheme="majorHAnsi" w:cs="Times New Roman"/>
        </w:rPr>
        <w:t>—For the purposes of this clause, "fees for technical services" means any consideration (including any lump sum consideration) for the rendering of any managerial, technical or consultancy services (including the provision of services of technical or other personnel) but does not include consideration for any construction, assembly, mining or like project undertaken by the recipient or consideration which would be income of the recipient chargeable under the head "Salaries".]</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(2) Notwithstanding anything contained in sub-section (1), any pension payable outside India to a person residing permanently outside India shall not be deemed to accrue or arise in India, if the pension is payable to a person referred to in article 314 of the Constitution or to a person who, having been appointed before the 15th day of August, 1947, to be a Judge of the Federal Court or of a High Court within the meaning of the Government of India Act, 1935, continues to serve on or after the commencement of the Constitution as a Judge in India.</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Explanation.—</w:t>
      </w:r>
      <w:r w:rsidRPr="003756C2">
        <w:rPr>
          <w:rFonts w:asciiTheme="majorHAnsi" w:eastAsia="Times New Roman" w:hAnsiTheme="majorHAnsi" w:cs="Times New Roman"/>
        </w:rPr>
        <w:t>For the removal of doubts, it is hereby declared that for the purposes of this section, income of a non-resident shall be deemed to accrue or arise in India under clause (</w:t>
      </w:r>
      <w:r w:rsidRPr="003756C2">
        <w:rPr>
          <w:rFonts w:asciiTheme="majorHAnsi" w:eastAsia="Times New Roman" w:hAnsiTheme="majorHAnsi" w:cs="Times New Roman"/>
          <w:i/>
          <w:iCs/>
        </w:rPr>
        <w:t>v</w:t>
      </w:r>
      <w:r w:rsidRPr="003756C2">
        <w:rPr>
          <w:rFonts w:asciiTheme="majorHAnsi" w:eastAsia="Times New Roman" w:hAnsiTheme="majorHAnsi" w:cs="Times New Roman"/>
        </w:rPr>
        <w:t>) or clause (</w:t>
      </w:r>
      <w:r w:rsidRPr="003756C2">
        <w:rPr>
          <w:rFonts w:asciiTheme="majorHAnsi" w:eastAsia="Times New Roman" w:hAnsiTheme="majorHAnsi" w:cs="Times New Roman"/>
          <w:i/>
          <w:iCs/>
        </w:rPr>
        <w:t>vi</w:t>
      </w:r>
      <w:r w:rsidRPr="003756C2">
        <w:rPr>
          <w:rFonts w:asciiTheme="majorHAnsi" w:eastAsia="Times New Roman" w:hAnsiTheme="majorHAnsi" w:cs="Times New Roman"/>
        </w:rPr>
        <w:t>) or clause (</w:t>
      </w:r>
      <w:r w:rsidRPr="003756C2">
        <w:rPr>
          <w:rFonts w:asciiTheme="majorHAnsi" w:eastAsia="Times New Roman" w:hAnsiTheme="majorHAnsi" w:cs="Times New Roman"/>
          <w:i/>
          <w:iCs/>
        </w:rPr>
        <w:t>vii</w:t>
      </w:r>
      <w:r w:rsidRPr="003756C2">
        <w:rPr>
          <w:rFonts w:asciiTheme="majorHAnsi" w:eastAsia="Times New Roman" w:hAnsiTheme="majorHAnsi" w:cs="Times New Roman"/>
        </w:rPr>
        <w:t>) of sub-section (1) and shall be included in the total income of the non-resident, whether or not,—</w:t>
      </w: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 (</w:t>
      </w:r>
      <w:r w:rsidRPr="003756C2">
        <w:rPr>
          <w:rFonts w:asciiTheme="majorHAnsi" w:eastAsia="Times New Roman" w:hAnsiTheme="majorHAnsi" w:cs="Times New Roman"/>
          <w:i/>
          <w:iCs/>
        </w:rPr>
        <w:t>i</w:t>
      </w:r>
      <w:r w:rsidRPr="003756C2">
        <w:rPr>
          <w:rFonts w:asciiTheme="majorHAnsi" w:eastAsia="Times New Roman" w:hAnsiTheme="majorHAnsi" w:cs="Times New Roman"/>
        </w:rPr>
        <w:t xml:space="preserve">)  the non-resident has a residence or place of business or business connection in India; or </w:t>
      </w:r>
    </w:p>
    <w:p w:rsidR="000E5BD9" w:rsidRDefault="000E5BD9" w:rsidP="000E5BD9">
      <w:pPr>
        <w:shd w:val="clear" w:color="auto" w:fill="FFFFFF"/>
        <w:spacing w:after="0" w:line="240" w:lineRule="auto"/>
        <w:jc w:val="both"/>
        <w:rPr>
          <w:rFonts w:asciiTheme="majorHAnsi" w:eastAsia="Times New Roman" w:hAnsiTheme="majorHAnsi" w:cs="Times New Roman"/>
        </w:rPr>
      </w:pPr>
      <w:r w:rsidRPr="003756C2">
        <w:rPr>
          <w:rFonts w:asciiTheme="majorHAnsi" w:eastAsia="Times New Roman" w:hAnsiTheme="majorHAnsi" w:cs="Times New Roman"/>
        </w:rPr>
        <w:t>(</w:t>
      </w:r>
      <w:r w:rsidRPr="003756C2">
        <w:rPr>
          <w:rFonts w:asciiTheme="majorHAnsi" w:eastAsia="Times New Roman" w:hAnsiTheme="majorHAnsi" w:cs="Times New Roman"/>
          <w:i/>
          <w:iCs/>
        </w:rPr>
        <w:t>ii</w:t>
      </w:r>
      <w:r w:rsidRPr="003756C2">
        <w:rPr>
          <w:rFonts w:asciiTheme="majorHAnsi" w:eastAsia="Times New Roman" w:hAnsiTheme="majorHAnsi" w:cs="Times New Roman"/>
        </w:rPr>
        <w:t>)  the non-resident has rendered services in India.]</w:t>
      </w:r>
    </w:p>
    <w:p w:rsidR="000E5BD9" w:rsidRDefault="000E5BD9" w:rsidP="000E5BD9">
      <w:pPr>
        <w:shd w:val="clear" w:color="auto" w:fill="FFFFFF"/>
        <w:spacing w:after="0" w:line="240" w:lineRule="auto"/>
        <w:jc w:val="both"/>
        <w:rPr>
          <w:rFonts w:asciiTheme="majorHAnsi" w:eastAsia="Times New Roman" w:hAnsiTheme="majorHAnsi" w:cs="Times New Roman"/>
        </w:rPr>
      </w:pPr>
    </w:p>
    <w:p w:rsidR="000E5BD9" w:rsidRDefault="000E5BD9" w:rsidP="000E5BD9">
      <w:pPr>
        <w:shd w:val="clear" w:color="auto" w:fill="FFFFFF"/>
        <w:spacing w:after="0" w:line="240" w:lineRule="auto"/>
        <w:jc w:val="both"/>
        <w:rPr>
          <w:rFonts w:asciiTheme="majorHAnsi" w:eastAsia="Times New Roman" w:hAnsiTheme="majorHAnsi" w:cs="Times New Roman"/>
        </w:rPr>
      </w:pPr>
    </w:p>
    <w:p w:rsidR="000E5BD9" w:rsidRDefault="000E5BD9" w:rsidP="000E5BD9">
      <w:pPr>
        <w:shd w:val="clear" w:color="auto" w:fill="FFFFFF"/>
        <w:spacing w:after="0" w:line="240" w:lineRule="auto"/>
        <w:jc w:val="both"/>
        <w:rPr>
          <w:rFonts w:asciiTheme="majorHAnsi" w:eastAsia="Times New Roman" w:hAnsiTheme="majorHAnsi" w:cs="Times New Roman"/>
        </w:rPr>
      </w:pPr>
    </w:p>
    <w:p w:rsidR="000E5BD9" w:rsidRDefault="000E5BD9" w:rsidP="000E5BD9">
      <w:pPr>
        <w:shd w:val="clear" w:color="auto" w:fill="FFFFFF"/>
        <w:spacing w:after="0" w:line="240" w:lineRule="auto"/>
        <w:jc w:val="both"/>
        <w:rPr>
          <w:rFonts w:asciiTheme="majorHAnsi" w:eastAsia="Times New Roman" w:hAnsiTheme="majorHAnsi" w:cs="Times New Roman"/>
        </w:rPr>
      </w:pPr>
    </w:p>
    <w:p w:rsidR="000E5BD9" w:rsidRDefault="000E5BD9" w:rsidP="000E5BD9">
      <w:pPr>
        <w:spacing w:after="0" w:line="240" w:lineRule="auto"/>
        <w:jc w:val="both"/>
        <w:rPr>
          <w:rFonts w:asciiTheme="majorHAnsi" w:hAnsiTheme="majorHAnsi"/>
        </w:rPr>
      </w:pPr>
    </w:p>
    <w:p w:rsidR="000E5BD9" w:rsidRPr="003756C2" w:rsidRDefault="000E5BD9" w:rsidP="000E5BD9">
      <w:pPr>
        <w:shd w:val="clear" w:color="auto" w:fill="FFFFFF"/>
        <w:spacing w:after="0" w:line="240" w:lineRule="auto"/>
        <w:jc w:val="both"/>
        <w:rPr>
          <w:rFonts w:asciiTheme="majorHAnsi" w:eastAsia="Times New Roman" w:hAnsiTheme="majorHAnsi" w:cs="Times New Roman"/>
        </w:rPr>
      </w:pPr>
    </w:p>
    <w:p w:rsidR="00570D14" w:rsidRPr="00B43D93" w:rsidRDefault="00BC19F0" w:rsidP="000E5BD9">
      <w:pPr>
        <w:pStyle w:val="ListParagraph"/>
        <w:numPr>
          <w:ilvl w:val="0"/>
          <w:numId w:val="5"/>
        </w:numPr>
        <w:spacing w:after="0" w:line="240" w:lineRule="auto"/>
        <w:jc w:val="both"/>
        <w:rPr>
          <w:rFonts w:asciiTheme="majorHAnsi" w:hAnsiTheme="majorHAnsi"/>
          <w:b/>
          <w:u w:val="single"/>
        </w:rPr>
      </w:pPr>
      <w:r w:rsidRPr="00B43D93">
        <w:rPr>
          <w:rFonts w:asciiTheme="majorHAnsi" w:hAnsiTheme="majorHAnsi"/>
          <w:b/>
          <w:u w:val="single"/>
        </w:rPr>
        <w:t>Under DTAA with US</w:t>
      </w:r>
      <w:r w:rsidR="00B43D93">
        <w:rPr>
          <w:rFonts w:asciiTheme="majorHAnsi" w:hAnsiTheme="majorHAnsi"/>
        </w:rPr>
        <w:t xml:space="preserve"> </w:t>
      </w:r>
      <w:r w:rsidR="00B43D93" w:rsidRPr="00B43D93">
        <w:rPr>
          <w:rFonts w:asciiTheme="majorHAnsi" w:hAnsiTheme="majorHAnsi"/>
        </w:rPr>
        <w:t>(A</w:t>
      </w:r>
      <w:r w:rsidR="00B43D93" w:rsidRPr="00B43D93">
        <w:rPr>
          <w:rFonts w:asciiTheme="majorHAnsi" w:eastAsia="Times New Roman" w:hAnsiTheme="majorHAnsi" w:cs="Times New Roman"/>
        </w:rPr>
        <w:t xml:space="preserve">s per </w:t>
      </w:r>
      <w:r w:rsidR="00B43D93" w:rsidRPr="00B43D93">
        <w:rPr>
          <w:rFonts w:asciiTheme="majorHAnsi" w:hAnsiTheme="majorHAnsi"/>
          <w:bCs/>
        </w:rPr>
        <w:t>Notification:</w:t>
      </w:r>
      <w:r w:rsidR="00B43D93" w:rsidRPr="00B43D93">
        <w:rPr>
          <w:rFonts w:asciiTheme="majorHAnsi" w:hAnsiTheme="majorHAnsi"/>
        </w:rPr>
        <w:t xml:space="preserve"> </w:t>
      </w:r>
      <w:r w:rsidR="00B43D93" w:rsidRPr="00B43D93">
        <w:rPr>
          <w:rFonts w:asciiTheme="majorHAnsi" w:hAnsiTheme="majorHAnsi"/>
          <w:i/>
          <w:iCs/>
        </w:rPr>
        <w:t>No. GSR 990(E), dated 20-12-1990</w:t>
      </w:r>
      <w:r w:rsidR="00A067FB">
        <w:rPr>
          <w:rFonts w:asciiTheme="majorHAnsi" w:hAnsiTheme="majorHAnsi"/>
          <w:i/>
          <w:iCs/>
        </w:rPr>
        <w:t>)</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0E5BD9">
        <w:rPr>
          <w:rFonts w:asciiTheme="majorHAnsi" w:hAnsiTheme="majorHAnsi"/>
          <w:i/>
          <w:iCs/>
        </w:rPr>
        <w:t>.</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b/>
          <w:caps/>
        </w:rPr>
        <w:lastRenderedPageBreak/>
        <w:t xml:space="preserve">Article 12 </w:t>
      </w:r>
      <w:r w:rsidRPr="00A7716B">
        <w:rPr>
          <w:rFonts w:asciiTheme="majorHAnsi" w:eastAsia="Times New Roman" w:hAnsiTheme="majorHAnsi" w:cs="Times New Roman"/>
          <w:b/>
        </w:rPr>
        <w:t xml:space="preserve">- </w:t>
      </w:r>
      <w:r w:rsidRPr="00A7716B">
        <w:rPr>
          <w:rFonts w:asciiTheme="majorHAnsi" w:eastAsia="Times New Roman" w:hAnsiTheme="majorHAnsi" w:cs="Times New Roman"/>
          <w:b/>
          <w:i/>
          <w:iCs/>
        </w:rPr>
        <w:t>Royalties and fees for included services</w:t>
      </w:r>
      <w:r w:rsidRPr="00A7716B">
        <w:rPr>
          <w:rFonts w:asciiTheme="majorHAnsi" w:eastAsia="Times New Roman" w:hAnsiTheme="majorHAnsi" w:cs="Times New Roman"/>
        </w:rPr>
        <w:t xml:space="preserve"> - </w:t>
      </w:r>
      <w:r w:rsidRPr="00A7716B">
        <w:rPr>
          <w:rFonts w:asciiTheme="majorHAnsi" w:eastAsia="Times New Roman" w:hAnsiTheme="majorHAnsi" w:cs="Times New Roman"/>
          <w:i/>
          <w:iCs/>
        </w:rPr>
        <w:t>1.</w:t>
      </w:r>
      <w:r w:rsidRPr="00A7716B">
        <w:rPr>
          <w:rFonts w:asciiTheme="majorHAnsi" w:eastAsia="Times New Roman" w:hAnsiTheme="majorHAnsi" w:cs="Times New Roman"/>
        </w:rPr>
        <w:t xml:space="preserve"> Royalties and fees for included services arising in a Contracting State and paid to a resident of the other Contracting State may be taxed in that other State.</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2.</w:t>
      </w:r>
      <w:r w:rsidRPr="00A7716B">
        <w:rPr>
          <w:rFonts w:asciiTheme="majorHAnsi" w:eastAsia="Times New Roman" w:hAnsiTheme="majorHAnsi" w:cs="Times New Roman"/>
        </w:rPr>
        <w:t xml:space="preserve"> However, such royalties and fees for included services may also be taxed in the Contracting State in which they arise and according to the laws of that State; but if the beneficial owner of the royalties or fees for included services is a resident of the other Contracting State, the tax so charged shall not exceed :</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a</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In</w:t>
      </w:r>
      <w:r w:rsidRPr="00A7716B">
        <w:rPr>
          <w:rFonts w:asciiTheme="majorHAnsi" w:eastAsia="Times New Roman" w:hAnsiTheme="majorHAnsi" w:cs="Times New Roman"/>
        </w:rPr>
        <w:t xml:space="preserve"> the case of royalties referred to in sub-paragraph (</w:t>
      </w:r>
      <w:r w:rsidRPr="00A7716B">
        <w:rPr>
          <w:rFonts w:asciiTheme="majorHAnsi" w:eastAsia="Times New Roman" w:hAnsiTheme="majorHAnsi" w:cs="Times New Roman"/>
          <w:i/>
          <w:iCs/>
        </w:rPr>
        <w:t>a</w:t>
      </w:r>
      <w:r w:rsidRPr="00A7716B">
        <w:rPr>
          <w:rFonts w:asciiTheme="majorHAnsi" w:eastAsia="Times New Roman" w:hAnsiTheme="majorHAnsi" w:cs="Times New Roman"/>
        </w:rPr>
        <w:t>) of paragraph 3 and fees for included services as defined in this Article [other than services described in sub-paragraph (</w:t>
      </w:r>
      <w:r w:rsidRPr="00A7716B">
        <w:rPr>
          <w:rFonts w:asciiTheme="majorHAnsi" w:eastAsia="Times New Roman" w:hAnsiTheme="majorHAnsi" w:cs="Times New Roman"/>
          <w:i/>
          <w:iCs/>
        </w:rPr>
        <w:t>b</w:t>
      </w:r>
      <w:r w:rsidRPr="00A7716B">
        <w:rPr>
          <w:rFonts w:asciiTheme="majorHAnsi" w:eastAsia="Times New Roman" w:hAnsiTheme="majorHAnsi" w:cs="Times New Roman"/>
        </w:rPr>
        <w:t>) of this paragraph</w:t>
      </w:r>
      <w:r w:rsidR="00C1749B" w:rsidRPr="00A7716B">
        <w:rPr>
          <w:rFonts w:asciiTheme="majorHAnsi" w:eastAsia="Times New Roman" w:hAnsiTheme="majorHAnsi" w:cs="Times New Roman"/>
        </w:rPr>
        <w:t>]:</w:t>
      </w:r>
    </w:p>
    <w:p w:rsidR="00A7716B" w:rsidRPr="00A7716B" w:rsidRDefault="00A7716B" w:rsidP="000E5BD9">
      <w:pPr>
        <w:tabs>
          <w:tab w:val="right" w:pos="840"/>
          <w:tab w:val="left" w:pos="960"/>
        </w:tabs>
        <w:autoSpaceDE w:val="0"/>
        <w:autoSpaceDN w:val="0"/>
        <w:adjustRightInd w:val="0"/>
        <w:spacing w:after="0" w:line="240" w:lineRule="auto"/>
        <w:ind w:left="96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i</w:t>
      </w:r>
      <w:r w:rsidR="00C1749B">
        <w:rPr>
          <w:rFonts w:asciiTheme="majorHAnsi" w:eastAsia="Times New Roman" w:hAnsiTheme="majorHAnsi" w:cs="Times New Roman"/>
        </w:rPr>
        <w:t xml:space="preserve">) </w:t>
      </w:r>
      <w:r w:rsidR="00C1749B" w:rsidRPr="00A7716B">
        <w:rPr>
          <w:rFonts w:asciiTheme="majorHAnsi" w:eastAsia="Times New Roman" w:hAnsiTheme="majorHAnsi" w:cs="Times New Roman"/>
        </w:rPr>
        <w:t>During</w:t>
      </w:r>
      <w:r w:rsidRPr="00A7716B">
        <w:rPr>
          <w:rFonts w:asciiTheme="majorHAnsi" w:eastAsia="Times New Roman" w:hAnsiTheme="majorHAnsi" w:cs="Times New Roman"/>
        </w:rPr>
        <w:t xml:space="preserve"> the first five taxable years for which this Convention has effect,</w:t>
      </w:r>
    </w:p>
    <w:p w:rsidR="00A7716B" w:rsidRPr="00A7716B" w:rsidRDefault="00A7716B" w:rsidP="000E5BD9">
      <w:pPr>
        <w:tabs>
          <w:tab w:val="right" w:pos="1320"/>
          <w:tab w:val="left" w:pos="1440"/>
        </w:tabs>
        <w:autoSpaceDE w:val="0"/>
        <w:autoSpaceDN w:val="0"/>
        <w:adjustRightInd w:val="0"/>
        <w:spacing w:after="0" w:line="240" w:lineRule="auto"/>
        <w:ind w:left="144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a</w:t>
      </w:r>
      <w:r w:rsidRPr="00A7716B">
        <w:rPr>
          <w:rFonts w:asciiTheme="majorHAnsi" w:eastAsia="Times New Roman" w:hAnsiTheme="majorHAnsi" w:cs="Times New Roman"/>
        </w:rPr>
        <w:t>)</w:t>
      </w:r>
      <w:r w:rsidRPr="00A7716B">
        <w:rPr>
          <w:rFonts w:asciiTheme="majorHAnsi" w:eastAsia="Times New Roman" w:hAnsiTheme="majorHAnsi" w:cs="Times New Roman"/>
        </w:rPr>
        <w:tab/>
        <w:t xml:space="preserve">15 per cent of the gross amount of the royalties or fees for included services as defined in this Article, where the payer of the royalties or fees is the Government of that Contracting State, a political sub-division or a public sector company ; and </w:t>
      </w:r>
    </w:p>
    <w:p w:rsidR="00A7716B" w:rsidRPr="00A7716B" w:rsidRDefault="00A7716B" w:rsidP="000E5BD9">
      <w:pPr>
        <w:tabs>
          <w:tab w:val="right" w:pos="1320"/>
          <w:tab w:val="left" w:pos="1440"/>
        </w:tabs>
        <w:autoSpaceDE w:val="0"/>
        <w:autoSpaceDN w:val="0"/>
        <w:adjustRightInd w:val="0"/>
        <w:spacing w:after="0" w:line="240" w:lineRule="auto"/>
        <w:ind w:left="144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w:t>
      </w:r>
      <w:r w:rsidRPr="00A7716B">
        <w:rPr>
          <w:rFonts w:asciiTheme="majorHAnsi" w:eastAsia="Times New Roman" w:hAnsiTheme="majorHAnsi" w:cs="Times New Roman"/>
        </w:rPr>
        <w:tab/>
        <w:t xml:space="preserve">20 per cent of the gross amount of the royalties or fees for included services in all other </w:t>
      </w:r>
      <w:r w:rsidR="00C1749B" w:rsidRPr="00A7716B">
        <w:rPr>
          <w:rFonts w:asciiTheme="majorHAnsi" w:eastAsia="Times New Roman" w:hAnsiTheme="majorHAnsi" w:cs="Times New Roman"/>
        </w:rPr>
        <w:t>cases;</w:t>
      </w:r>
      <w:r w:rsidRPr="00A7716B">
        <w:rPr>
          <w:rFonts w:asciiTheme="majorHAnsi" w:eastAsia="Times New Roman" w:hAnsiTheme="majorHAnsi" w:cs="Times New Roman"/>
        </w:rPr>
        <w:t xml:space="preserve"> and</w:t>
      </w:r>
    </w:p>
    <w:p w:rsidR="00A7716B" w:rsidRPr="00A7716B" w:rsidRDefault="00A7716B" w:rsidP="000E5BD9">
      <w:pPr>
        <w:tabs>
          <w:tab w:val="right" w:pos="840"/>
          <w:tab w:val="left" w:pos="960"/>
        </w:tabs>
        <w:autoSpaceDE w:val="0"/>
        <w:autoSpaceDN w:val="0"/>
        <w:adjustRightInd w:val="0"/>
        <w:spacing w:after="0" w:line="240" w:lineRule="auto"/>
        <w:ind w:left="96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ii</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During</w:t>
      </w:r>
      <w:r w:rsidRPr="00A7716B">
        <w:rPr>
          <w:rFonts w:asciiTheme="majorHAnsi" w:eastAsia="Times New Roman" w:hAnsiTheme="majorHAnsi" w:cs="Times New Roman"/>
        </w:rPr>
        <w:t xml:space="preserve"> the subsequent years, 15 per cent of the gross amount of royalties or fees for included </w:t>
      </w:r>
      <w:r w:rsidR="00C1749B" w:rsidRPr="00A7716B">
        <w:rPr>
          <w:rFonts w:asciiTheme="majorHAnsi" w:eastAsia="Times New Roman" w:hAnsiTheme="majorHAnsi" w:cs="Times New Roman"/>
        </w:rPr>
        <w:t>services;</w:t>
      </w:r>
      <w:r w:rsidRPr="00A7716B">
        <w:rPr>
          <w:rFonts w:asciiTheme="majorHAnsi" w:eastAsia="Times New Roman" w:hAnsiTheme="majorHAnsi" w:cs="Times New Roman"/>
        </w:rPr>
        <w:t xml:space="preserve"> and</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w:t>
      </w:r>
      <w:r w:rsidRPr="00A7716B">
        <w:rPr>
          <w:rFonts w:asciiTheme="majorHAnsi" w:eastAsia="Times New Roman" w:hAnsiTheme="majorHAnsi" w:cs="Times New Roman"/>
        </w:rPr>
        <w:tab/>
        <w:t>in the case of royalties referred to in sub-paragraph (</w:t>
      </w:r>
      <w:r w:rsidRPr="00A7716B">
        <w:rPr>
          <w:rFonts w:asciiTheme="majorHAnsi" w:eastAsia="Times New Roman" w:hAnsiTheme="majorHAnsi" w:cs="Times New Roman"/>
          <w:i/>
          <w:iCs/>
        </w:rPr>
        <w:t>b</w:t>
      </w:r>
      <w:r w:rsidRPr="00A7716B">
        <w:rPr>
          <w:rFonts w:asciiTheme="majorHAnsi" w:eastAsia="Times New Roman" w:hAnsiTheme="majorHAnsi" w:cs="Times New Roman"/>
        </w:rPr>
        <w:t>) of paragraph 3 and fees for included services as defined in this Article that are ancillary and subsidiary to the enjoyment of the property for which payment is received under paragraph 3(</w:t>
      </w:r>
      <w:r w:rsidRPr="00A7716B">
        <w:rPr>
          <w:rFonts w:asciiTheme="majorHAnsi" w:eastAsia="Times New Roman" w:hAnsiTheme="majorHAnsi" w:cs="Times New Roman"/>
          <w:i/>
          <w:iCs/>
        </w:rPr>
        <w:t>b</w:t>
      </w:r>
      <w:r w:rsidRPr="00A7716B">
        <w:rPr>
          <w:rFonts w:asciiTheme="majorHAnsi" w:eastAsia="Times New Roman" w:hAnsiTheme="majorHAnsi" w:cs="Times New Roman"/>
        </w:rPr>
        <w:t>) of this Article, 10 per cent of the gross amount of the royalties or fees for included services.</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3.</w:t>
      </w:r>
      <w:r w:rsidRPr="00A7716B">
        <w:rPr>
          <w:rFonts w:asciiTheme="majorHAnsi" w:eastAsia="Times New Roman" w:hAnsiTheme="majorHAnsi" w:cs="Times New Roman"/>
        </w:rPr>
        <w:t xml:space="preserve"> The term “royalties” as used in this Article </w:t>
      </w:r>
      <w:r w:rsidR="00C1749B" w:rsidRPr="00A7716B">
        <w:rPr>
          <w:rFonts w:asciiTheme="majorHAnsi" w:eastAsia="Times New Roman" w:hAnsiTheme="majorHAnsi" w:cs="Times New Roman"/>
        </w:rPr>
        <w:t>means:</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a</w:t>
      </w:r>
      <w:r w:rsidRPr="00A7716B">
        <w:rPr>
          <w:rFonts w:asciiTheme="majorHAnsi" w:eastAsia="Times New Roman" w:hAnsiTheme="majorHAnsi" w:cs="Times New Roman"/>
        </w:rPr>
        <w:t>)</w:t>
      </w:r>
      <w:r w:rsidRPr="00A7716B">
        <w:rPr>
          <w:rFonts w:asciiTheme="majorHAnsi" w:eastAsia="Times New Roman" w:hAnsiTheme="majorHAnsi" w:cs="Times New Roman"/>
        </w:rPr>
        <w:tab/>
        <w:t>payments of any kind received as a consideration for the use of, or the right to use, any copyright of a literary, artistic, or scientific work, including cinematograph films or work on film, tape or other means of reproduction for use in connection with radio or television broadcasting, any patent, trade mark, design or model, plan, secret formula or process, or for information concerning industrial, commercial or scientific experience, including gains derived from the alienation of any such right or property which are contingent on the productivity, use, or disposition thereof ; and</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Payments</w:t>
      </w:r>
      <w:r w:rsidRPr="00A7716B">
        <w:rPr>
          <w:rFonts w:asciiTheme="majorHAnsi" w:eastAsia="Times New Roman" w:hAnsiTheme="majorHAnsi" w:cs="Times New Roman"/>
        </w:rPr>
        <w:t xml:space="preserve"> of any kind received as consideration for the use of, or the right to use, any industrial, commercial, or scientific equipment, other than payments derived by an enterprise described in paragraph 1 of Article 8 (Shipping and Air Transport) from activities described in paragraph 2(</w:t>
      </w:r>
      <w:r w:rsidRPr="00A7716B">
        <w:rPr>
          <w:rFonts w:asciiTheme="majorHAnsi" w:eastAsia="Times New Roman" w:hAnsiTheme="majorHAnsi" w:cs="Times New Roman"/>
          <w:i/>
          <w:iCs/>
        </w:rPr>
        <w:t>c</w:t>
      </w:r>
      <w:r w:rsidRPr="00A7716B">
        <w:rPr>
          <w:rFonts w:asciiTheme="majorHAnsi" w:eastAsia="Times New Roman" w:hAnsiTheme="majorHAnsi" w:cs="Times New Roman"/>
        </w:rPr>
        <w:t>) or 3 of Article 8.</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4.</w:t>
      </w:r>
      <w:r w:rsidRPr="00A7716B">
        <w:rPr>
          <w:rFonts w:asciiTheme="majorHAnsi" w:eastAsia="Times New Roman" w:hAnsiTheme="majorHAnsi" w:cs="Times New Roman"/>
        </w:rPr>
        <w:t xml:space="preserve"> For purposes of this Article, “fees for included services” means payments of any kind to any person in consideration for the rendering of any technical or consultancy services (including through the provision of services of technical or other personnel) if such services :</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a</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Are</w:t>
      </w:r>
      <w:r w:rsidRPr="00A7716B">
        <w:rPr>
          <w:rFonts w:asciiTheme="majorHAnsi" w:eastAsia="Times New Roman" w:hAnsiTheme="majorHAnsi" w:cs="Times New Roman"/>
        </w:rPr>
        <w:t xml:space="preserve"> ancillary and subsidiary to the application or enjoyment of the right, property or information for which a payment described in paragraph 3 is </w:t>
      </w:r>
      <w:r w:rsidR="00C1749B" w:rsidRPr="00A7716B">
        <w:rPr>
          <w:rFonts w:asciiTheme="majorHAnsi" w:eastAsia="Times New Roman" w:hAnsiTheme="majorHAnsi" w:cs="Times New Roman"/>
        </w:rPr>
        <w:t>received;</w:t>
      </w:r>
      <w:r w:rsidRPr="00A7716B">
        <w:rPr>
          <w:rFonts w:asciiTheme="majorHAnsi" w:eastAsia="Times New Roman" w:hAnsiTheme="majorHAnsi" w:cs="Times New Roman"/>
        </w:rPr>
        <w:t xml:space="preserve"> or</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Make</w:t>
      </w:r>
      <w:r w:rsidRPr="00A7716B">
        <w:rPr>
          <w:rFonts w:asciiTheme="majorHAnsi" w:eastAsia="Times New Roman" w:hAnsiTheme="majorHAnsi" w:cs="Times New Roman"/>
        </w:rPr>
        <w:t xml:space="preserve"> available technical knowledge, experience, skill, know-how, or processes, or consist of the development and transfer of a technical plan or technical design.</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5.</w:t>
      </w:r>
      <w:r w:rsidRPr="00A7716B">
        <w:rPr>
          <w:rFonts w:asciiTheme="majorHAnsi" w:eastAsia="Times New Roman" w:hAnsiTheme="majorHAnsi" w:cs="Times New Roman"/>
        </w:rPr>
        <w:t xml:space="preserve"> Notwithstanding paragraph 4, “fees for included services” does not include amounts </w:t>
      </w:r>
      <w:r w:rsidR="00C1749B" w:rsidRPr="00A7716B">
        <w:rPr>
          <w:rFonts w:asciiTheme="majorHAnsi" w:eastAsia="Times New Roman" w:hAnsiTheme="majorHAnsi" w:cs="Times New Roman"/>
        </w:rPr>
        <w:t>paid:</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a</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For</w:t>
      </w:r>
      <w:r w:rsidRPr="00A7716B">
        <w:rPr>
          <w:rFonts w:asciiTheme="majorHAnsi" w:eastAsia="Times New Roman" w:hAnsiTheme="majorHAnsi" w:cs="Times New Roman"/>
        </w:rPr>
        <w:t xml:space="preserve"> services that are ancillary and subsidiary, as well as inextricably and essentially linked, to the sale of property other than a sale described in paragraph 3(</w:t>
      </w:r>
      <w:r w:rsidRPr="00A7716B">
        <w:rPr>
          <w:rFonts w:asciiTheme="majorHAnsi" w:eastAsia="Times New Roman" w:hAnsiTheme="majorHAnsi" w:cs="Times New Roman"/>
          <w:i/>
          <w:iCs/>
        </w:rPr>
        <w:t>a</w:t>
      </w:r>
      <w:r w:rsidRPr="00A7716B">
        <w:rPr>
          <w:rFonts w:asciiTheme="majorHAnsi" w:eastAsia="Times New Roman" w:hAnsiTheme="majorHAnsi" w:cs="Times New Roman"/>
        </w:rPr>
        <w:t>) ;</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w:t>
      </w:r>
      <w:r w:rsidRPr="00A7716B">
        <w:rPr>
          <w:rFonts w:asciiTheme="majorHAnsi" w:eastAsia="Times New Roman" w:hAnsiTheme="majorHAnsi" w:cs="Times New Roman"/>
        </w:rPr>
        <w:tab/>
        <w:t>for services that are ancillary and subsidiary to the rental of ships, aircraft, containers or other equipment used in connection with the operation of ships or aircraft in international traffic ;</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c</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For</w:t>
      </w:r>
      <w:r w:rsidRPr="00A7716B">
        <w:rPr>
          <w:rFonts w:asciiTheme="majorHAnsi" w:eastAsia="Times New Roman" w:hAnsiTheme="majorHAnsi" w:cs="Times New Roman"/>
        </w:rPr>
        <w:t xml:space="preserve"> teaching in or by educational </w:t>
      </w:r>
      <w:r w:rsidR="00C1749B" w:rsidRPr="00A7716B">
        <w:rPr>
          <w:rFonts w:asciiTheme="majorHAnsi" w:eastAsia="Times New Roman" w:hAnsiTheme="majorHAnsi" w:cs="Times New Roman"/>
        </w:rPr>
        <w:t>institutions;</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tab/>
        <w:t>(</w:t>
      </w:r>
      <w:r w:rsidRPr="00A7716B">
        <w:rPr>
          <w:rFonts w:asciiTheme="majorHAnsi" w:eastAsia="Times New Roman" w:hAnsiTheme="majorHAnsi" w:cs="Times New Roman"/>
          <w:i/>
          <w:iCs/>
        </w:rPr>
        <w:t>d</w:t>
      </w:r>
      <w:r w:rsidRPr="00A7716B">
        <w:rPr>
          <w:rFonts w:asciiTheme="majorHAnsi" w:eastAsia="Times New Roman" w:hAnsiTheme="majorHAnsi" w:cs="Times New Roman"/>
        </w:rPr>
        <w:t>)</w:t>
      </w:r>
      <w:r w:rsidRPr="00A7716B">
        <w:rPr>
          <w:rFonts w:asciiTheme="majorHAnsi" w:eastAsia="Times New Roman" w:hAnsiTheme="majorHAnsi" w:cs="Times New Roman"/>
        </w:rPr>
        <w:tab/>
      </w:r>
      <w:r w:rsidR="00C1749B" w:rsidRPr="00A7716B">
        <w:rPr>
          <w:rFonts w:asciiTheme="majorHAnsi" w:eastAsia="Times New Roman" w:hAnsiTheme="majorHAnsi" w:cs="Times New Roman"/>
        </w:rPr>
        <w:t>For</w:t>
      </w:r>
      <w:r w:rsidRPr="00A7716B">
        <w:rPr>
          <w:rFonts w:asciiTheme="majorHAnsi" w:eastAsia="Times New Roman" w:hAnsiTheme="majorHAnsi" w:cs="Times New Roman"/>
        </w:rPr>
        <w:t xml:space="preserve"> services for the personal use of the individual or individuals making the </w:t>
      </w:r>
      <w:r w:rsidR="00C1749B" w:rsidRPr="00A7716B">
        <w:rPr>
          <w:rFonts w:asciiTheme="majorHAnsi" w:eastAsia="Times New Roman" w:hAnsiTheme="majorHAnsi" w:cs="Times New Roman"/>
        </w:rPr>
        <w:t>payments;</w:t>
      </w:r>
      <w:r w:rsidRPr="00A7716B">
        <w:rPr>
          <w:rFonts w:asciiTheme="majorHAnsi" w:eastAsia="Times New Roman" w:hAnsiTheme="majorHAnsi" w:cs="Times New Roman"/>
        </w:rPr>
        <w:t xml:space="preserve"> or</w:t>
      </w:r>
    </w:p>
    <w:p w:rsidR="00A7716B" w:rsidRPr="00A7716B" w:rsidRDefault="00A7716B" w:rsidP="000E5BD9">
      <w:pPr>
        <w:tabs>
          <w:tab w:val="right" w:pos="360"/>
          <w:tab w:val="left" w:pos="480"/>
        </w:tabs>
        <w:autoSpaceDE w:val="0"/>
        <w:autoSpaceDN w:val="0"/>
        <w:adjustRightInd w:val="0"/>
        <w:spacing w:after="0" w:line="240" w:lineRule="auto"/>
        <w:ind w:left="480" w:hanging="480"/>
        <w:jc w:val="both"/>
        <w:rPr>
          <w:rFonts w:asciiTheme="majorHAnsi" w:eastAsia="Times New Roman" w:hAnsiTheme="majorHAnsi" w:cs="Times New Roman"/>
        </w:rPr>
      </w:pPr>
      <w:r w:rsidRPr="00A7716B">
        <w:rPr>
          <w:rFonts w:asciiTheme="majorHAnsi" w:eastAsia="Times New Roman" w:hAnsiTheme="majorHAnsi" w:cs="Times New Roman"/>
        </w:rPr>
        <w:lastRenderedPageBreak/>
        <w:tab/>
        <w:t>(</w:t>
      </w:r>
      <w:r w:rsidRPr="00A7716B">
        <w:rPr>
          <w:rFonts w:asciiTheme="majorHAnsi" w:eastAsia="Times New Roman" w:hAnsiTheme="majorHAnsi" w:cs="Times New Roman"/>
          <w:i/>
          <w:iCs/>
        </w:rPr>
        <w:t>e</w:t>
      </w:r>
      <w:r w:rsidRPr="00A7716B">
        <w:rPr>
          <w:rFonts w:asciiTheme="majorHAnsi" w:eastAsia="Times New Roman" w:hAnsiTheme="majorHAnsi" w:cs="Times New Roman"/>
        </w:rPr>
        <w:t>)</w:t>
      </w:r>
      <w:r w:rsidRPr="00A7716B">
        <w:rPr>
          <w:rFonts w:asciiTheme="majorHAnsi" w:eastAsia="Times New Roman" w:hAnsiTheme="majorHAnsi" w:cs="Times New Roman"/>
        </w:rPr>
        <w:tab/>
        <w:t>to an employee of the person making the payments or to any individual or firm of individuals (other than a company) for professional services as defined in Article 15 (Independent Personal Services).</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6.</w:t>
      </w:r>
      <w:r w:rsidRPr="00A7716B">
        <w:rPr>
          <w:rFonts w:asciiTheme="majorHAnsi" w:eastAsia="Times New Roman" w:hAnsiTheme="majorHAnsi" w:cs="Times New Roman"/>
        </w:rPr>
        <w:t xml:space="preserve"> The provisions of paragraphs 1 and 2 shall not apply if the beneficial owner of the royalties or fees for included services, being a resident of a Contracting State, carries on business in the other Contracting State, in which the royalties or fees for included services arise, through a permanent establishment situated therein, or performs in that other State independent personal services from a fixed base situated therein, and the royalties or fees for included services are attributable to such permanent establishment or fixed base. In such case the provisions of Article 7 (Business Profits) or Article 15 (Independent Personal Services), as the case may be shall apply.</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7.</w:t>
      </w:r>
      <w:r w:rsidRPr="00A7716B">
        <w:rPr>
          <w:rFonts w:asciiTheme="majorHAnsi" w:eastAsia="Times New Roman" w:hAnsiTheme="majorHAnsi" w:cs="Times New Roman"/>
        </w:rPr>
        <w:t xml:space="preserve"> (</w:t>
      </w:r>
      <w:r w:rsidRPr="00A7716B">
        <w:rPr>
          <w:rFonts w:asciiTheme="majorHAnsi" w:eastAsia="Times New Roman" w:hAnsiTheme="majorHAnsi" w:cs="Times New Roman"/>
          <w:i/>
          <w:iCs/>
        </w:rPr>
        <w:t>a</w:t>
      </w:r>
      <w:r w:rsidRPr="00A7716B">
        <w:rPr>
          <w:rFonts w:asciiTheme="majorHAnsi" w:eastAsia="Times New Roman" w:hAnsiTheme="majorHAnsi" w:cs="Times New Roman"/>
        </w:rPr>
        <w:t>) Royalties and fees for included services shall be deemed to arise in a Contracting State when the payer is that State itself, a political sub-division, a local authority, or a resident of that State. Where, however, the person paying the royalties or fees for included services, whether he is a resident of a Contracting State or not, has in a Contracting State a permanent establishment or a fixed base in connection with which the liability to pay the royalties or fees for included services was incurred, and such royalties or fees for included services are borne by such permanent establishment or fixed base, then such royalties or fees for included services shall be deemed to arise in the Contracting State in which the permanent establishment or fixed base is situated.</w:t>
      </w:r>
    </w:p>
    <w:p w:rsidR="00A7716B" w:rsidRPr="00A7716B"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rPr>
        <w:t>(</w:t>
      </w:r>
      <w:r w:rsidRPr="00A7716B">
        <w:rPr>
          <w:rFonts w:asciiTheme="majorHAnsi" w:eastAsia="Times New Roman" w:hAnsiTheme="majorHAnsi" w:cs="Times New Roman"/>
          <w:i/>
          <w:iCs/>
        </w:rPr>
        <w:t>b</w:t>
      </w:r>
      <w:r w:rsidRPr="00A7716B">
        <w:rPr>
          <w:rFonts w:asciiTheme="majorHAnsi" w:eastAsia="Times New Roman" w:hAnsiTheme="majorHAnsi" w:cs="Times New Roman"/>
        </w:rPr>
        <w:t>) Where under sub-paragraph (</w:t>
      </w:r>
      <w:r w:rsidRPr="00A7716B">
        <w:rPr>
          <w:rFonts w:asciiTheme="majorHAnsi" w:eastAsia="Times New Roman" w:hAnsiTheme="majorHAnsi" w:cs="Times New Roman"/>
          <w:i/>
          <w:iCs/>
        </w:rPr>
        <w:t>a</w:t>
      </w:r>
      <w:r w:rsidRPr="00A7716B">
        <w:rPr>
          <w:rFonts w:asciiTheme="majorHAnsi" w:eastAsia="Times New Roman" w:hAnsiTheme="majorHAnsi" w:cs="Times New Roman"/>
        </w:rPr>
        <w:t>) royalties or fees for included services do not arise in one of the Contracting States, and the royalties relate to the use of, or the right to use, the right or property, or the fees for included services relate to services performed, in one of the Contracting States, the royalties or fees for included services shall be deemed to arise in that Contracting State.</w:t>
      </w:r>
    </w:p>
    <w:p w:rsidR="00A7716B" w:rsidRPr="000E5BD9" w:rsidRDefault="00A7716B" w:rsidP="000E5BD9">
      <w:pPr>
        <w:autoSpaceDE w:val="0"/>
        <w:autoSpaceDN w:val="0"/>
        <w:adjustRightInd w:val="0"/>
        <w:spacing w:after="0" w:line="240" w:lineRule="auto"/>
        <w:jc w:val="both"/>
        <w:rPr>
          <w:rFonts w:asciiTheme="majorHAnsi" w:eastAsia="Times New Roman" w:hAnsiTheme="majorHAnsi" w:cs="Times New Roman"/>
        </w:rPr>
      </w:pPr>
      <w:r w:rsidRPr="00A7716B">
        <w:rPr>
          <w:rFonts w:asciiTheme="majorHAnsi" w:eastAsia="Times New Roman" w:hAnsiTheme="majorHAnsi" w:cs="Times New Roman"/>
          <w:i/>
          <w:iCs/>
        </w:rPr>
        <w:t>8.</w:t>
      </w:r>
      <w:r w:rsidRPr="00A7716B">
        <w:rPr>
          <w:rFonts w:asciiTheme="majorHAnsi" w:eastAsia="Times New Roman" w:hAnsiTheme="majorHAnsi" w:cs="Times New Roman"/>
        </w:rPr>
        <w:t xml:space="preserve"> Where, by reason of a special relationship between the payer and the beneficial owner or between both of them and some other person, the amount of the royalties or fees for included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w:t>
      </w:r>
      <w:r w:rsidRPr="000E5BD9">
        <w:rPr>
          <w:rFonts w:asciiTheme="majorHAnsi" w:eastAsia="Times New Roman" w:hAnsiTheme="majorHAnsi" w:cs="Times New Roman"/>
        </w:rPr>
        <w:t>ions of the convention.</w:t>
      </w:r>
    </w:p>
    <w:p w:rsidR="00BC19F0" w:rsidRDefault="00BC19F0" w:rsidP="000E5BD9">
      <w:pPr>
        <w:autoSpaceDE w:val="0"/>
        <w:autoSpaceDN w:val="0"/>
        <w:adjustRightInd w:val="0"/>
        <w:spacing w:after="0" w:line="240" w:lineRule="auto"/>
        <w:jc w:val="both"/>
        <w:rPr>
          <w:rFonts w:asciiTheme="majorHAnsi" w:hAnsiTheme="majorHAnsi"/>
          <w:i/>
          <w:iCs/>
        </w:rPr>
      </w:pPr>
    </w:p>
    <w:p w:rsidR="00B43D93" w:rsidRDefault="00B43D93" w:rsidP="000E5BD9">
      <w:pPr>
        <w:autoSpaceDE w:val="0"/>
        <w:autoSpaceDN w:val="0"/>
        <w:adjustRightInd w:val="0"/>
        <w:spacing w:after="0" w:line="240" w:lineRule="auto"/>
        <w:jc w:val="both"/>
        <w:rPr>
          <w:rFonts w:asciiTheme="majorHAnsi" w:hAnsiTheme="majorHAnsi"/>
          <w:i/>
          <w:iCs/>
        </w:rPr>
      </w:pPr>
    </w:p>
    <w:p w:rsidR="00B43D93" w:rsidRPr="000E5BD9" w:rsidRDefault="00B43D93" w:rsidP="000E5BD9">
      <w:pPr>
        <w:autoSpaceDE w:val="0"/>
        <w:autoSpaceDN w:val="0"/>
        <w:adjustRightInd w:val="0"/>
        <w:spacing w:after="0" w:line="240" w:lineRule="auto"/>
        <w:jc w:val="both"/>
        <w:rPr>
          <w:rFonts w:asciiTheme="majorHAnsi" w:eastAsia="Times New Roman" w:hAnsiTheme="majorHAnsi" w:cs="Times New Roman"/>
        </w:rPr>
      </w:pPr>
    </w:p>
    <w:p w:rsidR="00A7716B" w:rsidRPr="00B43D93" w:rsidRDefault="00A7716B" w:rsidP="000E5BD9">
      <w:pPr>
        <w:pStyle w:val="ListParagraph"/>
        <w:numPr>
          <w:ilvl w:val="0"/>
          <w:numId w:val="5"/>
        </w:numPr>
        <w:autoSpaceDE w:val="0"/>
        <w:autoSpaceDN w:val="0"/>
        <w:adjustRightInd w:val="0"/>
        <w:spacing w:after="0" w:line="240" w:lineRule="auto"/>
        <w:jc w:val="both"/>
        <w:rPr>
          <w:rFonts w:asciiTheme="majorHAnsi" w:eastAsia="Times New Roman" w:hAnsiTheme="majorHAnsi" w:cs="Times New Roman"/>
          <w:b/>
          <w:u w:val="single"/>
        </w:rPr>
      </w:pPr>
      <w:r w:rsidRPr="00B43D93">
        <w:rPr>
          <w:rFonts w:asciiTheme="majorHAnsi" w:eastAsia="Times New Roman" w:hAnsiTheme="majorHAnsi" w:cs="Times New Roman"/>
          <w:b/>
          <w:u w:val="single"/>
        </w:rPr>
        <w:t>Determination of taxability</w:t>
      </w:r>
      <w:r w:rsidR="00BC19F0" w:rsidRPr="00B43D93">
        <w:rPr>
          <w:rFonts w:asciiTheme="majorHAnsi" w:eastAsia="Times New Roman" w:hAnsiTheme="majorHAnsi" w:cs="Times New Roman"/>
          <w:b/>
          <w:u w:val="single"/>
        </w:rPr>
        <w:t>:</w:t>
      </w:r>
    </w:p>
    <w:p w:rsidR="003756C2" w:rsidRPr="000E5BD9" w:rsidRDefault="003756C2" w:rsidP="000E5BD9">
      <w:pPr>
        <w:pStyle w:val="ListParagraph"/>
        <w:numPr>
          <w:ilvl w:val="0"/>
          <w:numId w:val="2"/>
        </w:numPr>
        <w:autoSpaceDE w:val="0"/>
        <w:autoSpaceDN w:val="0"/>
        <w:adjustRightInd w:val="0"/>
        <w:spacing w:after="0" w:line="240" w:lineRule="auto"/>
        <w:jc w:val="both"/>
        <w:rPr>
          <w:rFonts w:asciiTheme="majorHAnsi" w:eastAsia="Times New Roman" w:hAnsiTheme="majorHAnsi" w:cs="Times New Roman"/>
          <w:b/>
        </w:rPr>
      </w:pPr>
      <w:r w:rsidRPr="000E5BD9">
        <w:rPr>
          <w:rFonts w:asciiTheme="majorHAnsi" w:eastAsia="Times New Roman" w:hAnsiTheme="majorHAnsi" w:cs="Times New Roman"/>
          <w:b/>
        </w:rPr>
        <w:t>Under Income Tax act,1961:</w:t>
      </w:r>
      <w:r w:rsidRPr="000E5BD9">
        <w:rPr>
          <w:rFonts w:asciiTheme="majorHAnsi" w:eastAsia="Times New Roman" w:hAnsiTheme="majorHAnsi" w:cs="Times New Roman"/>
        </w:rPr>
        <w:t xml:space="preserve">Based on the substance of the transactions , it is evident that the amounts payable towards these services constitute </w:t>
      </w:r>
      <w:r w:rsidRPr="000E5BD9">
        <w:rPr>
          <w:rFonts w:asciiTheme="majorHAnsi" w:eastAsia="Times New Roman" w:hAnsiTheme="majorHAnsi" w:cs="Times New Roman"/>
          <w:b/>
        </w:rPr>
        <w:t>income by way of fees payable for technical services (FTS).</w:t>
      </w:r>
    </w:p>
    <w:p w:rsidR="003756C2" w:rsidRPr="000E5BD9" w:rsidRDefault="003756C2" w:rsidP="000E5BD9">
      <w:pPr>
        <w:pStyle w:val="ListParagraph"/>
        <w:numPr>
          <w:ilvl w:val="0"/>
          <w:numId w:val="2"/>
        </w:numPr>
        <w:autoSpaceDE w:val="0"/>
        <w:autoSpaceDN w:val="0"/>
        <w:adjustRightInd w:val="0"/>
        <w:spacing w:after="0" w:line="240" w:lineRule="auto"/>
        <w:jc w:val="both"/>
        <w:rPr>
          <w:rFonts w:asciiTheme="majorHAnsi" w:eastAsia="Times New Roman" w:hAnsiTheme="majorHAnsi" w:cs="Times New Roman"/>
          <w:b/>
        </w:rPr>
      </w:pPr>
      <w:r w:rsidRPr="000E5BD9">
        <w:rPr>
          <w:rFonts w:asciiTheme="majorHAnsi" w:eastAsia="Times New Roman" w:hAnsiTheme="majorHAnsi" w:cs="Times New Roman"/>
          <w:b/>
        </w:rPr>
        <w:t xml:space="preserve">Under DTAA with US: </w:t>
      </w:r>
      <w:r w:rsidRPr="000E5BD9">
        <w:rPr>
          <w:rFonts w:asciiTheme="majorHAnsi" w:eastAsia="Times New Roman" w:hAnsiTheme="majorHAnsi" w:cs="Times New Roman"/>
        </w:rPr>
        <w:t xml:space="preserve">It provides for </w:t>
      </w:r>
      <w:r w:rsidRPr="000E5BD9">
        <w:rPr>
          <w:rFonts w:asciiTheme="majorHAnsi" w:eastAsia="Times New Roman" w:hAnsiTheme="majorHAnsi" w:cs="Times New Roman"/>
          <w:b/>
        </w:rPr>
        <w:t xml:space="preserve">make available </w:t>
      </w:r>
      <w:r w:rsidRPr="000E5BD9">
        <w:rPr>
          <w:rFonts w:asciiTheme="majorHAnsi" w:eastAsia="Times New Roman" w:hAnsiTheme="majorHAnsi" w:cs="Times New Roman"/>
        </w:rPr>
        <w:t>clause.</w:t>
      </w:r>
    </w:p>
    <w:p w:rsidR="003756C2" w:rsidRPr="000E5BD9" w:rsidRDefault="003756C2" w:rsidP="000E5BD9">
      <w:pPr>
        <w:pStyle w:val="ListParagraph"/>
        <w:autoSpaceDE w:val="0"/>
        <w:autoSpaceDN w:val="0"/>
        <w:adjustRightInd w:val="0"/>
        <w:spacing w:after="0" w:line="240" w:lineRule="auto"/>
        <w:ind w:left="1440"/>
        <w:jc w:val="both"/>
        <w:rPr>
          <w:rFonts w:asciiTheme="majorHAnsi" w:eastAsia="Times New Roman" w:hAnsiTheme="majorHAnsi" w:cs="Times New Roman"/>
          <w:b/>
        </w:rPr>
      </w:pP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 xml:space="preserve">The expression "Make Available" is not defined in any of the above mentioned DTAAs. However, "Memorandum of understanding concerning fees for included services in Article 12" signed between the Governments of India and USA provides guidance on the expression "Make Available". The Memorandum provides guidance on this expression in the following manner: </w:t>
      </w:r>
    </w:p>
    <w:p w:rsidR="006751A2" w:rsidRPr="000E5BD9" w:rsidRDefault="006751A2" w:rsidP="000E5BD9">
      <w:pPr>
        <w:pStyle w:val="artquote"/>
        <w:spacing w:before="0" w:beforeAutospacing="0" w:after="0" w:afterAutospacing="0"/>
        <w:jc w:val="both"/>
        <w:rPr>
          <w:rFonts w:asciiTheme="majorHAnsi" w:hAnsiTheme="majorHAnsi"/>
          <w:sz w:val="22"/>
          <w:szCs w:val="22"/>
        </w:rPr>
      </w:pPr>
      <w:r w:rsidRPr="000E5BD9">
        <w:rPr>
          <w:rFonts w:asciiTheme="majorHAnsi" w:hAnsiTheme="majorHAnsi"/>
          <w:sz w:val="22"/>
          <w:szCs w:val="22"/>
        </w:rPr>
        <w:t xml:space="preserve">"Generally speaking, technology will be considered "made available" when the person acquiring the service is enabled to apply the technology. The fact that the provision of the service may require technical input by the person providing the service does not </w:t>
      </w:r>
      <w:r w:rsidRPr="000E5BD9">
        <w:rPr>
          <w:rFonts w:asciiTheme="majorHAnsi" w:hAnsiTheme="majorHAnsi"/>
          <w:i/>
          <w:iCs/>
          <w:sz w:val="22"/>
          <w:szCs w:val="22"/>
        </w:rPr>
        <w:t>per se</w:t>
      </w:r>
      <w:r w:rsidRPr="000E5BD9">
        <w:rPr>
          <w:rFonts w:asciiTheme="majorHAnsi" w:hAnsiTheme="majorHAnsi"/>
          <w:sz w:val="22"/>
          <w:szCs w:val="22"/>
        </w:rPr>
        <w:t xml:space="preserve"> mean that technical knowledge, skills, etc., are made available to the person purchasing the service, within the meaning of paragraph 4(b). Similarly, the use of a product which embodies technology shall not </w:t>
      </w:r>
      <w:r w:rsidRPr="000E5BD9">
        <w:rPr>
          <w:rFonts w:asciiTheme="majorHAnsi" w:hAnsiTheme="majorHAnsi"/>
          <w:i/>
          <w:iCs/>
          <w:sz w:val="22"/>
          <w:szCs w:val="22"/>
        </w:rPr>
        <w:t>per se</w:t>
      </w:r>
      <w:r w:rsidRPr="000E5BD9">
        <w:rPr>
          <w:rFonts w:asciiTheme="majorHAnsi" w:hAnsiTheme="majorHAnsi"/>
          <w:sz w:val="22"/>
          <w:szCs w:val="22"/>
        </w:rPr>
        <w:t xml:space="preserve"> be considered to make the technology available."</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 xml:space="preserve">From the above, it transpires that simple rendering of services is not sufficient for a service to qualify as FTS when the expression "Make Available" is used within the definition of FTS. Rather, </w:t>
      </w:r>
      <w:r w:rsidRPr="000E5BD9">
        <w:rPr>
          <w:rFonts w:asciiTheme="majorHAnsi" w:hAnsiTheme="majorHAnsi"/>
          <w:sz w:val="22"/>
          <w:szCs w:val="22"/>
        </w:rPr>
        <w:lastRenderedPageBreak/>
        <w:t xml:space="preserve">the provision of services should enable the recipient to make use of the technical knowledge etc. by himself without taking help from the provider of the services. </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Here, it would be apt to refer to certain judgments on the matter under consideration.</w:t>
      </w:r>
    </w:p>
    <w:p w:rsidR="006751A2" w:rsidRPr="000E5BD9" w:rsidRDefault="006751A2" w:rsidP="000E5BD9">
      <w:pPr>
        <w:pStyle w:val="arth1"/>
        <w:spacing w:before="0" w:beforeAutospacing="0" w:after="0" w:afterAutospacing="0"/>
        <w:jc w:val="both"/>
        <w:rPr>
          <w:rFonts w:asciiTheme="majorHAnsi" w:hAnsiTheme="majorHAnsi"/>
          <w:sz w:val="22"/>
          <w:szCs w:val="22"/>
        </w:rPr>
      </w:pPr>
      <w:r w:rsidRPr="000E5BD9">
        <w:rPr>
          <w:rFonts w:asciiTheme="majorHAnsi" w:hAnsiTheme="majorHAnsi"/>
          <w:b/>
          <w:bCs/>
          <w:i/>
          <w:iCs/>
          <w:sz w:val="22"/>
          <w:szCs w:val="22"/>
        </w:rPr>
        <w:t>Raymond Ltd.</w:t>
      </w:r>
      <w:r w:rsidRPr="000E5BD9">
        <w:rPr>
          <w:rFonts w:asciiTheme="majorHAnsi" w:hAnsiTheme="majorHAnsi"/>
          <w:b/>
          <w:bCs/>
          <w:sz w:val="22"/>
          <w:szCs w:val="22"/>
        </w:rPr>
        <w:t xml:space="preserve"> v. </w:t>
      </w:r>
      <w:r w:rsidRPr="000E5BD9">
        <w:rPr>
          <w:rFonts w:asciiTheme="majorHAnsi" w:hAnsiTheme="majorHAnsi"/>
          <w:b/>
          <w:bCs/>
          <w:i/>
          <w:iCs/>
          <w:sz w:val="22"/>
          <w:szCs w:val="22"/>
        </w:rPr>
        <w:t xml:space="preserve">Dy. CIT </w:t>
      </w:r>
      <w:r w:rsidRPr="000E5BD9">
        <w:rPr>
          <w:rFonts w:asciiTheme="majorHAnsi" w:hAnsiTheme="majorHAnsi"/>
          <w:b/>
          <w:bCs/>
          <w:sz w:val="22"/>
          <w:szCs w:val="22"/>
        </w:rPr>
        <w:t>[2003] 86 ITD 791 (Mum.)</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In this case, the Mumbai Tribunal had an occasion to consider whether services provided by a UK based entity to an Indian entity in relation to issue of GDRs can be said to involve making available any technical knowledge etc. to Indian entity. After going through the definition of FTS in section 9 and as per DTAA between Indian and UK, the Tribunal noted:</w:t>
      </w:r>
    </w:p>
    <w:p w:rsidR="006751A2" w:rsidRPr="000E5BD9" w:rsidRDefault="006751A2" w:rsidP="000E5BD9">
      <w:pPr>
        <w:pStyle w:val="artquote"/>
        <w:spacing w:before="0" w:beforeAutospacing="0" w:after="0" w:afterAutospacing="0"/>
        <w:jc w:val="both"/>
        <w:rPr>
          <w:rFonts w:asciiTheme="majorHAnsi" w:hAnsiTheme="majorHAnsi"/>
          <w:sz w:val="22"/>
          <w:szCs w:val="22"/>
        </w:rPr>
      </w:pPr>
      <w:r w:rsidRPr="000E5BD9">
        <w:rPr>
          <w:rFonts w:asciiTheme="majorHAnsi" w:hAnsiTheme="majorHAnsi"/>
          <w:sz w:val="22"/>
          <w:szCs w:val="22"/>
        </w:rPr>
        <w:t>"Whereas section 9(1)(</w:t>
      </w:r>
      <w:r w:rsidRPr="000E5BD9">
        <w:rPr>
          <w:rFonts w:asciiTheme="majorHAnsi" w:hAnsiTheme="majorHAnsi"/>
          <w:i/>
          <w:iCs/>
          <w:sz w:val="22"/>
          <w:szCs w:val="22"/>
        </w:rPr>
        <w:t>vii</w:t>
      </w:r>
      <w:r w:rsidRPr="000E5BD9">
        <w:rPr>
          <w:rFonts w:asciiTheme="majorHAnsi" w:hAnsiTheme="majorHAnsi"/>
          <w:sz w:val="22"/>
          <w:szCs w:val="22"/>
        </w:rPr>
        <w:t xml:space="preserve">) stops with the 'rendering' of technical services, the DTA goes further and qualifies such rendering of services with words to the effect that the services should also make available technical knowledge, experience, skills, etc., to the person utilizing the services. The making available in DTA refers to the stage subsequent to the 'making use of stage'. The qualifying word is 'which'- the use of this relative pronoun as a conjunction is to denote some additional function the 'rendering of services' must </w:t>
      </w:r>
      <w:r w:rsidR="00C1749B" w:rsidRPr="000E5BD9">
        <w:rPr>
          <w:rFonts w:asciiTheme="majorHAnsi" w:hAnsiTheme="majorHAnsi"/>
          <w:sz w:val="22"/>
          <w:szCs w:val="22"/>
        </w:rPr>
        <w:t>fulfill</w:t>
      </w:r>
      <w:r w:rsidRPr="000E5BD9">
        <w:rPr>
          <w:rFonts w:asciiTheme="majorHAnsi" w:hAnsiTheme="majorHAnsi"/>
          <w:sz w:val="22"/>
          <w:szCs w:val="22"/>
        </w:rPr>
        <w:t xml:space="preserve">. And that is that it should also 'make available' technical knowledge, experience, skill, etc. Thus, the normal, plain and grammatical meaning of the language employed, is that a mere rendering of services is not roped in unless the person utilising the services is able to make use of the technical knowledge, etc., by himself in his business or for his own benefit and without recourse to the performer of the services in future. The technical knowledge, experience, skill, etc., must remain with the person </w:t>
      </w:r>
      <w:r w:rsidR="00C1749B" w:rsidRPr="000E5BD9">
        <w:rPr>
          <w:rFonts w:asciiTheme="majorHAnsi" w:hAnsiTheme="majorHAnsi"/>
          <w:sz w:val="22"/>
          <w:szCs w:val="22"/>
        </w:rPr>
        <w:t>utilizing</w:t>
      </w:r>
      <w:r w:rsidRPr="000E5BD9">
        <w:rPr>
          <w:rFonts w:asciiTheme="majorHAnsi" w:hAnsiTheme="majorHAnsi"/>
          <w:sz w:val="22"/>
          <w:szCs w:val="22"/>
        </w:rPr>
        <w:t xml:space="preserve"> the services even after the rendering of the services has come to an end. A transmission of the technical knowledge, experience, skills, etc., from the person rendering the services to the person </w:t>
      </w:r>
      <w:r w:rsidR="00C1749B" w:rsidRPr="000E5BD9">
        <w:rPr>
          <w:rFonts w:asciiTheme="majorHAnsi" w:hAnsiTheme="majorHAnsi"/>
          <w:sz w:val="22"/>
          <w:szCs w:val="22"/>
        </w:rPr>
        <w:t>utilizing</w:t>
      </w:r>
      <w:r w:rsidRPr="000E5BD9">
        <w:rPr>
          <w:rFonts w:asciiTheme="majorHAnsi" w:hAnsiTheme="majorHAnsi"/>
          <w:sz w:val="22"/>
          <w:szCs w:val="22"/>
        </w:rPr>
        <w:t xml:space="preserve"> the same is contemplated by the article. Some sort of durability or permanency of the result of the 'rendering of services' is envisaged which will remain at the disposal of the person </w:t>
      </w:r>
      <w:r w:rsidR="00C1749B" w:rsidRPr="000E5BD9">
        <w:rPr>
          <w:rFonts w:asciiTheme="majorHAnsi" w:hAnsiTheme="majorHAnsi"/>
          <w:sz w:val="22"/>
          <w:szCs w:val="22"/>
        </w:rPr>
        <w:t>utilizing</w:t>
      </w:r>
      <w:r w:rsidRPr="000E5BD9">
        <w:rPr>
          <w:rFonts w:asciiTheme="majorHAnsi" w:hAnsiTheme="majorHAnsi"/>
          <w:sz w:val="22"/>
          <w:szCs w:val="22"/>
        </w:rPr>
        <w:t xml:space="preserve"> the services. The fruits of the services should remain available to the person </w:t>
      </w:r>
      <w:r w:rsidR="00C1749B" w:rsidRPr="000E5BD9">
        <w:rPr>
          <w:rFonts w:asciiTheme="majorHAnsi" w:hAnsiTheme="majorHAnsi"/>
          <w:sz w:val="22"/>
          <w:szCs w:val="22"/>
        </w:rPr>
        <w:t>utilizing</w:t>
      </w:r>
      <w:r w:rsidRPr="000E5BD9">
        <w:rPr>
          <w:rFonts w:asciiTheme="majorHAnsi" w:hAnsiTheme="majorHAnsi"/>
          <w:sz w:val="22"/>
          <w:szCs w:val="22"/>
        </w:rPr>
        <w:t xml:space="preserve"> the services in some concrete shape such as technical knowledge, experience, skills, etc."</w:t>
      </w:r>
    </w:p>
    <w:p w:rsidR="006751A2" w:rsidRPr="000E5BD9" w:rsidRDefault="006751A2" w:rsidP="000E5BD9">
      <w:pPr>
        <w:pStyle w:val="arth1"/>
        <w:spacing w:before="0" w:beforeAutospacing="0" w:after="0" w:afterAutospacing="0"/>
        <w:jc w:val="both"/>
        <w:rPr>
          <w:rFonts w:asciiTheme="majorHAnsi" w:hAnsiTheme="majorHAnsi"/>
          <w:sz w:val="22"/>
          <w:szCs w:val="22"/>
        </w:rPr>
      </w:pPr>
      <w:r w:rsidRPr="000E5BD9">
        <w:rPr>
          <w:rFonts w:asciiTheme="majorHAnsi" w:hAnsiTheme="majorHAnsi"/>
          <w:b/>
          <w:bCs/>
          <w:i/>
          <w:iCs/>
          <w:sz w:val="22"/>
          <w:szCs w:val="22"/>
        </w:rPr>
        <w:t>Mahindra &amp; Mahindra Ltd.</w:t>
      </w:r>
      <w:r w:rsidRPr="000E5BD9">
        <w:rPr>
          <w:rFonts w:asciiTheme="majorHAnsi" w:hAnsiTheme="majorHAnsi"/>
          <w:b/>
          <w:bCs/>
          <w:sz w:val="22"/>
          <w:szCs w:val="22"/>
        </w:rPr>
        <w:t xml:space="preserve"> v. </w:t>
      </w:r>
      <w:r w:rsidRPr="000E5BD9">
        <w:rPr>
          <w:rFonts w:asciiTheme="majorHAnsi" w:hAnsiTheme="majorHAnsi"/>
          <w:b/>
          <w:bCs/>
          <w:i/>
          <w:iCs/>
          <w:sz w:val="22"/>
          <w:szCs w:val="22"/>
        </w:rPr>
        <w:t>Dy. CIT</w:t>
      </w:r>
      <w:r w:rsidRPr="000E5BD9">
        <w:rPr>
          <w:rFonts w:asciiTheme="majorHAnsi" w:hAnsiTheme="majorHAnsi"/>
          <w:b/>
          <w:bCs/>
          <w:sz w:val="22"/>
          <w:szCs w:val="22"/>
        </w:rPr>
        <w:t xml:space="preserve"> [2009] 30 SOT 374/[2010] 122 ITD 216 (Mum.) (SB)</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 xml:space="preserve">In this case, the Special Bench of the Tribunal had an occasion, </w:t>
      </w:r>
      <w:r w:rsidRPr="000E5BD9">
        <w:rPr>
          <w:rFonts w:asciiTheme="majorHAnsi" w:hAnsiTheme="majorHAnsi"/>
          <w:i/>
          <w:iCs/>
          <w:sz w:val="22"/>
          <w:szCs w:val="22"/>
        </w:rPr>
        <w:t>inter alia,</w:t>
      </w:r>
      <w:r w:rsidRPr="000E5BD9">
        <w:rPr>
          <w:rFonts w:asciiTheme="majorHAnsi" w:hAnsiTheme="majorHAnsi"/>
          <w:sz w:val="22"/>
          <w:szCs w:val="22"/>
        </w:rPr>
        <w:t xml:space="preserve"> to consider as to what exactly "Make Available" means. The Tribunal noted the following:</w:t>
      </w:r>
    </w:p>
    <w:p w:rsidR="006751A2" w:rsidRPr="000E5BD9" w:rsidRDefault="006751A2" w:rsidP="000E5BD9">
      <w:pPr>
        <w:pStyle w:val="artquote"/>
        <w:spacing w:before="0" w:beforeAutospacing="0" w:after="0" w:afterAutospacing="0"/>
        <w:jc w:val="both"/>
        <w:rPr>
          <w:rFonts w:asciiTheme="majorHAnsi" w:hAnsiTheme="majorHAnsi"/>
          <w:sz w:val="22"/>
          <w:szCs w:val="22"/>
        </w:rPr>
      </w:pPr>
      <w:r w:rsidRPr="000E5BD9">
        <w:rPr>
          <w:rFonts w:asciiTheme="majorHAnsi" w:hAnsiTheme="majorHAnsi"/>
          <w:sz w:val="22"/>
          <w:szCs w:val="22"/>
        </w:rPr>
        <w:t>"….In this context, it becomes imperative to understand the meaning of the expression 'make available' as used in this article. Make available means to provide something to one, which is capable of use by the other. Such use may be for once only or on a continuous basis. In our context to make available the technical services means that such technical information or advice is transmitted by the non-resident to the assessee, which remains at its disposal for taking the benefit there from by use. Even the use of such technical services by the recipient for once only will satisfy the test of making available the technical services to the assessee. If the non-resident uses all the technical services at its own end, albeit the benefit of that directly and solely flows to the payer of the services, that cannot be characterized as the making available of the technical services to the recipient."</w:t>
      </w:r>
    </w:p>
    <w:p w:rsidR="006751A2" w:rsidRPr="000E5BD9" w:rsidRDefault="006751A2" w:rsidP="000E5BD9">
      <w:pPr>
        <w:pStyle w:val="arth1"/>
        <w:spacing w:before="0" w:beforeAutospacing="0" w:after="0" w:afterAutospacing="0"/>
        <w:jc w:val="both"/>
        <w:rPr>
          <w:rFonts w:asciiTheme="majorHAnsi" w:hAnsiTheme="majorHAnsi"/>
          <w:sz w:val="22"/>
          <w:szCs w:val="22"/>
        </w:rPr>
      </w:pPr>
      <w:r w:rsidRPr="000E5BD9">
        <w:rPr>
          <w:rFonts w:asciiTheme="majorHAnsi" w:hAnsiTheme="majorHAnsi"/>
          <w:b/>
          <w:bCs/>
          <w:i/>
          <w:iCs/>
          <w:sz w:val="22"/>
          <w:szCs w:val="22"/>
        </w:rPr>
        <w:t>Bovis Lend Lease (India) (P.) Ltd.</w:t>
      </w:r>
      <w:r w:rsidRPr="000E5BD9">
        <w:rPr>
          <w:rFonts w:asciiTheme="majorHAnsi" w:hAnsiTheme="majorHAnsi"/>
          <w:b/>
          <w:bCs/>
          <w:sz w:val="22"/>
          <w:szCs w:val="22"/>
        </w:rPr>
        <w:t xml:space="preserve"> v. </w:t>
      </w:r>
      <w:r w:rsidRPr="000E5BD9">
        <w:rPr>
          <w:rFonts w:asciiTheme="majorHAnsi" w:hAnsiTheme="majorHAnsi"/>
          <w:b/>
          <w:bCs/>
          <w:i/>
          <w:iCs/>
          <w:sz w:val="22"/>
          <w:szCs w:val="22"/>
        </w:rPr>
        <w:t xml:space="preserve">ITO </w:t>
      </w:r>
      <w:r w:rsidRPr="000E5BD9">
        <w:rPr>
          <w:rFonts w:asciiTheme="majorHAnsi" w:hAnsiTheme="majorHAnsi"/>
          <w:b/>
          <w:bCs/>
          <w:sz w:val="22"/>
          <w:szCs w:val="22"/>
        </w:rPr>
        <w:t>[2010] 36 SOT 166 (Bang.)</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In this case, the Tribunal noted the following in relation to the expression "Make Available":</w:t>
      </w:r>
    </w:p>
    <w:p w:rsidR="006751A2" w:rsidRPr="000E5BD9" w:rsidRDefault="006751A2" w:rsidP="000E5BD9">
      <w:pPr>
        <w:pStyle w:val="artquote"/>
        <w:spacing w:before="0" w:beforeAutospacing="0" w:after="0" w:afterAutospacing="0"/>
        <w:jc w:val="both"/>
        <w:rPr>
          <w:rFonts w:asciiTheme="majorHAnsi" w:hAnsiTheme="majorHAnsi"/>
          <w:sz w:val="22"/>
          <w:szCs w:val="22"/>
        </w:rPr>
      </w:pPr>
      <w:r w:rsidRPr="000E5BD9">
        <w:rPr>
          <w:rFonts w:asciiTheme="majorHAnsi" w:hAnsiTheme="majorHAnsi"/>
          <w:sz w:val="22"/>
          <w:szCs w:val="22"/>
        </w:rPr>
        <w:t>"57. The term "make available" has a distinct meaning under the Treaty. It postulates a concept wherein the recipient of the services is not only benefited by the services but there is also a transfer of the technology, processes, skill, etc., to the recipient in a manner which will enable the latter to apply the technology, processes, skill, etc., in future without recourse to the service provider. The term "make available" encompasses some sort of durability and stability with reference to the transfer of technology, processes and skill etc., so that the same is not regarded as transient or ephemeral."</w:t>
      </w:r>
    </w:p>
    <w:p w:rsidR="006751A2" w:rsidRPr="000E5BD9" w:rsidRDefault="006751A2" w:rsidP="000E5BD9">
      <w:pPr>
        <w:pStyle w:val="arth1"/>
        <w:spacing w:before="0" w:beforeAutospacing="0" w:after="0" w:afterAutospacing="0"/>
        <w:jc w:val="both"/>
        <w:rPr>
          <w:rFonts w:asciiTheme="majorHAnsi" w:hAnsiTheme="majorHAnsi"/>
          <w:sz w:val="22"/>
          <w:szCs w:val="22"/>
        </w:rPr>
      </w:pPr>
      <w:r w:rsidRPr="000E5BD9">
        <w:rPr>
          <w:rFonts w:asciiTheme="majorHAnsi" w:hAnsiTheme="majorHAnsi"/>
          <w:b/>
          <w:bCs/>
          <w:i/>
          <w:iCs/>
          <w:sz w:val="22"/>
          <w:szCs w:val="22"/>
        </w:rPr>
        <w:t>Intertek Testing Services India (P) Ltd., In re</w:t>
      </w:r>
      <w:r w:rsidRPr="000E5BD9">
        <w:rPr>
          <w:rFonts w:asciiTheme="majorHAnsi" w:hAnsiTheme="majorHAnsi"/>
          <w:b/>
          <w:bCs/>
          <w:sz w:val="22"/>
          <w:szCs w:val="22"/>
        </w:rPr>
        <w:t xml:space="preserve"> [2008] 175 Taxman 375 (AAR - New Delhi)</w:t>
      </w:r>
    </w:p>
    <w:p w:rsidR="006751A2" w:rsidRPr="000E5BD9" w:rsidRDefault="006751A2" w:rsidP="000E5BD9">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In this case, the AAR noted the following in relation the expression "Make Available":</w:t>
      </w:r>
    </w:p>
    <w:p w:rsidR="006751A2" w:rsidRPr="000E5BD9" w:rsidRDefault="006751A2" w:rsidP="000E5BD9">
      <w:pPr>
        <w:pStyle w:val="artquote"/>
        <w:spacing w:before="0" w:beforeAutospacing="0" w:after="0" w:afterAutospacing="0"/>
        <w:jc w:val="both"/>
        <w:rPr>
          <w:rFonts w:asciiTheme="majorHAnsi" w:hAnsiTheme="majorHAnsi"/>
          <w:sz w:val="22"/>
          <w:szCs w:val="22"/>
        </w:rPr>
      </w:pPr>
      <w:r w:rsidRPr="000E5BD9">
        <w:rPr>
          <w:rFonts w:asciiTheme="majorHAnsi" w:hAnsiTheme="majorHAnsi"/>
          <w:sz w:val="22"/>
          <w:szCs w:val="22"/>
        </w:rPr>
        <w:lastRenderedPageBreak/>
        <w:t>"The phrase "make available": There are three ingredients or requirements in clause (</w:t>
      </w:r>
      <w:r w:rsidRPr="000E5BD9">
        <w:rPr>
          <w:rFonts w:asciiTheme="majorHAnsi" w:hAnsiTheme="majorHAnsi"/>
          <w:i/>
          <w:iCs/>
          <w:sz w:val="22"/>
          <w:szCs w:val="22"/>
        </w:rPr>
        <w:t>c</w:t>
      </w:r>
      <w:r w:rsidRPr="000E5BD9">
        <w:rPr>
          <w:rFonts w:asciiTheme="majorHAnsi" w:hAnsiTheme="majorHAnsi"/>
          <w:sz w:val="22"/>
          <w:szCs w:val="22"/>
        </w:rPr>
        <w:t>). The first requirement is that the payment is made by way of consideration for the rendering of technical or consultancy services ('including the provision of services of technical or other personnel). The second requirement is that those services should make available technical knowledge, skills, etc. to the recipient of services". That means, the technical or consultancy service rendered should be of such a nature that "makes available" to the recipient technical knowledge, know-how and the like. The service should be aimed at and result in transmitting the technical knowledge, etc. so that the payer of service could derive an enduring benefit and utilize the knowledge or know-how in future on his own without the aid of service provider. By making available the technical skills or know-how, the recipient of service will get equipped with that knowledge or expertise and be able to make use of it in future, independent of the service provider."</w:t>
      </w:r>
    </w:p>
    <w:p w:rsidR="00C6632B" w:rsidRDefault="006751A2" w:rsidP="00C6632B">
      <w:pPr>
        <w:pStyle w:val="art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 xml:space="preserve">From the above judgments/Rulings, it is clear that condition of "Make Available" gets satisfied when the recipient of service is equipped with the knowledge or expertise and becomes capable of using the knowledge without the intervention of the service provider. In case the condition of "Make Available" does not get satisfied, withholding is not required to be done under section 195 of the Income-tax Act in case payment for FTS is being made to payee who is resident of any of the above-mentioned 9 countries or the countries enjoying MFN clause. Now, a pertinent question arises for consideration as to what services can be said to be making available the technical knowledge, know-how etc. to the recipient of services. There cannot be any definite answer to it and it would depend upon particular facts of the case. </w:t>
      </w:r>
    </w:p>
    <w:p w:rsidR="00C1749B" w:rsidRDefault="00C1749B" w:rsidP="00C6632B">
      <w:pPr>
        <w:pStyle w:val="arttx"/>
        <w:spacing w:before="0" w:beforeAutospacing="0" w:after="0" w:afterAutospacing="0"/>
        <w:jc w:val="both"/>
        <w:rPr>
          <w:rFonts w:asciiTheme="majorHAnsi" w:hAnsiTheme="majorHAnsi"/>
          <w:b/>
        </w:rPr>
      </w:pPr>
    </w:p>
    <w:p w:rsidR="003756C2" w:rsidRPr="00C6632B" w:rsidRDefault="00C6632B" w:rsidP="00C6632B">
      <w:pPr>
        <w:pStyle w:val="arttx"/>
        <w:spacing w:before="0" w:beforeAutospacing="0" w:after="0" w:afterAutospacing="0"/>
        <w:jc w:val="both"/>
        <w:rPr>
          <w:rFonts w:asciiTheme="majorHAnsi" w:hAnsiTheme="majorHAnsi"/>
          <w:sz w:val="22"/>
          <w:szCs w:val="22"/>
        </w:rPr>
      </w:pPr>
      <w:r>
        <w:rPr>
          <w:rFonts w:asciiTheme="majorHAnsi" w:hAnsiTheme="majorHAnsi"/>
          <w:b/>
        </w:rPr>
        <w:t xml:space="preserve">iii) </w:t>
      </w:r>
      <w:r w:rsidR="00362FF9" w:rsidRPr="00C6632B">
        <w:rPr>
          <w:rFonts w:asciiTheme="majorHAnsi" w:hAnsiTheme="majorHAnsi"/>
          <w:b/>
        </w:rPr>
        <w:t>Analysis of the instant transaction</w:t>
      </w:r>
      <w:r w:rsidRPr="00C6632B">
        <w:rPr>
          <w:rFonts w:asciiTheme="majorHAnsi" w:hAnsiTheme="majorHAnsi"/>
          <w:b/>
        </w:rPr>
        <w:t>:</w:t>
      </w:r>
    </w:p>
    <w:p w:rsidR="00D94B17" w:rsidRDefault="005F7DA4" w:rsidP="00D94B17">
      <w:pPr>
        <w:pStyle w:val="ListParagraph"/>
        <w:autoSpaceDE w:val="0"/>
        <w:autoSpaceDN w:val="0"/>
        <w:adjustRightInd w:val="0"/>
        <w:spacing w:after="0" w:line="240" w:lineRule="auto"/>
        <w:ind w:left="0"/>
        <w:jc w:val="both"/>
        <w:rPr>
          <w:rFonts w:asciiTheme="majorHAnsi" w:eastAsia="Times New Roman" w:hAnsiTheme="majorHAnsi" w:cs="Times New Roman"/>
        </w:rPr>
      </w:pPr>
      <w:r>
        <w:rPr>
          <w:rFonts w:asciiTheme="majorHAnsi" w:eastAsia="Times New Roman" w:hAnsiTheme="majorHAnsi" w:cs="Times New Roman"/>
        </w:rPr>
        <w:t>In the instant transaction Brief assessment is done for pre hiring candidate.  Means making good hiring decisions about external candidates as it can be ve</w:t>
      </w:r>
      <w:r w:rsidR="003A62E5">
        <w:rPr>
          <w:rFonts w:asciiTheme="majorHAnsi" w:eastAsia="Times New Roman" w:hAnsiTheme="majorHAnsi" w:cs="Times New Roman"/>
        </w:rPr>
        <w:t>ry difficult for employers.  WDL</w:t>
      </w:r>
      <w:r>
        <w:rPr>
          <w:rFonts w:asciiTheme="majorHAnsi" w:eastAsia="Times New Roman" w:hAnsiTheme="majorHAnsi" w:cs="Times New Roman"/>
        </w:rPr>
        <w:t xml:space="preserve"> have designed to help objectify this process for professional and managerial candidates, where getting the right “fit” is absolutely critical.  Each assessment involves an in-depth personal interview with a psychologist, supplemented with a battery of relevant personal</w:t>
      </w:r>
      <w:r w:rsidR="003A62E5">
        <w:rPr>
          <w:rFonts w:asciiTheme="majorHAnsi" w:eastAsia="Times New Roman" w:hAnsiTheme="majorHAnsi" w:cs="Times New Roman"/>
        </w:rPr>
        <w:t>ity and aptitude tests.  And WDL</w:t>
      </w:r>
      <w:r>
        <w:rPr>
          <w:rFonts w:asciiTheme="majorHAnsi" w:eastAsia="Times New Roman" w:hAnsiTheme="majorHAnsi" w:cs="Times New Roman"/>
        </w:rPr>
        <w:t xml:space="preserve"> </w:t>
      </w:r>
      <w:r w:rsidR="00362FF9">
        <w:rPr>
          <w:rFonts w:asciiTheme="majorHAnsi" w:eastAsia="Times New Roman" w:hAnsiTheme="majorHAnsi" w:cs="Times New Roman"/>
        </w:rPr>
        <w:t>provide with both verbal feedback and comprehensive reports.  They provide detailed feedback on such characteristics as:</w:t>
      </w:r>
    </w:p>
    <w:p w:rsid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Intellectual capacity and problem-solving style</w:t>
      </w:r>
    </w:p>
    <w:p w:rsid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Emotional characteristics and coping style</w:t>
      </w:r>
    </w:p>
    <w:p w:rsid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 xml:space="preserve">Psychological needs and motivations </w:t>
      </w:r>
    </w:p>
    <w:p w:rsid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Insight and capacity for personal growth</w:t>
      </w:r>
    </w:p>
    <w:p w:rsid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Management and work style</w:t>
      </w:r>
    </w:p>
    <w:p w:rsidR="00362FF9" w:rsidRPr="00D94B17" w:rsidRDefault="00362FF9" w:rsidP="00D94B17">
      <w:pPr>
        <w:pStyle w:val="ListParagraph"/>
        <w:numPr>
          <w:ilvl w:val="0"/>
          <w:numId w:val="6"/>
        </w:numPr>
        <w:autoSpaceDE w:val="0"/>
        <w:autoSpaceDN w:val="0"/>
        <w:adjustRightInd w:val="0"/>
        <w:spacing w:after="0" w:line="240" w:lineRule="auto"/>
        <w:jc w:val="both"/>
        <w:rPr>
          <w:rFonts w:asciiTheme="majorHAnsi" w:eastAsia="Times New Roman" w:hAnsiTheme="majorHAnsi" w:cs="Times New Roman"/>
        </w:rPr>
      </w:pPr>
      <w:r w:rsidRPr="00D94B17">
        <w:rPr>
          <w:rFonts w:asciiTheme="majorHAnsi" w:eastAsia="Times New Roman" w:hAnsiTheme="majorHAnsi" w:cs="Times New Roman"/>
        </w:rPr>
        <w:t>Developmental areas and potential risks</w:t>
      </w:r>
    </w:p>
    <w:p w:rsidR="00362FF9" w:rsidRDefault="00C6632B" w:rsidP="00D94B17">
      <w:pPr>
        <w:pStyle w:val="ListParagraph"/>
        <w:autoSpaceDE w:val="0"/>
        <w:autoSpaceDN w:val="0"/>
        <w:adjustRightInd w:val="0"/>
        <w:spacing w:after="0" w:line="240" w:lineRule="auto"/>
        <w:ind w:left="0"/>
        <w:jc w:val="both"/>
        <w:rPr>
          <w:rFonts w:asciiTheme="majorHAnsi" w:eastAsia="Times New Roman" w:hAnsiTheme="majorHAnsi" w:cs="Times New Roman"/>
        </w:rPr>
      </w:pPr>
      <w:r>
        <w:rPr>
          <w:rFonts w:asciiTheme="majorHAnsi" w:eastAsia="Times New Roman" w:hAnsiTheme="majorHAnsi" w:cs="Times New Roman"/>
        </w:rPr>
        <w:t xml:space="preserve">Hence the </w:t>
      </w:r>
      <w:r w:rsidR="00C1749B">
        <w:rPr>
          <w:rFonts w:asciiTheme="majorHAnsi" w:eastAsia="Times New Roman" w:hAnsiTheme="majorHAnsi" w:cs="Times New Roman"/>
        </w:rPr>
        <w:t>nature of services under the instant agreement does</w:t>
      </w:r>
      <w:r w:rsidR="007E4B23">
        <w:rPr>
          <w:rFonts w:asciiTheme="majorHAnsi" w:eastAsia="Times New Roman" w:hAnsiTheme="majorHAnsi" w:cs="Times New Roman"/>
        </w:rPr>
        <w:t xml:space="preserve"> not make available any technical knowledge to the service recipient</w:t>
      </w:r>
      <w:r>
        <w:rPr>
          <w:rFonts w:asciiTheme="majorHAnsi" w:eastAsia="Times New Roman" w:hAnsiTheme="majorHAnsi" w:cs="Times New Roman"/>
        </w:rPr>
        <w:t>.  It is clear that condition of “Make Available” is not satisfied.</w:t>
      </w:r>
    </w:p>
    <w:p w:rsidR="00C1749B" w:rsidRDefault="00C1749B" w:rsidP="00D94B17">
      <w:pPr>
        <w:pStyle w:val="ListParagraph"/>
        <w:autoSpaceDE w:val="0"/>
        <w:autoSpaceDN w:val="0"/>
        <w:adjustRightInd w:val="0"/>
        <w:spacing w:after="0" w:line="240" w:lineRule="auto"/>
        <w:ind w:left="0"/>
        <w:jc w:val="both"/>
        <w:rPr>
          <w:rFonts w:asciiTheme="majorHAnsi" w:eastAsia="Times New Roman" w:hAnsiTheme="majorHAnsi" w:cs="Times New Roman"/>
        </w:rPr>
      </w:pPr>
    </w:p>
    <w:p w:rsidR="00C1749B" w:rsidRPr="000E5BD9" w:rsidRDefault="00C1749B" w:rsidP="00C1749B">
      <w:pPr>
        <w:pStyle w:val="tx"/>
        <w:spacing w:before="0" w:beforeAutospacing="0" w:after="0" w:afterAutospacing="0"/>
        <w:jc w:val="both"/>
        <w:rPr>
          <w:rFonts w:asciiTheme="majorHAnsi" w:hAnsiTheme="majorHAnsi"/>
          <w:sz w:val="22"/>
          <w:szCs w:val="22"/>
        </w:rPr>
      </w:pPr>
      <w:r w:rsidRPr="000E5BD9">
        <w:rPr>
          <w:rFonts w:asciiTheme="majorHAnsi" w:hAnsiTheme="majorHAnsi"/>
          <w:b/>
          <w:bCs/>
          <w:sz w:val="22"/>
          <w:szCs w:val="22"/>
        </w:rPr>
        <w:t>The following sub-section (4) shall be inserted after sub-section (3) of section 90 by the Finance Act, 2012, w.e.f. 1-4-2013:</w:t>
      </w:r>
    </w:p>
    <w:p w:rsidR="00C1749B" w:rsidRDefault="00C1749B" w:rsidP="00C1749B">
      <w:pPr>
        <w:pStyle w:val="tx"/>
        <w:spacing w:before="0" w:beforeAutospacing="0" w:after="0" w:afterAutospacing="0"/>
        <w:jc w:val="both"/>
        <w:rPr>
          <w:rFonts w:asciiTheme="majorHAnsi" w:hAnsiTheme="majorHAnsi"/>
          <w:i/>
          <w:iCs/>
          <w:sz w:val="22"/>
          <w:szCs w:val="22"/>
        </w:rPr>
      </w:pPr>
      <w:r w:rsidRPr="000E5BD9">
        <w:rPr>
          <w:rFonts w:asciiTheme="majorHAnsi" w:hAnsiTheme="majorHAnsi"/>
          <w:i/>
          <w:iCs/>
          <w:sz w:val="22"/>
          <w:szCs w:val="22"/>
        </w:rPr>
        <w:t>(4) An assessee, not being a resident, to whom an agreement referred to in sub-section (1)</w:t>
      </w:r>
      <w:r w:rsidRPr="000E5BD9">
        <w:rPr>
          <w:rFonts w:asciiTheme="majorHAnsi" w:hAnsiTheme="majorHAnsi"/>
          <w:sz w:val="22"/>
          <w:szCs w:val="22"/>
        </w:rPr>
        <w:t xml:space="preserve"> </w:t>
      </w:r>
      <w:r w:rsidRPr="000E5BD9">
        <w:rPr>
          <w:rFonts w:asciiTheme="majorHAnsi" w:hAnsiTheme="majorHAnsi"/>
          <w:i/>
          <w:iCs/>
          <w:sz w:val="22"/>
          <w:szCs w:val="22"/>
        </w:rPr>
        <w:t>applies, shall not be entitled to claim any relief under such agreement unless a certificate, containing such particulars as may be prescribed, of his being a resident in any country outside India or specified territory outside India, as the case may be, is obtained by him from the Government of that country or specified territory</w:t>
      </w:r>
      <w:r>
        <w:rPr>
          <w:rFonts w:asciiTheme="majorHAnsi" w:hAnsiTheme="majorHAnsi"/>
          <w:i/>
          <w:iCs/>
          <w:sz w:val="22"/>
          <w:szCs w:val="22"/>
        </w:rPr>
        <w:t>.</w:t>
      </w:r>
    </w:p>
    <w:p w:rsidR="00C1749B" w:rsidRDefault="00C1749B" w:rsidP="00C1749B">
      <w:pPr>
        <w:pStyle w:val="tx"/>
        <w:spacing w:before="0" w:beforeAutospacing="0" w:after="0" w:afterAutospacing="0"/>
        <w:jc w:val="both"/>
        <w:rPr>
          <w:rFonts w:asciiTheme="majorHAnsi" w:hAnsiTheme="majorHAnsi"/>
          <w:i/>
          <w:iCs/>
          <w:sz w:val="22"/>
          <w:szCs w:val="22"/>
        </w:rPr>
      </w:pPr>
    </w:p>
    <w:p w:rsidR="00C1749B" w:rsidRPr="000E5BD9" w:rsidRDefault="00C1749B" w:rsidP="00C1749B">
      <w:pPr>
        <w:pStyle w:val="tx"/>
        <w:spacing w:before="0" w:beforeAutospacing="0" w:after="0" w:afterAutospacing="0"/>
        <w:jc w:val="both"/>
        <w:rPr>
          <w:rFonts w:asciiTheme="majorHAnsi" w:hAnsiTheme="majorHAnsi"/>
          <w:sz w:val="22"/>
          <w:szCs w:val="22"/>
        </w:rPr>
      </w:pPr>
    </w:p>
    <w:p w:rsidR="00C1749B" w:rsidRDefault="00C1749B" w:rsidP="00D94B17">
      <w:pPr>
        <w:pStyle w:val="ListParagraph"/>
        <w:autoSpaceDE w:val="0"/>
        <w:autoSpaceDN w:val="0"/>
        <w:adjustRightInd w:val="0"/>
        <w:spacing w:after="0" w:line="240" w:lineRule="auto"/>
        <w:ind w:left="0"/>
        <w:jc w:val="both"/>
        <w:rPr>
          <w:rFonts w:asciiTheme="majorHAnsi" w:eastAsia="Times New Roman" w:hAnsiTheme="majorHAnsi" w:cs="Times New Roman"/>
        </w:rPr>
      </w:pPr>
    </w:p>
    <w:p w:rsidR="00C6632B" w:rsidRDefault="00C6632B" w:rsidP="000E5BD9">
      <w:pPr>
        <w:pStyle w:val="ListParagraph"/>
        <w:autoSpaceDE w:val="0"/>
        <w:autoSpaceDN w:val="0"/>
        <w:adjustRightInd w:val="0"/>
        <w:spacing w:after="0" w:line="240" w:lineRule="auto"/>
        <w:ind w:left="1440"/>
        <w:jc w:val="both"/>
        <w:rPr>
          <w:rFonts w:asciiTheme="majorHAnsi" w:eastAsia="Times New Roman" w:hAnsiTheme="majorHAnsi" w:cs="Times New Roman"/>
        </w:rPr>
      </w:pPr>
    </w:p>
    <w:p w:rsidR="00362FF9" w:rsidRPr="005F7DA4" w:rsidRDefault="00362FF9" w:rsidP="000E5BD9">
      <w:pPr>
        <w:pStyle w:val="ListParagraph"/>
        <w:autoSpaceDE w:val="0"/>
        <w:autoSpaceDN w:val="0"/>
        <w:adjustRightInd w:val="0"/>
        <w:spacing w:after="0" w:line="240" w:lineRule="auto"/>
        <w:ind w:left="1440"/>
        <w:jc w:val="both"/>
        <w:rPr>
          <w:rFonts w:asciiTheme="majorHAnsi" w:eastAsia="Times New Roman" w:hAnsiTheme="majorHAnsi" w:cs="Times New Roman"/>
        </w:rPr>
      </w:pPr>
    </w:p>
    <w:p w:rsidR="00570D14" w:rsidRPr="00C6632B" w:rsidRDefault="006751A2" w:rsidP="000E5BD9">
      <w:pPr>
        <w:pStyle w:val="ListParagraph"/>
        <w:numPr>
          <w:ilvl w:val="0"/>
          <w:numId w:val="5"/>
        </w:numPr>
        <w:spacing w:after="0" w:line="240" w:lineRule="auto"/>
        <w:jc w:val="both"/>
        <w:rPr>
          <w:rFonts w:asciiTheme="majorHAnsi" w:hAnsiTheme="majorHAnsi"/>
          <w:b/>
          <w:u w:val="single"/>
        </w:rPr>
      </w:pPr>
      <w:r w:rsidRPr="00C6632B">
        <w:rPr>
          <w:rFonts w:asciiTheme="majorHAnsi" w:hAnsiTheme="majorHAnsi"/>
          <w:b/>
          <w:u w:val="single"/>
        </w:rPr>
        <w:lastRenderedPageBreak/>
        <w:t>Conclusion:</w:t>
      </w:r>
    </w:p>
    <w:p w:rsidR="006751A2" w:rsidRPr="000E5BD9" w:rsidRDefault="00E25897" w:rsidP="000E5BD9">
      <w:pPr>
        <w:spacing w:after="0" w:line="240" w:lineRule="auto"/>
        <w:jc w:val="both"/>
        <w:rPr>
          <w:rFonts w:asciiTheme="majorHAnsi" w:hAnsiTheme="majorHAnsi"/>
        </w:rPr>
      </w:pPr>
      <w:r w:rsidRPr="000E5BD9">
        <w:rPr>
          <w:rFonts w:asciiTheme="majorHAnsi" w:hAnsiTheme="majorHAnsi"/>
        </w:rPr>
        <w:t xml:space="preserve"> </w:t>
      </w:r>
      <w:r w:rsidR="00362FF9">
        <w:rPr>
          <w:rFonts w:asciiTheme="majorHAnsi" w:hAnsiTheme="majorHAnsi"/>
        </w:rPr>
        <w:t xml:space="preserve">Sec 90(2): </w:t>
      </w:r>
      <w:r w:rsidRPr="000E5BD9">
        <w:rPr>
          <w:rFonts w:asciiTheme="majorHAnsi" w:hAnsiTheme="majorHAnsi"/>
        </w:rPr>
        <w:t>Where the Central Government has entered into an agreement with the Government of any country outside India or specified territory outside India, as the case may be, under sub-section (1) for granting relief of tax, or as the case may be, avoidance of double taxation, then, in relation to the assessee to whom such agreement applies, the provisions of this Act shall apply to the extent they are more beneficial to that assesse</w:t>
      </w:r>
      <w:r w:rsidR="00A067FB">
        <w:rPr>
          <w:rFonts w:asciiTheme="majorHAnsi" w:hAnsiTheme="majorHAnsi"/>
        </w:rPr>
        <w:t>e.</w:t>
      </w:r>
    </w:p>
    <w:p w:rsidR="00E25897" w:rsidRPr="000E5BD9" w:rsidRDefault="00E25897" w:rsidP="000E5BD9">
      <w:pPr>
        <w:pStyle w:val="tx"/>
        <w:spacing w:before="0" w:beforeAutospacing="0" w:after="0" w:afterAutospacing="0"/>
        <w:jc w:val="both"/>
        <w:rPr>
          <w:rFonts w:asciiTheme="majorHAnsi" w:hAnsiTheme="majorHAnsi"/>
          <w:sz w:val="22"/>
          <w:szCs w:val="22"/>
        </w:rPr>
      </w:pPr>
      <w:r w:rsidRPr="000E5BD9">
        <w:rPr>
          <w:rFonts w:asciiTheme="majorHAnsi" w:hAnsiTheme="majorHAnsi"/>
          <w:sz w:val="22"/>
          <w:szCs w:val="22"/>
        </w:rPr>
        <w:t>.</w:t>
      </w:r>
    </w:p>
    <w:p w:rsidR="00C1749B" w:rsidRDefault="00C1749B" w:rsidP="000E5BD9">
      <w:pPr>
        <w:spacing w:after="0" w:line="240" w:lineRule="auto"/>
        <w:jc w:val="both"/>
        <w:rPr>
          <w:rFonts w:asciiTheme="majorHAnsi" w:hAnsiTheme="majorHAnsi"/>
        </w:rPr>
      </w:pPr>
    </w:p>
    <w:p w:rsidR="00E25897" w:rsidRPr="00C1749B" w:rsidRDefault="00E25897" w:rsidP="000E5BD9">
      <w:pPr>
        <w:spacing w:after="0" w:line="240" w:lineRule="auto"/>
        <w:jc w:val="both"/>
        <w:rPr>
          <w:rFonts w:asciiTheme="majorHAnsi" w:hAnsiTheme="majorHAnsi"/>
          <w:b/>
        </w:rPr>
      </w:pPr>
      <w:r w:rsidRPr="00C1749B">
        <w:rPr>
          <w:rFonts w:asciiTheme="majorHAnsi" w:hAnsiTheme="majorHAnsi"/>
          <w:b/>
        </w:rPr>
        <w:t>We are therefore of the considered view that the transaction is not s</w:t>
      </w:r>
      <w:r w:rsidR="00C6632B" w:rsidRPr="00C1749B">
        <w:rPr>
          <w:rFonts w:asciiTheme="majorHAnsi" w:hAnsiTheme="majorHAnsi"/>
          <w:b/>
        </w:rPr>
        <w:t xml:space="preserve">ubject to tax in India.  </w:t>
      </w:r>
      <w:r w:rsidRPr="00C1749B">
        <w:rPr>
          <w:rFonts w:asciiTheme="majorHAnsi" w:hAnsiTheme="majorHAnsi"/>
          <w:b/>
        </w:rPr>
        <w:t>Section 195 dealing with deduction of tax at source on payments to non residents is only a machinery provision to enable early collection of tax and applies only when the underlying transaction is itself taxable in the Indian jurisdiction.</w:t>
      </w:r>
      <w:r w:rsidR="005F7DA4" w:rsidRPr="00C1749B">
        <w:rPr>
          <w:rFonts w:asciiTheme="majorHAnsi" w:hAnsiTheme="majorHAnsi"/>
          <w:b/>
        </w:rPr>
        <w:t xml:space="preserve"> </w:t>
      </w:r>
      <w:r w:rsidRPr="00C1749B">
        <w:rPr>
          <w:rFonts w:asciiTheme="majorHAnsi" w:hAnsiTheme="majorHAnsi"/>
          <w:b/>
        </w:rPr>
        <w:t>As the transaction is immunized from tax under the DTAA (with DTAA prevailing over the Act as per Section 90(2) of the Act), provisions of Section 195 are not invoked.</w:t>
      </w:r>
      <w:r w:rsidR="003A62E5">
        <w:rPr>
          <w:rFonts w:asciiTheme="majorHAnsi" w:hAnsiTheme="majorHAnsi"/>
          <w:b/>
        </w:rPr>
        <w:t xml:space="preserve"> WDL</w:t>
      </w:r>
      <w:r w:rsidR="00C1749B">
        <w:rPr>
          <w:rFonts w:asciiTheme="majorHAnsi" w:hAnsiTheme="majorHAnsi"/>
          <w:b/>
        </w:rPr>
        <w:t xml:space="preserve"> may be requested to provide certificate of residence from the U.S. tax authorities.</w:t>
      </w:r>
      <w:bookmarkStart w:id="0" w:name="_GoBack"/>
      <w:bookmarkEnd w:id="0"/>
    </w:p>
    <w:sectPr w:rsidR="00E25897" w:rsidRPr="00C1749B" w:rsidSect="00823EC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504" w:rsidRDefault="00326504" w:rsidP="005B7305">
      <w:pPr>
        <w:spacing w:after="0" w:line="240" w:lineRule="auto"/>
      </w:pPr>
      <w:r>
        <w:separator/>
      </w:r>
    </w:p>
  </w:endnote>
  <w:endnote w:type="continuationSeparator" w:id="0">
    <w:p w:rsidR="00326504" w:rsidRDefault="00326504" w:rsidP="005B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1438"/>
      <w:docPartObj>
        <w:docPartGallery w:val="Page Numbers (Bottom of Page)"/>
        <w:docPartUnique/>
      </w:docPartObj>
    </w:sdtPr>
    <w:sdtEndPr/>
    <w:sdtContent>
      <w:p w:rsidR="005B7305" w:rsidRDefault="005B7305">
        <w:pPr>
          <w:pStyle w:val="Footer"/>
          <w:jc w:val="right"/>
        </w:pPr>
        <w:r w:rsidRPr="005B7305">
          <w:rPr>
            <w:rFonts w:ascii="Bodoni MT Black" w:hAnsi="Bodoni MT Black"/>
            <w:b/>
            <w:sz w:val="18"/>
            <w:szCs w:val="18"/>
          </w:rPr>
          <w:fldChar w:fldCharType="begin"/>
        </w:r>
        <w:r w:rsidRPr="005B7305">
          <w:rPr>
            <w:rFonts w:ascii="Bodoni MT Black" w:hAnsi="Bodoni MT Black"/>
            <w:b/>
            <w:sz w:val="18"/>
            <w:szCs w:val="18"/>
          </w:rPr>
          <w:instrText xml:space="preserve"> PAGE   \* MERGEFORMAT </w:instrText>
        </w:r>
        <w:r w:rsidRPr="005B7305">
          <w:rPr>
            <w:rFonts w:ascii="Bodoni MT Black" w:hAnsi="Bodoni MT Black"/>
            <w:b/>
            <w:sz w:val="18"/>
            <w:szCs w:val="18"/>
          </w:rPr>
          <w:fldChar w:fldCharType="separate"/>
        </w:r>
        <w:r w:rsidR="00FB0D69">
          <w:rPr>
            <w:rFonts w:ascii="Bodoni MT Black" w:hAnsi="Bodoni MT Black"/>
            <w:b/>
            <w:noProof/>
            <w:sz w:val="18"/>
            <w:szCs w:val="18"/>
          </w:rPr>
          <w:t>5</w:t>
        </w:r>
        <w:r w:rsidRPr="005B7305">
          <w:rPr>
            <w:rFonts w:ascii="Bodoni MT Black" w:hAnsi="Bodoni MT Black"/>
            <w:b/>
            <w:sz w:val="18"/>
            <w:szCs w:val="18"/>
          </w:rPr>
          <w:fldChar w:fldCharType="end"/>
        </w:r>
      </w:p>
    </w:sdtContent>
  </w:sdt>
  <w:p w:rsidR="005B7305" w:rsidRDefault="005B73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504" w:rsidRDefault="00326504" w:rsidP="005B7305">
      <w:pPr>
        <w:spacing w:after="0" w:line="240" w:lineRule="auto"/>
      </w:pPr>
      <w:r>
        <w:separator/>
      </w:r>
    </w:p>
  </w:footnote>
  <w:footnote w:type="continuationSeparator" w:id="0">
    <w:p w:rsidR="00326504" w:rsidRDefault="00326504" w:rsidP="005B7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305" w:rsidRPr="005B7305" w:rsidRDefault="003A62E5" w:rsidP="005B7305">
    <w:pPr>
      <w:pStyle w:val="Header"/>
      <w:jc w:val="right"/>
      <w:rPr>
        <w:rFonts w:ascii="Bodoni MT Black" w:hAnsi="Bodoni MT Black"/>
        <w:sz w:val="18"/>
        <w:szCs w:val="18"/>
      </w:rPr>
    </w:pPr>
    <w:r>
      <w:rPr>
        <w:rFonts w:ascii="Bodoni MT Black" w:hAnsi="Bodoni MT Black"/>
        <w:sz w:val="18"/>
        <w:szCs w:val="18"/>
      </w:rPr>
      <w:t>Taxability of FTS – WDL-BKC</w:t>
    </w:r>
    <w:r w:rsidR="005B7305" w:rsidRPr="005B7305">
      <w:rPr>
        <w:rFonts w:ascii="Bodoni MT Black" w:hAnsi="Bodoni MT Black"/>
        <w:sz w:val="18"/>
        <w:szCs w:val="18"/>
      </w:rPr>
      <w:t xml:space="preserve"> August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7050C"/>
    <w:multiLevelType w:val="hybridMultilevel"/>
    <w:tmpl w:val="CA3E22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02023"/>
    <w:multiLevelType w:val="hybridMultilevel"/>
    <w:tmpl w:val="42BA2474"/>
    <w:lvl w:ilvl="0" w:tplc="D80CF8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04561B"/>
    <w:multiLevelType w:val="hybridMultilevel"/>
    <w:tmpl w:val="B6F8F8D0"/>
    <w:lvl w:ilvl="0" w:tplc="444A4DD0">
      <w:start w:val="1"/>
      <w:numFmt w:val="decimal"/>
      <w:lvlText w:val="%1)"/>
      <w:lvlJc w:val="left"/>
      <w:pPr>
        <w:ind w:left="360" w:hanging="360"/>
      </w:pPr>
      <w:rPr>
        <w:rFonts w:hint="default"/>
      </w:rPr>
    </w:lvl>
    <w:lvl w:ilvl="1" w:tplc="04090019" w:tentative="1">
      <w:start w:val="1"/>
      <w:numFmt w:val="lowerLetter"/>
      <w:lvlText w:val="%2."/>
      <w:lvlJc w:val="left"/>
      <w:pPr>
        <w:ind w:left="-60" w:hanging="360"/>
      </w:pPr>
    </w:lvl>
    <w:lvl w:ilvl="2" w:tplc="0409001B" w:tentative="1">
      <w:start w:val="1"/>
      <w:numFmt w:val="lowerRoman"/>
      <w:lvlText w:val="%3."/>
      <w:lvlJc w:val="right"/>
      <w:pPr>
        <w:ind w:left="660" w:hanging="180"/>
      </w:pPr>
    </w:lvl>
    <w:lvl w:ilvl="3" w:tplc="0409000F" w:tentative="1">
      <w:start w:val="1"/>
      <w:numFmt w:val="decimal"/>
      <w:lvlText w:val="%4."/>
      <w:lvlJc w:val="left"/>
      <w:pPr>
        <w:ind w:left="1380" w:hanging="360"/>
      </w:pPr>
    </w:lvl>
    <w:lvl w:ilvl="4" w:tplc="04090019" w:tentative="1">
      <w:start w:val="1"/>
      <w:numFmt w:val="lowerLetter"/>
      <w:lvlText w:val="%5."/>
      <w:lvlJc w:val="left"/>
      <w:pPr>
        <w:ind w:left="2100" w:hanging="360"/>
      </w:pPr>
    </w:lvl>
    <w:lvl w:ilvl="5" w:tplc="0409001B" w:tentative="1">
      <w:start w:val="1"/>
      <w:numFmt w:val="lowerRoman"/>
      <w:lvlText w:val="%6."/>
      <w:lvlJc w:val="right"/>
      <w:pPr>
        <w:ind w:left="2820" w:hanging="180"/>
      </w:pPr>
    </w:lvl>
    <w:lvl w:ilvl="6" w:tplc="0409000F" w:tentative="1">
      <w:start w:val="1"/>
      <w:numFmt w:val="decimal"/>
      <w:lvlText w:val="%7."/>
      <w:lvlJc w:val="left"/>
      <w:pPr>
        <w:ind w:left="3540" w:hanging="360"/>
      </w:pPr>
    </w:lvl>
    <w:lvl w:ilvl="7" w:tplc="04090019" w:tentative="1">
      <w:start w:val="1"/>
      <w:numFmt w:val="lowerLetter"/>
      <w:lvlText w:val="%8."/>
      <w:lvlJc w:val="left"/>
      <w:pPr>
        <w:ind w:left="4260" w:hanging="360"/>
      </w:pPr>
    </w:lvl>
    <w:lvl w:ilvl="8" w:tplc="0409001B" w:tentative="1">
      <w:start w:val="1"/>
      <w:numFmt w:val="lowerRoman"/>
      <w:lvlText w:val="%9."/>
      <w:lvlJc w:val="right"/>
      <w:pPr>
        <w:ind w:left="4980" w:hanging="180"/>
      </w:pPr>
    </w:lvl>
  </w:abstractNum>
  <w:abstractNum w:abstractNumId="3">
    <w:nsid w:val="650F47CA"/>
    <w:multiLevelType w:val="hybridMultilevel"/>
    <w:tmpl w:val="CD48C8AC"/>
    <w:lvl w:ilvl="0" w:tplc="195052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DE071BA"/>
    <w:multiLevelType w:val="hybridMultilevel"/>
    <w:tmpl w:val="24DA0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ED5B22"/>
    <w:multiLevelType w:val="hybridMultilevel"/>
    <w:tmpl w:val="F9FCC294"/>
    <w:lvl w:ilvl="0" w:tplc="7DDE54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87957"/>
    <w:rsid w:val="00075170"/>
    <w:rsid w:val="000E5BD9"/>
    <w:rsid w:val="00166E60"/>
    <w:rsid w:val="001823FA"/>
    <w:rsid w:val="002C1AA2"/>
    <w:rsid w:val="00326504"/>
    <w:rsid w:val="00362FF9"/>
    <w:rsid w:val="003756C2"/>
    <w:rsid w:val="003A62E5"/>
    <w:rsid w:val="00570D14"/>
    <w:rsid w:val="005830B0"/>
    <w:rsid w:val="005B7305"/>
    <w:rsid w:val="005F7DA4"/>
    <w:rsid w:val="006751A2"/>
    <w:rsid w:val="007E4B23"/>
    <w:rsid w:val="007F7580"/>
    <w:rsid w:val="00823ECD"/>
    <w:rsid w:val="008A1D02"/>
    <w:rsid w:val="00987957"/>
    <w:rsid w:val="00A067FB"/>
    <w:rsid w:val="00A7716B"/>
    <w:rsid w:val="00B43D93"/>
    <w:rsid w:val="00BC19F0"/>
    <w:rsid w:val="00C1749B"/>
    <w:rsid w:val="00C6632B"/>
    <w:rsid w:val="00D0793B"/>
    <w:rsid w:val="00D94B17"/>
    <w:rsid w:val="00E25897"/>
    <w:rsid w:val="00F84AEF"/>
    <w:rsid w:val="00FB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C6D285-DFC6-4814-86D5-5BE47A22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E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rsid w:val="003756C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56C2"/>
    <w:rPr>
      <w:color w:val="0000FF"/>
      <w:u w:val="single"/>
    </w:rPr>
  </w:style>
  <w:style w:type="paragraph" w:customStyle="1" w:styleId="indent2">
    <w:name w:val="indent2"/>
    <w:basedOn w:val="Normal"/>
    <w:rsid w:val="00375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3756C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756C2"/>
    <w:pPr>
      <w:ind w:left="720"/>
      <w:contextualSpacing/>
    </w:pPr>
  </w:style>
  <w:style w:type="paragraph" w:customStyle="1" w:styleId="arttx">
    <w:name w:val="arttx"/>
    <w:basedOn w:val="Normal"/>
    <w:rsid w:val="00675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quote">
    <w:name w:val="artquote"/>
    <w:basedOn w:val="Normal"/>
    <w:rsid w:val="00675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h1">
    <w:name w:val="arth1"/>
    <w:basedOn w:val="Normal"/>
    <w:rsid w:val="006751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B7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305"/>
  </w:style>
  <w:style w:type="paragraph" w:styleId="Footer">
    <w:name w:val="footer"/>
    <w:basedOn w:val="Normal"/>
    <w:link w:val="FooterChar"/>
    <w:uiPriority w:val="99"/>
    <w:unhideWhenUsed/>
    <w:rsid w:val="005B7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821141">
      <w:bodyDiv w:val="1"/>
      <w:marLeft w:val="0"/>
      <w:marRight w:val="0"/>
      <w:marTop w:val="0"/>
      <w:marBottom w:val="0"/>
      <w:divBdr>
        <w:top w:val="none" w:sz="0" w:space="0" w:color="auto"/>
        <w:left w:val="none" w:sz="0" w:space="0" w:color="auto"/>
        <w:bottom w:val="none" w:sz="0" w:space="0" w:color="auto"/>
        <w:right w:val="none" w:sz="0" w:space="0" w:color="auto"/>
      </w:divBdr>
    </w:div>
    <w:div w:id="496657817">
      <w:bodyDiv w:val="1"/>
      <w:marLeft w:val="0"/>
      <w:marRight w:val="0"/>
      <w:marTop w:val="0"/>
      <w:marBottom w:val="0"/>
      <w:divBdr>
        <w:top w:val="none" w:sz="0" w:space="0" w:color="auto"/>
        <w:left w:val="none" w:sz="0" w:space="0" w:color="auto"/>
        <w:bottom w:val="none" w:sz="0" w:space="0" w:color="auto"/>
        <w:right w:val="none" w:sz="0" w:space="0" w:color="auto"/>
      </w:divBdr>
      <w:divsChild>
        <w:div w:id="521819763">
          <w:marLeft w:val="0"/>
          <w:marRight w:val="0"/>
          <w:marTop w:val="0"/>
          <w:marBottom w:val="0"/>
          <w:divBdr>
            <w:top w:val="none" w:sz="0" w:space="0" w:color="auto"/>
            <w:left w:val="none" w:sz="0" w:space="0" w:color="auto"/>
            <w:bottom w:val="none" w:sz="0" w:space="0" w:color="auto"/>
            <w:right w:val="none" w:sz="0" w:space="0" w:color="auto"/>
          </w:divBdr>
          <w:divsChild>
            <w:div w:id="1001422641">
              <w:marLeft w:val="0"/>
              <w:marRight w:val="0"/>
              <w:marTop w:val="0"/>
              <w:marBottom w:val="0"/>
              <w:divBdr>
                <w:top w:val="single" w:sz="6" w:space="8" w:color="CCCCCC"/>
                <w:left w:val="single" w:sz="6" w:space="8" w:color="CCCCCC"/>
                <w:bottom w:val="single" w:sz="6" w:space="8" w:color="CCCCCC"/>
                <w:right w:val="single" w:sz="6" w:space="8" w:color="CCCCCC"/>
              </w:divBdr>
              <w:divsChild>
                <w:div w:id="2131197729">
                  <w:marLeft w:val="0"/>
                  <w:marRight w:val="0"/>
                  <w:marTop w:val="825"/>
                  <w:marBottom w:val="0"/>
                  <w:divBdr>
                    <w:top w:val="none" w:sz="0" w:space="0" w:color="auto"/>
                    <w:left w:val="none" w:sz="0" w:space="0" w:color="auto"/>
                    <w:bottom w:val="none" w:sz="0" w:space="0" w:color="auto"/>
                    <w:right w:val="none" w:sz="0" w:space="0" w:color="auto"/>
                  </w:divBdr>
                  <w:divsChild>
                    <w:div w:id="1996957839">
                      <w:marLeft w:val="0"/>
                      <w:marRight w:val="0"/>
                      <w:marTop w:val="0"/>
                      <w:marBottom w:val="0"/>
                      <w:divBdr>
                        <w:top w:val="none" w:sz="0" w:space="0" w:color="auto"/>
                        <w:left w:val="none" w:sz="0" w:space="0" w:color="auto"/>
                        <w:bottom w:val="none" w:sz="0" w:space="0" w:color="auto"/>
                        <w:right w:val="none" w:sz="0" w:space="0" w:color="auto"/>
                      </w:divBdr>
                      <w:divsChild>
                        <w:div w:id="1342471964">
                          <w:marLeft w:val="0"/>
                          <w:marRight w:val="0"/>
                          <w:marTop w:val="0"/>
                          <w:marBottom w:val="0"/>
                          <w:divBdr>
                            <w:top w:val="none" w:sz="0" w:space="0" w:color="auto"/>
                            <w:left w:val="none" w:sz="0" w:space="0" w:color="auto"/>
                            <w:bottom w:val="none" w:sz="0" w:space="0" w:color="auto"/>
                            <w:right w:val="none" w:sz="0" w:space="0" w:color="auto"/>
                          </w:divBdr>
                          <w:divsChild>
                            <w:div w:id="1175608168">
                              <w:marLeft w:val="0"/>
                              <w:marRight w:val="0"/>
                              <w:marTop w:val="0"/>
                              <w:marBottom w:val="0"/>
                              <w:divBdr>
                                <w:top w:val="none" w:sz="0" w:space="0" w:color="auto"/>
                                <w:left w:val="none" w:sz="0" w:space="0" w:color="auto"/>
                                <w:bottom w:val="none" w:sz="0" w:space="0" w:color="auto"/>
                                <w:right w:val="none" w:sz="0" w:space="0" w:color="auto"/>
                              </w:divBdr>
                              <w:divsChild>
                                <w:div w:id="372391552">
                                  <w:marLeft w:val="0"/>
                                  <w:marRight w:val="0"/>
                                  <w:marTop w:val="525"/>
                                  <w:marBottom w:val="525"/>
                                  <w:divBdr>
                                    <w:top w:val="none" w:sz="0" w:space="0" w:color="auto"/>
                                    <w:left w:val="none" w:sz="0" w:space="0" w:color="auto"/>
                                    <w:bottom w:val="none" w:sz="0" w:space="0" w:color="auto"/>
                                    <w:right w:val="none" w:sz="0" w:space="0" w:color="auto"/>
                                  </w:divBdr>
                                  <w:divsChild>
                                    <w:div w:id="1839031203">
                                      <w:marLeft w:val="0"/>
                                      <w:marRight w:val="0"/>
                                      <w:marTop w:val="0"/>
                                      <w:marBottom w:val="0"/>
                                      <w:divBdr>
                                        <w:top w:val="single" w:sz="2" w:space="0" w:color="008000"/>
                                        <w:left w:val="single" w:sz="2" w:space="0" w:color="008000"/>
                                        <w:bottom w:val="single" w:sz="2" w:space="0" w:color="008000"/>
                                        <w:right w:val="single" w:sz="2" w:space="0" w:color="008000"/>
                                      </w:divBdr>
                                      <w:divsChild>
                                        <w:div w:id="92703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729213">
      <w:bodyDiv w:val="1"/>
      <w:marLeft w:val="0"/>
      <w:marRight w:val="0"/>
      <w:marTop w:val="0"/>
      <w:marBottom w:val="0"/>
      <w:divBdr>
        <w:top w:val="none" w:sz="0" w:space="0" w:color="auto"/>
        <w:left w:val="none" w:sz="0" w:space="0" w:color="auto"/>
        <w:bottom w:val="none" w:sz="0" w:space="0" w:color="auto"/>
        <w:right w:val="none" w:sz="0" w:space="0" w:color="auto"/>
      </w:divBdr>
    </w:div>
    <w:div w:id="12263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6</Pages>
  <Words>3008</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divya</cp:lastModifiedBy>
  <cp:revision>8</cp:revision>
  <dcterms:created xsi:type="dcterms:W3CDTF">2012-08-04T05:05:00Z</dcterms:created>
  <dcterms:modified xsi:type="dcterms:W3CDTF">2013-11-06T07:35:00Z</dcterms:modified>
</cp:coreProperties>
</file>