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032" w:rsidRPr="001A1032" w:rsidRDefault="001A1032" w:rsidP="001A1032">
      <w:pPr>
        <w:spacing w:after="0" w:line="315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A1032">
        <w:rPr>
          <w:rFonts w:ascii="Helvetica" w:eastAsia="Times New Roman" w:hAnsi="Helvetica" w:cs="Helvetica"/>
          <w:color w:val="000000"/>
          <w:sz w:val="20"/>
          <w:szCs w:val="20"/>
        </w:rPr>
        <w:t>Certain important</w:t>
      </w:r>
      <w:r w:rsidRPr="001A1032">
        <w:rPr>
          <w:rFonts w:ascii="Helvetica" w:eastAsia="Times New Roman" w:hAnsi="Helvetica" w:cs="Helvetica"/>
          <w:color w:val="000000"/>
          <w:sz w:val="20"/>
        </w:rPr>
        <w:t> </w:t>
      </w:r>
      <w:hyperlink r:id="rId4" w:history="1">
        <w:r w:rsidRPr="001A1032">
          <w:rPr>
            <w:rFonts w:ascii="Helvetica" w:eastAsia="Times New Roman" w:hAnsi="Helvetica" w:cs="Helvetica"/>
            <w:color w:val="4488DD"/>
            <w:sz w:val="20"/>
          </w:rPr>
          <w:t>amendments</w:t>
        </w:r>
      </w:hyperlink>
      <w:r w:rsidRPr="001A1032">
        <w:rPr>
          <w:rFonts w:ascii="Helvetica" w:eastAsia="Times New Roman" w:hAnsi="Helvetica" w:cs="Helvetica"/>
          <w:color w:val="000000"/>
          <w:sz w:val="20"/>
        </w:rPr>
        <w:t> </w:t>
      </w:r>
      <w:r w:rsidRPr="001A1032">
        <w:rPr>
          <w:rFonts w:ascii="Helvetica" w:eastAsia="Times New Roman" w:hAnsi="Helvetica" w:cs="Helvetica"/>
          <w:color w:val="000000"/>
          <w:sz w:val="20"/>
          <w:szCs w:val="20"/>
        </w:rPr>
        <w:t>have also been made in the forms, which are as follows:</w:t>
      </w:r>
    </w:p>
    <w:tbl>
      <w:tblPr>
        <w:tblW w:w="81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3"/>
        <w:gridCol w:w="3091"/>
        <w:gridCol w:w="3881"/>
      </w:tblGrid>
      <w:tr w:rsidR="001A1032" w:rsidRPr="001A1032" w:rsidTr="001A10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>Form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>Existing</w:t>
            </w:r>
            <w:r w:rsidRPr="001A1032">
              <w:rPr>
                <w:rFonts w:ascii="Helvetica" w:eastAsia="Times New Roman" w:hAnsi="Helvetica" w:cs="Helvetica"/>
                <w:b/>
                <w:bCs/>
                <w:color w:val="000000"/>
                <w:sz w:val="20"/>
              </w:rPr>
              <w:t> position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>New Position</w:t>
            </w:r>
          </w:p>
        </w:tc>
      </w:tr>
      <w:tr w:rsidR="001A1032" w:rsidRPr="001A1032" w:rsidTr="001A103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Form Sahaj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br/>
              <w:t>(ITR 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>Return in ITR 1 can’t be filed if assessee incurs losses under the head ‘Income from other sources’</w:t>
            </w:r>
          </w:p>
        </w:tc>
      </w:tr>
      <w:tr w:rsidR="001A1032" w:rsidRPr="001A1032" w:rsidTr="001A103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032" w:rsidRPr="001A1032" w:rsidRDefault="001A1032" w:rsidP="001A103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An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hyperlink r:id="rId5" w:history="1">
              <w:r w:rsidRPr="001A1032">
                <w:rPr>
                  <w:rFonts w:ascii="Helvetica" w:eastAsia="Times New Roman" w:hAnsi="Helvetica" w:cs="Helvetica"/>
                  <w:color w:val="4488DD"/>
                  <w:sz w:val="20"/>
                </w:rPr>
                <w:t>individual</w:t>
              </w:r>
            </w:hyperlink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if his total income includes: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a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  Salary and family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hyperlink r:id="rId6" w:history="1">
              <w:r w:rsidRPr="001A1032">
                <w:rPr>
                  <w:rFonts w:ascii="Helvetica" w:eastAsia="Times New Roman" w:hAnsi="Helvetica" w:cs="Helvetica"/>
                  <w:color w:val="4488DD"/>
                  <w:sz w:val="20"/>
                </w:rPr>
                <w:t>pension</w:t>
              </w:r>
            </w:hyperlink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;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b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  Income from one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hyperlink r:id="rId7" w:history="1">
              <w:r w:rsidRPr="001A1032">
                <w:rPr>
                  <w:rFonts w:ascii="Helvetica" w:eastAsia="Times New Roman" w:hAnsi="Helvetica" w:cs="Helvetica"/>
                  <w:color w:val="4488DD"/>
                  <w:sz w:val="20"/>
                </w:rPr>
                <w:t>house property</w:t>
              </w:r>
            </w:hyperlink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(excluding losses);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c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  Income from other sources but does not include: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•  Winnings from lottery; and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• Winnings from horse races.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An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individual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if his total income includes: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a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  Salary and family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pension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;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b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  Income from one house property (excluding losses);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c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  Income from other sources but does not include: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•  Winnings from lottery;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•  Winnings from horse races; and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•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Loss under this head.</w:t>
            </w:r>
          </w:p>
        </w:tc>
      </w:tr>
      <w:tr w:rsidR="001A1032" w:rsidRPr="001A1032" w:rsidTr="001A103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Form Sahaj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br/>
              <w:t>(ITR 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 </w:t>
            </w:r>
            <w:r w:rsidRPr="001A103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>Return in ITR 1 can’t be filed if assessee claims tax relief or has any income which is exempt under Chapter III</w:t>
            </w:r>
          </w:p>
        </w:tc>
      </w:tr>
      <w:tr w:rsidR="001A1032" w:rsidRPr="001A1032" w:rsidTr="001A103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032" w:rsidRPr="001A1032" w:rsidRDefault="001A1032" w:rsidP="001A103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Return in ITR 1 cannot be filed by a resident person (other than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hyperlink r:id="rId8" w:history="1">
              <w:r w:rsidRPr="001A1032">
                <w:rPr>
                  <w:rFonts w:ascii="Helvetica" w:eastAsia="Times New Roman" w:hAnsi="Helvetica" w:cs="Helvetica"/>
                  <w:color w:val="4488DD"/>
                  <w:sz w:val="20"/>
                </w:rPr>
                <w:t>not ordinarily resident</w:t>
              </w:r>
            </w:hyperlink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in India), if he has: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a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  Any asset (including financial</w:t>
            </w:r>
            <w:hyperlink r:id="rId9" w:history="1">
              <w:r w:rsidRPr="001A1032">
                <w:rPr>
                  <w:rFonts w:ascii="Helvetica" w:eastAsia="Times New Roman" w:hAnsi="Helvetica" w:cs="Helvetica"/>
                  <w:color w:val="4488DD"/>
                  <w:sz w:val="20"/>
                </w:rPr>
                <w:t>interest</w:t>
              </w:r>
            </w:hyperlink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 located outside India;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b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  Signing authority in any account located outside India.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Return in ITR 1 cannot be filed by a resident person (other than not ordinarily resident in India), if he has: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a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 Any asset (including financial interest) located outside India;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b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 Signing authority in any account located outside India;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c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Claimed any relief of tax under Section 90, 90A or 91;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d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Income exceeding Rs. 5,000 which is not chargeable to tax. In other words, if assessee claims exemption in respect of any income under Section 10, 10A, 10AA, etc.</w:t>
            </w:r>
          </w:p>
        </w:tc>
      </w:tr>
      <w:tr w:rsidR="001A1032" w:rsidRPr="001A1032" w:rsidTr="001A103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Form Sugam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br/>
              <w:t>(ITR 4S)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>Return in ITR 4S can’t be filed if assessee claims tax relief or has any income which is exempt under Chapter III</w:t>
            </w:r>
          </w:p>
        </w:tc>
      </w:tr>
      <w:tr w:rsidR="001A1032" w:rsidRPr="001A1032" w:rsidTr="001A103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032" w:rsidRPr="001A1032" w:rsidRDefault="001A1032" w:rsidP="001A103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Return in ITR 4S cannot be filed by an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Individual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or a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hyperlink r:id="rId10" w:history="1">
              <w:r w:rsidRPr="001A1032">
                <w:rPr>
                  <w:rFonts w:ascii="Helvetica" w:eastAsia="Times New Roman" w:hAnsi="Helvetica" w:cs="Helvetica"/>
                  <w:color w:val="4488DD"/>
                  <w:sz w:val="20"/>
                </w:rPr>
                <w:t>HUF</w:t>
              </w:r>
            </w:hyperlink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deriving income as referred to in Sections 44AD or 44AE, if it has: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a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  Any asset (including financial interest) located outside India;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b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  Signing authority in any account located outside India.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Return in ITR 4S cannot be filed by an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Individualor a HUF deriving income as referred to in Sections 44AD or 44AE, if it has: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a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  Any asset (including financial interest) located outside India;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b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  Signing authority in any account located outside India;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c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 xml:space="preserve"> Claimed any tax relief under Section 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lastRenderedPageBreak/>
              <w:t>90, 90A or 91;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d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 Income exceeding Rs. 5,000 which is not chargeable to tax. In other words, if assessee claims exemption in respect of any income under Section 10, 10A, 10AA, etc.</w:t>
            </w:r>
          </w:p>
        </w:tc>
      </w:tr>
      <w:tr w:rsidR="001A1032" w:rsidRPr="001A1032" w:rsidTr="001A103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hyperlink r:id="rId11" w:history="1">
              <w:r w:rsidRPr="001A1032">
                <w:rPr>
                  <w:rFonts w:ascii="Helvetica" w:eastAsia="Times New Roman" w:hAnsi="Helvetica" w:cs="Helvetica"/>
                  <w:color w:val="4488DD"/>
                  <w:sz w:val="20"/>
                </w:rPr>
                <w:t>Audit Report</w:t>
              </w:r>
            </w:hyperlink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>Mandatory e-filing of audit reports</w:t>
            </w:r>
          </w:p>
        </w:tc>
      </w:tr>
      <w:tr w:rsidR="001A1032" w:rsidRPr="001A1032" w:rsidTr="001A103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032" w:rsidRPr="001A1032" w:rsidRDefault="001A1032" w:rsidP="001A103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No such requirement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hyperlink r:id="rId12" w:history="1">
              <w:r w:rsidRPr="001A1032">
                <w:rPr>
                  <w:rFonts w:ascii="Helvetica" w:eastAsia="Times New Roman" w:hAnsi="Helvetica" w:cs="Helvetica"/>
                  <w:color w:val="4488DD"/>
                  <w:sz w:val="20"/>
                </w:rPr>
                <w:t>E-filing</w:t>
              </w:r>
            </w:hyperlink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of following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hyperlink r:id="rId13" w:history="1">
              <w:r w:rsidRPr="001A1032">
                <w:rPr>
                  <w:rFonts w:ascii="Helvetica" w:eastAsia="Times New Roman" w:hAnsi="Helvetica" w:cs="Helvetica"/>
                  <w:color w:val="4488DD"/>
                  <w:sz w:val="20"/>
                </w:rPr>
                <w:t>audit</w:t>
              </w:r>
            </w:hyperlink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reports shall be mandatory in following cases: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a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Audit report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under Sec. 44AB in respect of books of account;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b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Audit report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under Sec. 92E in respect of international transaction; or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c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Audit report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under Sec. 115JB in respect of</w:t>
            </w:r>
            <w:hyperlink r:id="rId14" w:history="1">
              <w:r w:rsidRPr="001A1032">
                <w:rPr>
                  <w:rFonts w:ascii="Helvetica" w:eastAsia="Times New Roman" w:hAnsi="Helvetica" w:cs="Helvetica"/>
                  <w:color w:val="4488DD"/>
                  <w:sz w:val="20"/>
                </w:rPr>
                <w:t>MAT</w:t>
              </w:r>
            </w:hyperlink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computation.</w:t>
            </w:r>
          </w:p>
        </w:tc>
      </w:tr>
      <w:tr w:rsidR="001A1032" w:rsidRPr="001A1032" w:rsidTr="001A103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Mandatory e-filing of return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>Mandatory e-filing of return if income exceeds Rs. 5,00,000 or assessee claims tax relief</w:t>
            </w:r>
          </w:p>
        </w:tc>
      </w:tr>
      <w:tr w:rsidR="001A1032" w:rsidRPr="001A1032" w:rsidTr="001A103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032" w:rsidRPr="001A1032" w:rsidRDefault="001A1032" w:rsidP="001A103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It is mandatory for an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individual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or an HUF to e-file the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hyperlink r:id="rId15" w:history="1">
              <w:r w:rsidRPr="001A1032">
                <w:rPr>
                  <w:rFonts w:ascii="Helvetica" w:eastAsia="Times New Roman" w:hAnsi="Helvetica" w:cs="Helvetica"/>
                  <w:color w:val="4488DD"/>
                  <w:sz w:val="20"/>
                </w:rPr>
                <w:t>return of income</w:t>
              </w:r>
            </w:hyperlink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if its total income exceeds Rs. 10,00,000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(a)  It is mandatory for 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every person (not being a co. or a person filing return in ITR 7)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 to e-file the return of income if its total income exceeds Rs.</w:t>
            </w: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5,00,000</w:t>
            </w:r>
          </w:p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i/>
                <w:iCs/>
                <w:color w:val="000000"/>
                <w:sz w:val="20"/>
                <w:szCs w:val="20"/>
              </w:rPr>
              <w:t>(b)  Every person claiming tax relief under Section 90, 90A or 91 shall file return in electronic mode.</w:t>
            </w:r>
          </w:p>
        </w:tc>
      </w:tr>
    </w:tbl>
    <w:p w:rsidR="001A1032" w:rsidRPr="001A1032" w:rsidRDefault="001A1032" w:rsidP="001A1032">
      <w:pPr>
        <w:spacing w:after="0" w:line="315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A1032">
        <w:rPr>
          <w:rFonts w:ascii="Helvetica" w:eastAsia="Times New Roman" w:hAnsi="Helvetica" w:cs="Helvetica"/>
          <w:b/>
          <w:bCs/>
          <w:color w:val="000000"/>
          <w:sz w:val="20"/>
          <w:szCs w:val="20"/>
        </w:rPr>
        <w:t>List of forms to be used by different persons for filing of return of income for the</w:t>
      </w:r>
      <w:r w:rsidRPr="001A1032">
        <w:rPr>
          <w:rFonts w:ascii="Helvetica" w:eastAsia="Times New Roman" w:hAnsi="Helvetica" w:cs="Helvetica"/>
          <w:b/>
          <w:bCs/>
          <w:color w:val="000000"/>
          <w:sz w:val="20"/>
        </w:rPr>
        <w:t> </w:t>
      </w:r>
      <w:r w:rsidRPr="001A1032">
        <w:rPr>
          <w:rFonts w:ascii="Helvetica" w:eastAsia="Times New Roman" w:hAnsi="Helvetica" w:cs="Helvetica"/>
          <w:b/>
          <w:bCs/>
          <w:color w:val="000000"/>
          <w:sz w:val="20"/>
          <w:szCs w:val="20"/>
        </w:rPr>
        <w:t>Assessment</w:t>
      </w:r>
      <w:r w:rsidRPr="001A1032">
        <w:rPr>
          <w:rFonts w:ascii="Helvetica" w:eastAsia="Times New Roman" w:hAnsi="Helvetica" w:cs="Helvetica"/>
          <w:b/>
          <w:bCs/>
          <w:color w:val="000000"/>
          <w:sz w:val="20"/>
        </w:rPr>
        <w:t> </w:t>
      </w:r>
      <w:r w:rsidRPr="001A1032">
        <w:rPr>
          <w:rFonts w:ascii="Helvetica" w:eastAsia="Times New Roman" w:hAnsi="Helvetica" w:cs="Helvetica"/>
          <w:b/>
          <w:bCs/>
          <w:color w:val="000000"/>
          <w:sz w:val="20"/>
          <w:szCs w:val="20"/>
        </w:rPr>
        <w:t>Year 2013-14</w:t>
      </w:r>
    </w:p>
    <w:tbl>
      <w:tblPr>
        <w:tblW w:w="81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31"/>
        <w:gridCol w:w="925"/>
        <w:gridCol w:w="424"/>
        <w:gridCol w:w="424"/>
        <w:gridCol w:w="424"/>
        <w:gridCol w:w="1117"/>
      </w:tblGrid>
      <w:tr w:rsidR="001A1032" w:rsidRPr="001A1032" w:rsidTr="001A1032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0"/>
                <w:szCs w:val="20"/>
              </w:rPr>
              <w:t>Individual</w:t>
            </w:r>
            <w:r w:rsidRPr="001A1032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0"/>
                <w:szCs w:val="20"/>
              </w:rPr>
              <w:t>and HUF</w:t>
            </w:r>
          </w:p>
        </w:tc>
      </w:tr>
      <w:tr w:rsidR="001A1032" w:rsidRPr="001A1032" w:rsidTr="001A10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>Nature of income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>ITR 1 (Sahaj)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>ITR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>ITR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>ITR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>ITR 4S (Sugam)</w:t>
            </w:r>
          </w:p>
        </w:tc>
      </w:tr>
      <w:tr w:rsidR="001A1032" w:rsidRPr="001A1032" w:rsidTr="001A10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Income from salary/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pension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</w:tr>
      <w:tr w:rsidR="001A1032" w:rsidRPr="001A1032" w:rsidTr="001A10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Income from one house property (excluding losses)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</w:tr>
      <w:tr w:rsidR="001A1032" w:rsidRPr="001A1032" w:rsidTr="001A10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Income or losses from more than one house property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</w:tr>
      <w:tr w:rsidR="001A1032" w:rsidRPr="001A1032" w:rsidTr="001A10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Income not chargeable to tax which exceeds Rs. 5,000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</w:tr>
      <w:tr w:rsidR="001A1032" w:rsidRPr="001A1032" w:rsidTr="001A10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Income from other sources (other than winnings from lottery and race horses or losses under this head)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</w:tr>
      <w:tr w:rsidR="001A1032" w:rsidRPr="001A1032" w:rsidTr="001A10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Income from other sources (including winnings from lottery and race horses)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</w:tr>
      <w:tr w:rsidR="001A1032" w:rsidRPr="001A1032" w:rsidTr="001A10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Capital gains/loss on sale of investments/ property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</w:tr>
      <w:tr w:rsidR="001A1032" w:rsidRPr="001A1032" w:rsidTr="001A10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Share of profit of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</w:rPr>
              <w:t> partner </w:t>
            </w: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from a partnership firm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</w:tr>
      <w:tr w:rsidR="001A1032" w:rsidRPr="001A1032" w:rsidTr="001A10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lastRenderedPageBreak/>
              <w:t>Income from proprietary business/ profession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</w:tr>
      <w:tr w:rsidR="001A1032" w:rsidRPr="001A1032" w:rsidTr="001A10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Income from presumptive business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</w:tr>
      <w:tr w:rsidR="001A1032" w:rsidRPr="001A1032" w:rsidTr="001A10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Details of foreign assets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</w:tr>
      <w:tr w:rsidR="001A1032" w:rsidRPr="001A1032" w:rsidTr="001A10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Claiming relief of tax under sections 90, 90A or 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032" w:rsidRPr="001A1032" w:rsidRDefault="001A1032" w:rsidP="001A1032">
            <w:pPr>
              <w:spacing w:after="0" w:line="315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1A103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-</w:t>
            </w:r>
          </w:p>
        </w:tc>
      </w:tr>
    </w:tbl>
    <w:p w:rsidR="001A1032" w:rsidRPr="001A1032" w:rsidRDefault="001A1032" w:rsidP="001A1032">
      <w:pPr>
        <w:spacing w:after="0" w:line="315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A1032">
        <w:rPr>
          <w:rFonts w:ascii="Helvetica" w:eastAsia="Times New Roman" w:hAnsi="Helvetica" w:cs="Helvetica"/>
          <w:color w:val="000000"/>
          <w:sz w:val="20"/>
          <w:szCs w:val="20"/>
        </w:rPr>
        <w:t>Further, please note that ITR-1 (Sahaj) and ITR-4S (sugam) cannot be used in black and white mode and can be used in coloured mode in prescribed format and size only.</w:t>
      </w:r>
    </w:p>
    <w:p w:rsidR="001A1032" w:rsidRPr="001A1032" w:rsidRDefault="001A1032" w:rsidP="001A1032">
      <w:pPr>
        <w:spacing w:after="0" w:line="315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A1032">
        <w:rPr>
          <w:rFonts w:ascii="Helvetica" w:eastAsia="Times New Roman" w:hAnsi="Helvetica" w:cs="Helvetica"/>
          <w:color w:val="000000"/>
          <w:sz w:val="20"/>
          <w:szCs w:val="20"/>
        </w:rPr>
        <w:t>Due date for filling</w:t>
      </w:r>
      <w:r w:rsidRPr="001A1032">
        <w:rPr>
          <w:rFonts w:ascii="Helvetica" w:eastAsia="Times New Roman" w:hAnsi="Helvetica" w:cs="Helvetica"/>
          <w:color w:val="000000"/>
          <w:sz w:val="20"/>
        </w:rPr>
        <w:t> </w:t>
      </w:r>
      <w:r w:rsidRPr="001A1032">
        <w:rPr>
          <w:rFonts w:ascii="Helvetica" w:eastAsia="Times New Roman" w:hAnsi="Helvetica" w:cs="Helvetica"/>
          <w:color w:val="000000"/>
          <w:sz w:val="20"/>
          <w:szCs w:val="20"/>
        </w:rPr>
        <w:t>Income Tax</w:t>
      </w:r>
      <w:r w:rsidRPr="001A1032">
        <w:rPr>
          <w:rFonts w:ascii="Helvetica" w:eastAsia="Times New Roman" w:hAnsi="Helvetica" w:cs="Helvetica"/>
          <w:color w:val="000000"/>
          <w:sz w:val="20"/>
        </w:rPr>
        <w:t> </w:t>
      </w:r>
      <w:r w:rsidRPr="001A1032">
        <w:rPr>
          <w:rFonts w:ascii="Helvetica" w:eastAsia="Times New Roman" w:hAnsi="Helvetica" w:cs="Helvetica"/>
          <w:color w:val="000000"/>
          <w:sz w:val="20"/>
          <w:szCs w:val="20"/>
        </w:rPr>
        <w:t>return for</w:t>
      </w:r>
      <w:r w:rsidRPr="001A1032">
        <w:rPr>
          <w:rFonts w:ascii="Helvetica" w:eastAsia="Times New Roman" w:hAnsi="Helvetica" w:cs="Helvetica"/>
          <w:color w:val="000000"/>
          <w:sz w:val="20"/>
        </w:rPr>
        <w:t> </w:t>
      </w:r>
      <w:hyperlink r:id="rId16" w:history="1">
        <w:r w:rsidRPr="001A1032">
          <w:rPr>
            <w:rFonts w:ascii="Helvetica" w:eastAsia="Times New Roman" w:hAnsi="Helvetica" w:cs="Helvetica"/>
            <w:color w:val="4488DD"/>
            <w:sz w:val="20"/>
          </w:rPr>
          <w:t>Financial Year</w:t>
        </w:r>
      </w:hyperlink>
      <w:r w:rsidRPr="001A1032">
        <w:rPr>
          <w:rFonts w:ascii="Helvetica" w:eastAsia="Times New Roman" w:hAnsi="Helvetica" w:cs="Helvetica"/>
          <w:color w:val="000000"/>
          <w:sz w:val="20"/>
        </w:rPr>
        <w:t> </w:t>
      </w:r>
      <w:r w:rsidRPr="001A1032">
        <w:rPr>
          <w:rFonts w:ascii="Helvetica" w:eastAsia="Times New Roman" w:hAnsi="Helvetica" w:cs="Helvetica"/>
          <w:color w:val="000000"/>
          <w:sz w:val="20"/>
          <w:szCs w:val="20"/>
        </w:rPr>
        <w:t>2012-13 (Ay 2013-14) is 31.07.2013 where audit is not required and for audit cases is 30.09.2013.</w:t>
      </w:r>
    </w:p>
    <w:p w:rsidR="009D09DB" w:rsidRDefault="001A1032" w:rsidP="001A1032">
      <w:r w:rsidRPr="001A1032">
        <w:rPr>
          <w:rFonts w:ascii="Helvetica" w:eastAsia="Times New Roman" w:hAnsi="Helvetica" w:cs="Helvetica"/>
          <w:color w:val="000000"/>
          <w:sz w:val="20"/>
          <w:szCs w:val="20"/>
        </w:rPr>
        <w:br/>
      </w:r>
      <w:r>
        <w:t xml:space="preserve"> </w:t>
      </w:r>
    </w:p>
    <w:sectPr w:rsidR="009D09DB" w:rsidSect="009D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A1032"/>
    <w:rsid w:val="001A1032"/>
    <w:rsid w:val="009D0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9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A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A1032"/>
  </w:style>
  <w:style w:type="character" w:styleId="Hyperlink">
    <w:name w:val="Hyperlink"/>
    <w:basedOn w:val="DefaultParagraphFont"/>
    <w:uiPriority w:val="99"/>
    <w:semiHidden/>
    <w:unhideWhenUsed/>
    <w:rsid w:val="001A1032"/>
    <w:rPr>
      <w:color w:val="0000FF"/>
      <w:u w:val="single"/>
    </w:rPr>
  </w:style>
  <w:style w:type="character" w:customStyle="1" w:styleId="ilad">
    <w:name w:val="il_ad"/>
    <w:basedOn w:val="DefaultParagraphFont"/>
    <w:rsid w:val="001A10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diantaxupdates.com/2013/01/29/residential-status-and-incidence-of-tax-on-income-under-income-tax-act-1961/" TargetMode="External"/><Relationship Id="rId13" Type="http://schemas.openxmlformats.org/officeDocument/2006/relationships/hyperlink" Target="http://www.indiantaxupdates.com/2013/01/17/frequency-norms-of-audit-for-service-tax-assessees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ndiantaxupdates.com/2013/02/21/tax-implications-on-vacant-or-second-house-property/" TargetMode="External"/><Relationship Id="rId12" Type="http://schemas.openxmlformats.org/officeDocument/2006/relationships/hyperlink" Target="http://www.indiantaxupdates.com/2012/12/26/it-dept-sets-up-first-single-window-facility-for-tax-returns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indiantaxupdates.com/2012/12/28/section-54ec-limit-of-rs-50-lakh-applies-to-financial-year-not-to-transaction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ndiantaxupdates.com/2013/04/27/pension-annuityincome-to-be-shown-under-salary-for-computing-tax/" TargetMode="External"/><Relationship Id="rId11" Type="http://schemas.openxmlformats.org/officeDocument/2006/relationships/hyperlink" Target="http://www.indiantaxupdates.com/2012/11/10/audit-report-to-be-filed-online-via/" TargetMode="External"/><Relationship Id="rId5" Type="http://schemas.openxmlformats.org/officeDocument/2006/relationships/hyperlink" Target="http://www.indiantaxupdates.com/2013/01/30/section-80tta-deduction-on-interest-on-savings-bank-account/" TargetMode="External"/><Relationship Id="rId15" Type="http://schemas.openxmlformats.org/officeDocument/2006/relationships/hyperlink" Target="http://www.indiantaxupdates.com/2013/03/15/return-of-income-will-be-accepted-on-30th-31st-march-2013/" TargetMode="External"/><Relationship Id="rId10" Type="http://schemas.openxmlformats.org/officeDocument/2006/relationships/hyperlink" Target="http://www.indiantaxupdates.com/2013/02/09/hindu-undivided-family-a-comprehensive-study/" TargetMode="External"/><Relationship Id="rId4" Type="http://schemas.openxmlformats.org/officeDocument/2006/relationships/hyperlink" Target="http://www.indiantaxupdates.com/2013/01/05/tds-section-2011-amendments-in-respect-of-assessee-in-default/" TargetMode="External"/><Relationship Id="rId9" Type="http://schemas.openxmlformats.org/officeDocument/2006/relationships/hyperlink" Target="http://www.indiantaxupdates.com/2012/11/01/deductions-from-income-from-other/" TargetMode="External"/><Relationship Id="rId14" Type="http://schemas.openxmlformats.org/officeDocument/2006/relationships/hyperlink" Target="http://www.indiantaxupdates.com/2013/04/15/minimum-alternate-tax-mat-concept-calculation-and-credit-us-115j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925</Words>
  <Characters>5273</Characters>
  <Application>Microsoft Office Word</Application>
  <DocSecurity>0</DocSecurity>
  <Lines>43</Lines>
  <Paragraphs>12</Paragraphs>
  <ScaleCrop>false</ScaleCrop>
  <Company/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dc:description/>
  <cp:lastModifiedBy>system</cp:lastModifiedBy>
  <cp:revision>1</cp:revision>
  <cp:lastPrinted>2013-05-04T06:54:00Z</cp:lastPrinted>
  <dcterms:created xsi:type="dcterms:W3CDTF">2013-05-04T06:52:00Z</dcterms:created>
  <dcterms:modified xsi:type="dcterms:W3CDTF">2013-05-04T06:58:00Z</dcterms:modified>
</cp:coreProperties>
</file>