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E9" w:rsidRPr="00F84DE9" w:rsidRDefault="00F84DE9" w:rsidP="00F84DE9">
      <w:pPr>
        <w:spacing w:after="0" w:line="240" w:lineRule="auto"/>
        <w:outlineLvl w:val="0"/>
        <w:rPr>
          <w:rFonts w:ascii="Arial" w:eastAsia="Times New Roman" w:hAnsi="Arial" w:cs="Arial"/>
          <w:color w:val="005A84"/>
          <w:kern w:val="36"/>
          <w:sz w:val="39"/>
          <w:szCs w:val="39"/>
        </w:rPr>
      </w:pPr>
      <w:r>
        <w:rPr>
          <w:rFonts w:ascii="Arial" w:eastAsia="Times New Roman" w:hAnsi="Arial" w:cs="Arial"/>
          <w:color w:val="1F497D" w:themeColor="text2"/>
          <w:sz w:val="19"/>
          <w:szCs w:val="19"/>
        </w:rPr>
        <w:t xml:space="preserve">                                     </w:t>
      </w:r>
      <w:r>
        <w:rPr>
          <w:rFonts w:ascii="Arial" w:eastAsia="Times New Roman" w:hAnsi="Arial" w:cs="Arial"/>
          <w:color w:val="1F497D" w:themeColor="text2"/>
          <w:sz w:val="19"/>
          <w:szCs w:val="19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9.9pt;height:44.85pt" fillcolor="#06c" strokecolor="#9cf" strokeweight="1.5pt">
            <v:shadow on="t" color="#900"/>
            <v:textpath style="font-family:&quot;Impact&quot;;v-text-kern:t" trim="t" fitpath="t" string="income tax deduction"/>
          </v:shape>
        </w:pict>
      </w:r>
    </w:p>
    <w:p w:rsidR="00F84DE9" w:rsidRPr="00F84DE9" w:rsidRDefault="00F84DE9" w:rsidP="00F84DE9">
      <w:pPr>
        <w:numPr>
          <w:ilvl w:val="0"/>
          <w:numId w:val="1"/>
        </w:numPr>
        <w:spacing w:after="0" w:line="300" w:lineRule="atLeast"/>
        <w:ind w:left="0"/>
        <w:rPr>
          <w:rFonts w:ascii="Arial" w:eastAsia="Times New Roman" w:hAnsi="Arial" w:cs="Arial"/>
          <w:color w:val="005A84"/>
          <w:sz w:val="19"/>
          <w:szCs w:val="19"/>
        </w:rPr>
      </w:pPr>
      <w:hyperlink r:id="rId5" w:tooltip="" w:history="1">
        <w:r w:rsidRPr="00F84DE9">
          <w:rPr>
            <w:rFonts w:ascii="Arial" w:eastAsia="Times New Roman" w:hAnsi="Arial" w:cs="Arial"/>
            <w:color w:val="005A84"/>
            <w:sz w:val="19"/>
            <w:u w:val="single"/>
          </w:rPr>
          <w:t>Income Tax</w:t>
        </w:r>
      </w:hyperlink>
      <w:r w:rsidRPr="00F84DE9">
        <w:rPr>
          <w:rFonts w:ascii="Arial" w:eastAsia="Times New Roman" w:hAnsi="Arial" w:cs="Arial"/>
          <w:color w:val="005A84"/>
          <w:sz w:val="19"/>
        </w:rPr>
        <w:t> </w:t>
      </w:r>
      <w:r w:rsidRPr="00F84DE9">
        <w:rPr>
          <w:rFonts w:ascii="Arial" w:eastAsia="Times New Roman" w:hAnsi="Arial" w:cs="Arial"/>
          <w:color w:val="005A84"/>
          <w:sz w:val="19"/>
          <w:szCs w:val="19"/>
        </w:rPr>
        <w:t>|</w:t>
      </w:r>
      <w:r w:rsidRPr="00F84DE9">
        <w:rPr>
          <w:rFonts w:ascii="Arial" w:eastAsia="Times New Roman" w:hAnsi="Arial" w:cs="Arial"/>
          <w:color w:val="005A84"/>
          <w:sz w:val="19"/>
        </w:rPr>
        <w:t> </w:t>
      </w:r>
    </w:p>
    <w:p w:rsidR="00F84DE9" w:rsidRPr="00F84DE9" w:rsidRDefault="00F84DE9" w:rsidP="00F84DE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535353"/>
          <w:sz w:val="24"/>
          <w:szCs w:val="24"/>
        </w:rPr>
      </w:pPr>
      <w:hyperlink r:id="rId6" w:tooltip="" w:history="1">
        <w:r w:rsidRPr="00F84DE9">
          <w:rPr>
            <w:rFonts w:ascii="Arial" w:eastAsia="Times New Roman" w:hAnsi="Arial" w:cs="Arial"/>
            <w:color w:val="005A84"/>
            <w:sz w:val="19"/>
            <w:u w:val="single"/>
          </w:rPr>
          <w:t>Investments</w:t>
        </w:r>
      </w:hyperlink>
      <w:r w:rsidRPr="00F84DE9">
        <w:rPr>
          <w:rFonts w:ascii="Arial" w:eastAsia="Times New Roman" w:hAnsi="Arial" w:cs="Arial"/>
          <w:color w:val="535353"/>
          <w:sz w:val="24"/>
          <w:szCs w:val="24"/>
        </w:rPr>
        <w:t>Income Tax 2012-13 Slabs for different categories depending on Annual Income is given below.</w:t>
      </w:r>
    </w:p>
    <w:p w:rsidR="00F84DE9" w:rsidRPr="00F84DE9" w:rsidRDefault="00F84DE9" w:rsidP="00F84DE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535353"/>
          <w:sz w:val="24"/>
          <w:szCs w:val="24"/>
        </w:rPr>
      </w:pPr>
      <w:r w:rsidRPr="00F84DE9">
        <w:rPr>
          <w:rFonts w:ascii="Arial" w:eastAsia="Times New Roman" w:hAnsi="Arial" w:cs="Arial"/>
          <w:color w:val="535353"/>
          <w:sz w:val="24"/>
          <w:szCs w:val="24"/>
        </w:rPr>
        <w:t>These rates will be applicable for assessment year 2013-14(Financial year 2012-13).</w:t>
      </w:r>
    </w:p>
    <w:tbl>
      <w:tblPr>
        <w:tblW w:w="127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43"/>
        <w:gridCol w:w="2762"/>
      </w:tblGrid>
      <w:tr w:rsidR="00F84DE9" w:rsidRPr="00F84DE9" w:rsidTr="00F84DE9">
        <w:tc>
          <w:tcPr>
            <w:tcW w:w="0" w:type="auto"/>
            <w:tcBorders>
              <w:bottom w:val="single" w:sz="6" w:space="0" w:color="CCCCCC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Individuals below 60 years 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 Rate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Up to Rs.2,00,000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Rs.2,00,001 – Rs.5,00,000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Rs.5,00,001 – Rs.10,00,000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Rs.10,00,001 upwards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F84DE9" w:rsidRPr="00F84DE9" w:rsidTr="00F84DE9">
        <w:tc>
          <w:tcPr>
            <w:tcW w:w="0" w:type="auto"/>
            <w:tcBorders>
              <w:bottom w:val="single" w:sz="6" w:space="0" w:color="CCCCCC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Sr. Citizen (60-79 yrs)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 Rate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Up to Rs.2,50,000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Rs.2,50,001 – Rs.5,00,000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Rs.5,00,001 – Rs.10,00,000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Rs.10,00,001 upwards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F84DE9" w:rsidRPr="00F84DE9" w:rsidTr="00F84DE9">
        <w:tc>
          <w:tcPr>
            <w:tcW w:w="0" w:type="auto"/>
            <w:tcBorders>
              <w:bottom w:val="single" w:sz="6" w:space="0" w:color="CCCCCC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Very Sr. Citizen (80 yrs &amp; above)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 Rate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Up to Rs.5,00,000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Rs.5,00,001 – Rs.10,00,000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F84DE9" w:rsidRPr="00F84DE9" w:rsidTr="00F84DE9"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Rs.10,00,001 upwards</w:t>
            </w:r>
          </w:p>
        </w:tc>
        <w:tc>
          <w:tcPr>
            <w:tcW w:w="0" w:type="auto"/>
            <w:vAlign w:val="center"/>
            <w:hideMark/>
          </w:tcPr>
          <w:p w:rsidR="00F84DE9" w:rsidRPr="00F84DE9" w:rsidRDefault="00F84DE9" w:rsidP="00F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E9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</w:tr>
    </w:tbl>
    <w:p w:rsidR="00F84DE9" w:rsidRPr="00F84DE9" w:rsidRDefault="00F84DE9" w:rsidP="00F84D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535353"/>
          <w:sz w:val="24"/>
          <w:szCs w:val="24"/>
        </w:rPr>
      </w:pPr>
      <w:r w:rsidRPr="00F84DE9">
        <w:rPr>
          <w:rFonts w:ascii="Arial" w:eastAsia="Times New Roman" w:hAnsi="Arial" w:cs="Arial"/>
          <w:color w:val="535353"/>
          <w:sz w:val="24"/>
          <w:szCs w:val="24"/>
        </w:rPr>
        <w:t>Deduction in tax will be given for amount upto Rs.1 lakh  invested in tax savings under 80C.</w:t>
      </w:r>
    </w:p>
    <w:p w:rsidR="00F84DE9" w:rsidRPr="00F84DE9" w:rsidRDefault="00F84DE9" w:rsidP="00F84D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535353"/>
          <w:sz w:val="24"/>
          <w:szCs w:val="24"/>
        </w:rPr>
      </w:pPr>
      <w:r w:rsidRPr="00F84DE9">
        <w:rPr>
          <w:rFonts w:ascii="Arial" w:eastAsia="Times New Roman" w:hAnsi="Arial" w:cs="Arial"/>
          <w:color w:val="535353"/>
          <w:sz w:val="24"/>
          <w:szCs w:val="24"/>
        </w:rPr>
        <w:t>50 % deduction on investment upto Rs.50,000 directly in equities for taxpayers with annual income upto Rs. 10 lacs will be given under Rajiv Gandhi Equity Savings Scheme.</w:t>
      </w:r>
    </w:p>
    <w:p w:rsidR="00F84DE9" w:rsidRPr="00F84DE9" w:rsidRDefault="00F84DE9" w:rsidP="00F84D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535353"/>
          <w:sz w:val="24"/>
          <w:szCs w:val="24"/>
        </w:rPr>
      </w:pPr>
      <w:r w:rsidRPr="00F84DE9">
        <w:rPr>
          <w:rFonts w:ascii="Arial" w:eastAsia="Times New Roman" w:hAnsi="Arial" w:cs="Arial"/>
          <w:color w:val="535353"/>
          <w:sz w:val="24"/>
          <w:szCs w:val="24"/>
        </w:rPr>
        <w:t> With the new slab salaried employees will have minimum Rs. 2000 tax relief.</w:t>
      </w:r>
    </w:p>
    <w:p w:rsidR="00F84DE9" w:rsidRPr="00F84DE9" w:rsidRDefault="00F84DE9" w:rsidP="00F84D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535353"/>
          <w:sz w:val="24"/>
          <w:szCs w:val="24"/>
        </w:rPr>
      </w:pPr>
      <w:r w:rsidRPr="00F84DE9">
        <w:rPr>
          <w:rFonts w:ascii="Arial" w:eastAsia="Times New Roman" w:hAnsi="Arial" w:cs="Arial"/>
          <w:color w:val="535353"/>
          <w:sz w:val="24"/>
          <w:szCs w:val="24"/>
        </w:rPr>
        <w:t>A deduction of upto Rs 10,000 for interest from savings bank accounts is proposed while computing taxable income.</w:t>
      </w:r>
    </w:p>
    <w:p w:rsidR="00F84DE9" w:rsidRPr="00F84DE9" w:rsidRDefault="00F84DE9" w:rsidP="00F84D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535353"/>
          <w:sz w:val="24"/>
          <w:szCs w:val="24"/>
        </w:rPr>
      </w:pPr>
      <w:r w:rsidRPr="00F84DE9">
        <w:rPr>
          <w:rFonts w:ascii="Arial" w:eastAsia="Times New Roman" w:hAnsi="Arial" w:cs="Arial"/>
          <w:color w:val="535353"/>
          <w:sz w:val="24"/>
          <w:szCs w:val="24"/>
        </w:rPr>
        <w:t>If taxable salary income is up to Rs 5,00,000 and interest from savings bank accounts is up to Rs 10,000, no tax return is to be filed.</w:t>
      </w:r>
    </w:p>
    <w:p w:rsidR="00F84DE9" w:rsidRPr="00F84DE9" w:rsidRDefault="00F84DE9" w:rsidP="00F84D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535353"/>
          <w:sz w:val="24"/>
          <w:szCs w:val="24"/>
        </w:rPr>
      </w:pPr>
      <w:r w:rsidRPr="00F84DE9">
        <w:rPr>
          <w:rFonts w:ascii="Arial" w:eastAsia="Times New Roman" w:hAnsi="Arial" w:cs="Arial"/>
          <w:color w:val="535353"/>
          <w:sz w:val="24"/>
          <w:szCs w:val="24"/>
        </w:rPr>
        <w:t>Rs 5,000 to cover expenses for preventive health check-ups for self and family members are deducted from taxable income within the overall limit of Rs 15,000 for Mediclaim insurance premium.</w:t>
      </w:r>
    </w:p>
    <w:p w:rsidR="00094BD5" w:rsidRPr="00F84DE9" w:rsidRDefault="00F84DE9" w:rsidP="00F84DE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535353"/>
          <w:sz w:val="24"/>
          <w:szCs w:val="24"/>
        </w:rPr>
      </w:pPr>
      <w:r w:rsidRPr="00F84DE9">
        <w:rPr>
          <w:rFonts w:ascii="Arial" w:eastAsia="Times New Roman" w:hAnsi="Arial" w:cs="Arial"/>
          <w:color w:val="535353"/>
          <w:sz w:val="24"/>
          <w:szCs w:val="24"/>
        </w:rPr>
        <w:t>Capital gains from sale of house property will not be taxable, if invested in e</w:t>
      </w:r>
      <w:r>
        <w:rPr>
          <w:rFonts w:ascii="Arial" w:eastAsia="Times New Roman" w:hAnsi="Arial" w:cs="Arial"/>
          <w:color w:val="535353"/>
          <w:sz w:val="24"/>
          <w:szCs w:val="24"/>
        </w:rPr>
        <w:t>q</w:t>
      </w:r>
      <w:r>
        <w:rPr>
          <w:rFonts w:ascii="Arial" w:eastAsia="Times New Roman" w:hAnsi="Arial" w:cs="Arial"/>
          <w:color w:val="005A84"/>
          <w:sz w:val="24"/>
          <w:szCs w:val="24"/>
          <w:u w:val="single"/>
        </w:rPr>
        <w:t>,</w:t>
      </w:r>
    </w:p>
    <w:sectPr w:rsidR="00094BD5" w:rsidRPr="00F84DE9" w:rsidSect="00094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A3AD2"/>
    <w:multiLevelType w:val="multilevel"/>
    <w:tmpl w:val="FC78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6550B"/>
    <w:multiLevelType w:val="hybridMultilevel"/>
    <w:tmpl w:val="B686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2713F"/>
    <w:multiLevelType w:val="multilevel"/>
    <w:tmpl w:val="9A0A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F1883"/>
    <w:multiLevelType w:val="multilevel"/>
    <w:tmpl w:val="0B4C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B0551A"/>
    <w:multiLevelType w:val="multilevel"/>
    <w:tmpl w:val="321C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F84DE9"/>
    <w:rsid w:val="00094BD5"/>
    <w:rsid w:val="00F84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BD5"/>
  </w:style>
  <w:style w:type="paragraph" w:styleId="Heading1">
    <w:name w:val="heading 1"/>
    <w:basedOn w:val="Normal"/>
    <w:link w:val="Heading1Char"/>
    <w:uiPriority w:val="9"/>
    <w:qFormat/>
    <w:rsid w:val="00F84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84D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D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84DE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F84DE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4DE9"/>
  </w:style>
  <w:style w:type="character" w:customStyle="1" w:styleId="ata11y">
    <w:name w:val="at_a11y"/>
    <w:basedOn w:val="DefaultParagraphFont"/>
    <w:rsid w:val="00F84DE9"/>
  </w:style>
  <w:style w:type="paragraph" w:styleId="ListParagraph">
    <w:name w:val="List Paragraph"/>
    <w:basedOn w:val="Normal"/>
    <w:uiPriority w:val="34"/>
    <w:qFormat/>
    <w:rsid w:val="00F84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20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278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2166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6" w:color="D3D3D3"/>
                        <w:left w:val="none" w:sz="0" w:space="0" w:color="auto"/>
                        <w:bottom w:val="dashed" w:sz="6" w:space="6" w:color="D3D3D3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5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5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dianrailwayemployee.com/category/subject/investments" TargetMode="External"/><Relationship Id="rId5" Type="http://schemas.openxmlformats.org/officeDocument/2006/relationships/hyperlink" Target="http://indianrailwayemployee.com/category/subject/income-ta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dellpc</dc:creator>
  <cp:lastModifiedBy>dellpc</cp:lastModifiedBy>
  <cp:revision>2</cp:revision>
  <dcterms:created xsi:type="dcterms:W3CDTF">2013-05-01T14:13:00Z</dcterms:created>
  <dcterms:modified xsi:type="dcterms:W3CDTF">2013-05-01T14:25:00Z</dcterms:modified>
</cp:coreProperties>
</file>