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3CD" w:rsidRPr="00C943CD" w:rsidRDefault="00C943CD" w:rsidP="00C943CD">
      <w:pPr>
        <w:shd w:val="clear" w:color="auto" w:fill="FFFFFF"/>
        <w:spacing w:after="160" w:line="240" w:lineRule="auto"/>
        <w:ind w:left="544" w:right="544" w:firstLine="0"/>
        <w:rPr>
          <w:rFonts w:ascii="Arial" w:eastAsia="Times New Roman" w:hAnsi="Arial"/>
          <w:b/>
          <w:bCs/>
          <w:color w:val="000000"/>
          <w:sz w:val="24"/>
          <w:szCs w:val="24"/>
          <w:lang w:eastAsia="en-IN"/>
        </w:rPr>
      </w:pPr>
      <w:r w:rsidRPr="00C943CD">
        <w:rPr>
          <w:rFonts w:ascii="Arial" w:eastAsia="Times New Roman" w:hAnsi="Arial"/>
          <w:b/>
          <w:bCs/>
          <w:color w:val="000000"/>
          <w:sz w:val="24"/>
          <w:szCs w:val="24"/>
          <w:lang w:eastAsia="en-IN"/>
        </w:rPr>
        <w:t>IT: In absence of existence of landlord-tenant relationship, liability for deduction of TDS under section 194-I could not be crystallized upon assessee</w:t>
      </w:r>
    </w:p>
    <w:p w:rsidR="00C943CD" w:rsidRPr="00C943CD" w:rsidRDefault="00C943CD" w:rsidP="00C943CD">
      <w:pPr>
        <w:shd w:val="clear" w:color="auto" w:fill="FFFFFF"/>
        <w:spacing w:before="240" w:after="240" w:line="240" w:lineRule="auto"/>
        <w:ind w:left="90" w:firstLine="0"/>
        <w:jc w:val="center"/>
        <w:rPr>
          <w:rFonts w:ascii="Times New Roman" w:eastAsia="Times New Roman" w:hAnsi="Times New Roman" w:cs="Times New Roman"/>
          <w:color w:val="E4E4E4"/>
          <w:sz w:val="24"/>
          <w:szCs w:val="24"/>
          <w:lang w:eastAsia="en-IN"/>
        </w:rPr>
      </w:pPr>
      <w:r w:rsidRPr="00C943CD">
        <w:rPr>
          <w:rFonts w:ascii="Times New Roman" w:eastAsia="Times New Roman" w:hAnsi="Times New Roman" w:cs="Times New Roman"/>
          <w:color w:val="E4E4E4"/>
          <w:sz w:val="24"/>
          <w:szCs w:val="24"/>
          <w:lang w:eastAsia="en-IN"/>
        </w:rPr>
        <w:t>■■■</w:t>
      </w:r>
    </w:p>
    <w:p w:rsidR="00C943CD" w:rsidRPr="00C943CD" w:rsidRDefault="00C943CD" w:rsidP="00C943CD">
      <w:pPr>
        <w:shd w:val="clear" w:color="auto" w:fill="FFFFFF"/>
        <w:spacing w:after="120" w:line="240" w:lineRule="auto"/>
        <w:ind w:left="90" w:firstLine="0"/>
        <w:jc w:val="center"/>
        <w:rPr>
          <w:rFonts w:ascii="Arial" w:eastAsia="Times New Roman" w:hAnsi="Arial"/>
          <w:b/>
          <w:bCs/>
          <w:color w:val="000000"/>
          <w:sz w:val="24"/>
          <w:szCs w:val="24"/>
          <w:lang w:eastAsia="en-IN"/>
        </w:rPr>
      </w:pPr>
      <w:proofErr w:type="gramStart"/>
      <w:r w:rsidRPr="00C943CD">
        <w:rPr>
          <w:rFonts w:ascii="Arial" w:eastAsia="Times New Roman" w:hAnsi="Arial"/>
          <w:b/>
          <w:bCs/>
          <w:color w:val="000000"/>
          <w:sz w:val="24"/>
          <w:szCs w:val="24"/>
          <w:lang w:eastAsia="en-IN"/>
        </w:rPr>
        <w:t>[2013] 32 taxmann.com 223 (Delhi - Trib.)</w:t>
      </w:r>
      <w:proofErr w:type="gramEnd"/>
      <w:r w:rsidRPr="00C943CD">
        <w:rPr>
          <w:rFonts w:ascii="Arial" w:eastAsia="Times New Roman" w:hAnsi="Arial"/>
          <w:b/>
          <w:bCs/>
          <w:color w:val="000000"/>
          <w:sz w:val="24"/>
          <w:szCs w:val="24"/>
          <w:lang w:eastAsia="en-IN"/>
        </w:rPr>
        <w:t xml:space="preserve"> </w:t>
      </w:r>
    </w:p>
    <w:p w:rsidR="00C943CD" w:rsidRPr="00C943CD" w:rsidRDefault="00C943CD" w:rsidP="00C943CD">
      <w:pPr>
        <w:shd w:val="clear" w:color="auto" w:fill="FFFFFF"/>
        <w:spacing w:after="120" w:line="240" w:lineRule="auto"/>
        <w:ind w:left="90" w:firstLine="0"/>
        <w:jc w:val="center"/>
        <w:rPr>
          <w:rFonts w:ascii="Arial" w:eastAsia="Times New Roman" w:hAnsi="Arial"/>
          <w:b/>
          <w:bCs/>
          <w:color w:val="000000"/>
          <w:sz w:val="24"/>
          <w:szCs w:val="24"/>
          <w:lang w:eastAsia="en-IN"/>
        </w:rPr>
      </w:pPr>
      <w:r w:rsidRPr="00C943CD">
        <w:rPr>
          <w:rFonts w:ascii="Arial" w:eastAsia="Times New Roman" w:hAnsi="Arial"/>
          <w:b/>
          <w:bCs/>
          <w:color w:val="000000"/>
          <w:sz w:val="24"/>
          <w:szCs w:val="24"/>
          <w:lang w:eastAsia="en-IN"/>
        </w:rPr>
        <w:t>IN THE ITAT DELHI BENCH 'G'</w:t>
      </w:r>
    </w:p>
    <w:p w:rsidR="00C943CD" w:rsidRPr="00C943CD" w:rsidRDefault="00C943CD" w:rsidP="00C943CD">
      <w:pPr>
        <w:shd w:val="clear" w:color="auto" w:fill="FFFFFF"/>
        <w:spacing w:after="120" w:line="240" w:lineRule="auto"/>
        <w:ind w:left="90" w:firstLine="0"/>
        <w:jc w:val="center"/>
        <w:rPr>
          <w:rFonts w:ascii="Arial" w:eastAsia="Times New Roman" w:hAnsi="Arial"/>
          <w:b/>
          <w:bCs/>
          <w:color w:val="000000"/>
          <w:sz w:val="24"/>
          <w:szCs w:val="24"/>
          <w:lang w:eastAsia="en-IN"/>
        </w:rPr>
      </w:pPr>
      <w:r w:rsidRPr="00C943CD">
        <w:rPr>
          <w:rFonts w:ascii="Arial" w:eastAsia="Times New Roman" w:hAnsi="Arial"/>
          <w:b/>
          <w:bCs/>
          <w:color w:val="000000"/>
          <w:sz w:val="24"/>
          <w:szCs w:val="24"/>
          <w:lang w:eastAsia="en-IN"/>
        </w:rPr>
        <w:t>Assistant Commissioner of Income-tax (TDS), Circle-</w:t>
      </w:r>
      <w:proofErr w:type="spellStart"/>
      <w:r w:rsidRPr="00C943CD">
        <w:rPr>
          <w:rFonts w:ascii="Arial" w:eastAsia="Times New Roman" w:hAnsi="Arial"/>
          <w:b/>
          <w:bCs/>
          <w:color w:val="000000"/>
          <w:sz w:val="24"/>
          <w:szCs w:val="24"/>
          <w:lang w:eastAsia="en-IN"/>
        </w:rPr>
        <w:t>Gurgaon</w:t>
      </w:r>
      <w:proofErr w:type="spellEnd"/>
    </w:p>
    <w:p w:rsidR="00C943CD" w:rsidRPr="00C943CD" w:rsidRDefault="00C943CD" w:rsidP="00C943CD">
      <w:pPr>
        <w:shd w:val="clear" w:color="auto" w:fill="FFFFFF"/>
        <w:spacing w:after="120" w:line="240" w:lineRule="auto"/>
        <w:ind w:left="90" w:firstLine="0"/>
        <w:jc w:val="center"/>
        <w:rPr>
          <w:rFonts w:ascii="Arial" w:eastAsia="Times New Roman" w:hAnsi="Arial"/>
          <w:b/>
          <w:bCs/>
          <w:i/>
          <w:iCs/>
          <w:color w:val="000000"/>
          <w:sz w:val="24"/>
          <w:szCs w:val="24"/>
          <w:lang w:eastAsia="en-IN"/>
        </w:rPr>
      </w:pPr>
      <w:proofErr w:type="gramStart"/>
      <w:r w:rsidRPr="00C943CD">
        <w:rPr>
          <w:rFonts w:ascii="Arial" w:eastAsia="Times New Roman" w:hAnsi="Arial"/>
          <w:b/>
          <w:bCs/>
          <w:i/>
          <w:iCs/>
          <w:color w:val="000000"/>
          <w:sz w:val="24"/>
          <w:szCs w:val="24"/>
          <w:lang w:eastAsia="en-IN"/>
        </w:rPr>
        <w:t>v</w:t>
      </w:r>
      <w:proofErr w:type="gramEnd"/>
      <w:r w:rsidRPr="00C943CD">
        <w:rPr>
          <w:rFonts w:ascii="Arial" w:eastAsia="Times New Roman" w:hAnsi="Arial"/>
          <w:b/>
          <w:bCs/>
          <w:i/>
          <w:iCs/>
          <w:color w:val="000000"/>
          <w:sz w:val="24"/>
          <w:szCs w:val="24"/>
          <w:lang w:eastAsia="en-IN"/>
        </w:rPr>
        <w:t>.</w:t>
      </w:r>
    </w:p>
    <w:p w:rsidR="00C943CD" w:rsidRPr="00C943CD" w:rsidRDefault="00C943CD" w:rsidP="00C943CD">
      <w:pPr>
        <w:shd w:val="clear" w:color="auto" w:fill="FFFFFF"/>
        <w:spacing w:after="120" w:line="240" w:lineRule="auto"/>
        <w:ind w:left="90" w:firstLine="0"/>
        <w:jc w:val="center"/>
        <w:rPr>
          <w:rFonts w:ascii="Arial" w:eastAsia="Times New Roman" w:hAnsi="Arial"/>
          <w:b/>
          <w:bCs/>
          <w:color w:val="000000"/>
          <w:sz w:val="24"/>
          <w:szCs w:val="24"/>
          <w:lang w:eastAsia="en-IN"/>
        </w:rPr>
      </w:pPr>
      <w:r w:rsidRPr="00C943CD">
        <w:rPr>
          <w:rFonts w:ascii="Arial" w:eastAsia="Times New Roman" w:hAnsi="Arial"/>
          <w:b/>
          <w:bCs/>
          <w:color w:val="000000"/>
          <w:sz w:val="24"/>
          <w:szCs w:val="24"/>
          <w:lang w:eastAsia="en-IN"/>
        </w:rPr>
        <w:t xml:space="preserve">Serco BPO (P.) </w:t>
      </w:r>
      <w:proofErr w:type="gramStart"/>
      <w:r w:rsidRPr="00C943CD">
        <w:rPr>
          <w:rFonts w:ascii="Arial" w:eastAsia="Times New Roman" w:hAnsi="Arial"/>
          <w:b/>
          <w:bCs/>
          <w:color w:val="000000"/>
          <w:sz w:val="24"/>
          <w:szCs w:val="24"/>
          <w:lang w:eastAsia="en-IN"/>
        </w:rPr>
        <w:t>Ltd.</w:t>
      </w:r>
      <w:proofErr w:type="gramEnd"/>
      <w:r w:rsidRPr="00C943CD">
        <w:rPr>
          <w:rFonts w:ascii="Arial" w:eastAsia="Times New Roman" w:hAnsi="Arial"/>
          <w:b/>
          <w:bCs/>
          <w:color w:val="000000"/>
          <w:sz w:val="24"/>
          <w:szCs w:val="24"/>
          <w:lang w:eastAsia="en-IN"/>
        </w:rPr>
        <w:fldChar w:fldCharType="begin"/>
      </w:r>
      <w:r w:rsidRPr="00C943CD">
        <w:rPr>
          <w:rFonts w:ascii="Arial" w:eastAsia="Times New Roman" w:hAnsi="Arial"/>
          <w:b/>
          <w:bCs/>
          <w:color w:val="000000"/>
          <w:sz w:val="24"/>
          <w:szCs w:val="24"/>
          <w:lang w:eastAsia="en-IN"/>
        </w:rPr>
        <w:instrText xml:space="preserve"> HYPERLINK "http://www.taxmann.com/fileopennew.aspx?Id=101010000000084776&amp;mode=home&amp;Page=CIRNO" \l "fn1" </w:instrText>
      </w:r>
      <w:r w:rsidRPr="00C943CD">
        <w:rPr>
          <w:rFonts w:ascii="Arial" w:eastAsia="Times New Roman" w:hAnsi="Arial"/>
          <w:b/>
          <w:bCs/>
          <w:color w:val="000000"/>
          <w:sz w:val="24"/>
          <w:szCs w:val="24"/>
          <w:lang w:eastAsia="en-IN"/>
        </w:rPr>
        <w:fldChar w:fldCharType="separate"/>
      </w:r>
      <w:r w:rsidRPr="00C943CD">
        <w:rPr>
          <w:rFonts w:ascii="Arial" w:eastAsia="Times New Roman" w:hAnsi="Arial"/>
          <w:b/>
          <w:bCs/>
          <w:color w:val="0000FF"/>
          <w:sz w:val="24"/>
          <w:szCs w:val="24"/>
          <w:lang w:eastAsia="en-IN"/>
        </w:rPr>
        <w:t>*</w:t>
      </w:r>
      <w:r w:rsidRPr="00C943CD">
        <w:rPr>
          <w:rFonts w:ascii="Arial" w:eastAsia="Times New Roman" w:hAnsi="Arial"/>
          <w:b/>
          <w:bCs/>
          <w:color w:val="000000"/>
          <w:sz w:val="24"/>
          <w:szCs w:val="24"/>
          <w:lang w:eastAsia="en-IN"/>
        </w:rPr>
        <w:fldChar w:fldCharType="end"/>
      </w:r>
    </w:p>
    <w:p w:rsidR="00C943CD" w:rsidRPr="00C943CD" w:rsidRDefault="00C943CD" w:rsidP="00C943CD">
      <w:pPr>
        <w:shd w:val="clear" w:color="auto" w:fill="FFFFFF"/>
        <w:spacing w:after="0" w:line="240" w:lineRule="auto"/>
        <w:ind w:left="90" w:firstLine="0"/>
        <w:jc w:val="center"/>
        <w:rPr>
          <w:rFonts w:ascii="Arial" w:eastAsia="Times New Roman" w:hAnsi="Arial"/>
          <w:caps/>
          <w:color w:val="000000"/>
          <w:sz w:val="24"/>
          <w:szCs w:val="24"/>
          <w:lang w:eastAsia="en-IN"/>
        </w:rPr>
      </w:pPr>
      <w:r w:rsidRPr="00C943CD">
        <w:rPr>
          <w:rFonts w:ascii="Arial" w:eastAsia="Times New Roman" w:hAnsi="Arial"/>
          <w:caps/>
          <w:color w:val="000000"/>
          <w:sz w:val="24"/>
          <w:szCs w:val="24"/>
          <w:lang w:eastAsia="en-IN"/>
        </w:rPr>
        <w:t>A.N. PAHUJA, ACCOUNTANT MEMBER</w:t>
      </w:r>
      <w:r w:rsidRPr="00C943CD">
        <w:rPr>
          <w:rFonts w:ascii="Arial" w:eastAsia="Times New Roman" w:hAnsi="Arial"/>
          <w:caps/>
          <w:color w:val="000000"/>
          <w:sz w:val="24"/>
          <w:szCs w:val="24"/>
          <w:lang w:eastAsia="en-IN"/>
        </w:rPr>
        <w:br/>
        <w:t xml:space="preserve">AND C.M. Garg, JUDICIAL MEMBER </w:t>
      </w:r>
    </w:p>
    <w:p w:rsidR="00C943CD" w:rsidRPr="00C943CD" w:rsidRDefault="00C943CD" w:rsidP="00C943CD">
      <w:pPr>
        <w:shd w:val="clear" w:color="auto" w:fill="FFFFFF"/>
        <w:spacing w:after="0" w:line="240" w:lineRule="auto"/>
        <w:ind w:left="90" w:firstLine="0"/>
        <w:jc w:val="center"/>
        <w:rPr>
          <w:rFonts w:ascii="Arial" w:eastAsia="Times New Roman" w:hAnsi="Arial"/>
          <w:caps/>
          <w:color w:val="000000"/>
          <w:sz w:val="24"/>
          <w:szCs w:val="24"/>
          <w:lang w:eastAsia="en-IN"/>
        </w:rPr>
      </w:pPr>
      <w:r w:rsidRPr="00C943CD">
        <w:rPr>
          <w:rFonts w:ascii="Arial" w:eastAsia="Times New Roman" w:hAnsi="Arial"/>
          <w:caps/>
          <w:color w:val="000000"/>
          <w:sz w:val="24"/>
          <w:szCs w:val="24"/>
          <w:lang w:eastAsia="en-IN"/>
        </w:rPr>
        <w:t xml:space="preserve">IT </w:t>
      </w:r>
      <w:proofErr w:type="gramStart"/>
      <w:r w:rsidRPr="00C943CD">
        <w:rPr>
          <w:rFonts w:ascii="Arial" w:eastAsia="Times New Roman" w:hAnsi="Arial"/>
          <w:caps/>
          <w:color w:val="000000"/>
          <w:sz w:val="24"/>
          <w:szCs w:val="24"/>
          <w:lang w:eastAsia="en-IN"/>
        </w:rPr>
        <w:t>Appeal</w:t>
      </w:r>
      <w:proofErr w:type="gramEnd"/>
      <w:r w:rsidRPr="00C943CD">
        <w:rPr>
          <w:rFonts w:ascii="Arial" w:eastAsia="Times New Roman" w:hAnsi="Arial"/>
          <w:caps/>
          <w:color w:val="000000"/>
          <w:sz w:val="24"/>
          <w:szCs w:val="24"/>
          <w:lang w:eastAsia="en-IN"/>
        </w:rPr>
        <w:t xml:space="preserve"> No. 5003 (Delhi) of 2012</w:t>
      </w:r>
      <w:r w:rsidRPr="00C943CD">
        <w:rPr>
          <w:rFonts w:ascii="Arial" w:eastAsia="Times New Roman" w:hAnsi="Arial"/>
          <w:caps/>
          <w:color w:val="000000"/>
          <w:sz w:val="24"/>
          <w:szCs w:val="24"/>
          <w:lang w:eastAsia="en-IN"/>
        </w:rPr>
        <w:br/>
        <w:t xml:space="preserve">[ASSESSMENT YEAR 2009-10] </w:t>
      </w:r>
    </w:p>
    <w:p w:rsidR="00C943CD" w:rsidRPr="00C943CD" w:rsidRDefault="00C943CD" w:rsidP="00C943CD">
      <w:pPr>
        <w:shd w:val="clear" w:color="auto" w:fill="FFFFFF"/>
        <w:spacing w:after="360" w:line="240" w:lineRule="auto"/>
        <w:ind w:left="90" w:firstLine="0"/>
        <w:jc w:val="center"/>
        <w:rPr>
          <w:rFonts w:ascii="Arial" w:eastAsia="Times New Roman" w:hAnsi="Arial"/>
          <w:color w:val="000000"/>
          <w:sz w:val="24"/>
          <w:szCs w:val="24"/>
          <w:lang w:eastAsia="en-IN"/>
        </w:rPr>
      </w:pPr>
      <w:r w:rsidRPr="00C943CD">
        <w:rPr>
          <w:rFonts w:ascii="Arial" w:eastAsia="Times New Roman" w:hAnsi="Arial"/>
          <w:color w:val="000000"/>
          <w:sz w:val="24"/>
          <w:szCs w:val="24"/>
          <w:lang w:eastAsia="en-IN"/>
        </w:rPr>
        <w:t xml:space="preserve">DECEMBER 7, 2012 </w:t>
      </w:r>
    </w:p>
    <w:p w:rsidR="00C943CD" w:rsidRPr="00C943CD" w:rsidRDefault="00C943CD" w:rsidP="00C943CD">
      <w:pPr>
        <w:shd w:val="clear" w:color="auto" w:fill="FFFFFF"/>
        <w:spacing w:after="160" w:line="240" w:lineRule="auto"/>
        <w:ind w:left="90" w:firstLine="0"/>
        <w:rPr>
          <w:rFonts w:ascii="Arial" w:eastAsia="Times New Roman" w:hAnsi="Arial"/>
          <w:b/>
          <w:bCs/>
          <w:color w:val="000000"/>
          <w:sz w:val="24"/>
          <w:szCs w:val="24"/>
          <w:lang w:eastAsia="en-IN"/>
        </w:rPr>
      </w:pPr>
      <w:r w:rsidRPr="00C943CD">
        <w:rPr>
          <w:rFonts w:ascii="Arial" w:eastAsia="Times New Roman" w:hAnsi="Arial"/>
          <w:b/>
          <w:bCs/>
          <w:color w:val="000000"/>
          <w:sz w:val="24"/>
          <w:szCs w:val="24"/>
          <w:lang w:eastAsia="en-IN"/>
        </w:rPr>
        <w:t xml:space="preserve">Section 194-I, read with sections 194C and 201, of the Income-tax Act, 1961 - Deduction of tax at source - Rent [Landlord-tenant relationship] - Assessment year 2009-10 - Assessee-company took over running B.P.O. business of a company named IISPL at various locations - It entered into a facility agreement with IISPL to get right to use tenanted premises registered in name of IISPL - All payments to landlords were made by IISPL on behalf of assessee after deducting TDS </w:t>
      </w:r>
      <w:proofErr w:type="spellStart"/>
      <w:r w:rsidRPr="00C943CD">
        <w:rPr>
          <w:rFonts w:ascii="Arial" w:eastAsia="Times New Roman" w:hAnsi="Arial"/>
          <w:b/>
          <w:bCs/>
          <w:color w:val="000000"/>
          <w:sz w:val="24"/>
          <w:szCs w:val="24"/>
          <w:lang w:eastAsia="en-IN"/>
        </w:rPr>
        <w:t>therefrom</w:t>
      </w:r>
      <w:proofErr w:type="spellEnd"/>
      <w:r w:rsidRPr="00C943CD">
        <w:rPr>
          <w:rFonts w:ascii="Arial" w:eastAsia="Times New Roman" w:hAnsi="Arial"/>
          <w:b/>
          <w:bCs/>
          <w:color w:val="000000"/>
          <w:sz w:val="24"/>
          <w:szCs w:val="24"/>
          <w:lang w:eastAsia="en-IN"/>
        </w:rPr>
        <w:t xml:space="preserve"> - Then, assessee reimbursed said amount to IISPL and he deducted TDS under section 194C on said payment - However, Assessing Officer held that tax was required to be deducted in terms of provisions of section 194-I from said payments and raised demand for short deduction of TDS under section 201 - Whether since there was no material evidencing landlord-tenant relationship or a licensor-</w:t>
      </w:r>
      <w:proofErr w:type="spellStart"/>
      <w:r w:rsidRPr="00C943CD">
        <w:rPr>
          <w:rFonts w:ascii="Arial" w:eastAsia="Times New Roman" w:hAnsi="Arial"/>
          <w:b/>
          <w:bCs/>
          <w:color w:val="000000"/>
          <w:sz w:val="24"/>
          <w:szCs w:val="24"/>
          <w:lang w:eastAsia="en-IN"/>
        </w:rPr>
        <w:t>licencee</w:t>
      </w:r>
      <w:proofErr w:type="spellEnd"/>
      <w:r w:rsidRPr="00C943CD">
        <w:rPr>
          <w:rFonts w:ascii="Arial" w:eastAsia="Times New Roman" w:hAnsi="Arial"/>
          <w:b/>
          <w:bCs/>
          <w:color w:val="000000"/>
          <w:sz w:val="24"/>
          <w:szCs w:val="24"/>
          <w:lang w:eastAsia="en-IN"/>
        </w:rPr>
        <w:t xml:space="preserve"> relationship between IISPL and assessee, provisions of section 194-I were not applicable to assessee - Held, yes [Para 6] [In favour of assessee]</w:t>
      </w:r>
    </w:p>
    <w:p w:rsidR="00C943CD" w:rsidRPr="00C943CD" w:rsidRDefault="00C943CD" w:rsidP="00C943CD">
      <w:pPr>
        <w:shd w:val="clear" w:color="auto" w:fill="FFFFFF"/>
        <w:spacing w:after="0" w:line="240" w:lineRule="auto"/>
        <w:ind w:left="90" w:firstLine="0"/>
        <w:rPr>
          <w:rFonts w:ascii="Arial" w:eastAsia="Times New Roman" w:hAnsi="Arial"/>
          <w:b/>
          <w:bCs/>
          <w:color w:val="000000"/>
          <w:sz w:val="24"/>
          <w:szCs w:val="24"/>
          <w:lang w:eastAsia="en-IN"/>
        </w:rPr>
      </w:pPr>
      <w:r w:rsidRPr="00C943CD">
        <w:rPr>
          <w:rFonts w:ascii="Arial" w:eastAsia="Times New Roman" w:hAnsi="Arial"/>
          <w:b/>
          <w:bCs/>
          <w:color w:val="000000"/>
          <w:sz w:val="24"/>
          <w:szCs w:val="24"/>
          <w:lang w:eastAsia="en-IN"/>
        </w:rPr>
        <w:t xml:space="preserve">Circulars and </w:t>
      </w:r>
      <w:proofErr w:type="gramStart"/>
      <w:r w:rsidRPr="00C943CD">
        <w:rPr>
          <w:rFonts w:ascii="Arial" w:eastAsia="Times New Roman" w:hAnsi="Arial"/>
          <w:b/>
          <w:bCs/>
          <w:color w:val="000000"/>
          <w:sz w:val="24"/>
          <w:szCs w:val="24"/>
          <w:lang w:eastAsia="en-IN"/>
        </w:rPr>
        <w:t>Notifications :</w:t>
      </w:r>
      <w:proofErr w:type="gramEnd"/>
      <w:r w:rsidRPr="00C943CD">
        <w:rPr>
          <w:rFonts w:ascii="Arial" w:eastAsia="Times New Roman" w:hAnsi="Arial"/>
          <w:b/>
          <w:bCs/>
          <w:color w:val="000000"/>
          <w:sz w:val="24"/>
          <w:szCs w:val="24"/>
          <w:lang w:eastAsia="en-IN"/>
        </w:rPr>
        <w:t xml:space="preserve"> </w:t>
      </w:r>
      <w:hyperlink r:id="rId4" w:tgtFrame="_blank" w:history="1">
        <w:r w:rsidRPr="00C943CD">
          <w:rPr>
            <w:rFonts w:ascii="Arial" w:eastAsia="Times New Roman" w:hAnsi="Arial"/>
            <w:b/>
            <w:bCs/>
            <w:color w:val="0000FF"/>
            <w:sz w:val="24"/>
            <w:szCs w:val="24"/>
            <w:lang w:eastAsia="en-IN"/>
          </w:rPr>
          <w:t>Instruction F. No. 275/201/95-IT(B), dated 29-1-1997</w:t>
        </w:r>
      </w:hyperlink>
    </w:p>
    <w:p w:rsidR="00C943CD" w:rsidRPr="00C943CD" w:rsidRDefault="00C943CD" w:rsidP="00C943CD">
      <w:pPr>
        <w:shd w:val="clear" w:color="auto" w:fill="FFFFFF"/>
        <w:spacing w:before="80" w:after="100" w:line="240" w:lineRule="auto"/>
        <w:ind w:left="90" w:firstLine="0"/>
        <w:rPr>
          <w:rFonts w:ascii="Times New Roman" w:eastAsia="Times New Roman" w:hAnsi="Times New Roman" w:cs="Times New Roman"/>
          <w:b/>
          <w:bCs/>
          <w:caps/>
          <w:color w:val="000000"/>
          <w:sz w:val="24"/>
          <w:szCs w:val="24"/>
          <w:lang w:eastAsia="en-IN"/>
        </w:rPr>
      </w:pPr>
      <w:r w:rsidRPr="00C943CD">
        <w:rPr>
          <w:rFonts w:ascii="Times New Roman" w:eastAsia="Times New Roman" w:hAnsi="Times New Roman" w:cs="Times New Roman"/>
          <w:b/>
          <w:bCs/>
          <w:caps/>
          <w:color w:val="000000"/>
          <w:sz w:val="24"/>
          <w:szCs w:val="24"/>
          <w:lang w:eastAsia="en-IN"/>
        </w:rPr>
        <w:t>FACTS</w:t>
      </w:r>
    </w:p>
    <w:tbl>
      <w:tblPr>
        <w:tblW w:w="0" w:type="auto"/>
        <w:tblCellSpacing w:w="15" w:type="dxa"/>
        <w:tblInd w:w="-600" w:type="dxa"/>
        <w:tblCellMar>
          <w:top w:w="15" w:type="dxa"/>
          <w:left w:w="15" w:type="dxa"/>
          <w:bottom w:w="15" w:type="dxa"/>
          <w:right w:w="15" w:type="dxa"/>
        </w:tblCellMar>
        <w:tblLook w:val="04A0"/>
      </w:tblPr>
      <w:tblGrid>
        <w:gridCol w:w="750"/>
        <w:gridCol w:w="96"/>
        <w:gridCol w:w="8900"/>
      </w:tblGrid>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The assessee-company took over the running BPO business of a company named 'IISPL' at its various locations. It entered into an agreement with IISPL to get right to use tenanted premises registered in name of IISPL for a period of six months. All the payments were remitted to various parties by IISPL on behalf of the assessee-company. In turn, assessee reimbursed said payments to IISPL and deducted tax at source in terms of provisions of section 194C on the amount of reimbursement on actual basis.</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However, Assessing Officer held that tax was required to be deducted in terms of provisions of section 194-I from said payments. Consequently, the Assessing Officer raised the demand for short deduction of TDS under section 201 and for delay in deduction of TDS, he levied interest under section 201(1A).</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The Commissioner (Appeals) found that the premises were utilized on rent by IISPL and </w:t>
            </w:r>
            <w:r w:rsidRPr="00C943CD">
              <w:rPr>
                <w:rFonts w:ascii="Times New Roman" w:eastAsia="Times New Roman" w:hAnsi="Times New Roman" w:cs="Times New Roman"/>
                <w:sz w:val="24"/>
                <w:szCs w:val="24"/>
                <w:lang w:eastAsia="en-IN"/>
              </w:rPr>
              <w:lastRenderedPageBreak/>
              <w:t>due tax was deducted at source from the rent payments and that the assessee being not a tenant or sub-tenant in respect of the said premises, actual amount of rent paid by IISPL alone was reimbursed for use of facility. Accordingly, he concluded that the assessee was under no legal obligation to deduct tax at source and therefore, no interest was chargeable for non-deduction of tax at source.</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lastRenderedPageBreak/>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On second appeal:</w:t>
            </w:r>
          </w:p>
        </w:tc>
      </w:tr>
    </w:tbl>
    <w:p w:rsidR="00C943CD" w:rsidRPr="00C943CD" w:rsidRDefault="00C943CD" w:rsidP="00C943CD">
      <w:pPr>
        <w:shd w:val="clear" w:color="auto" w:fill="FFFFFF"/>
        <w:spacing w:before="80" w:after="100" w:line="240" w:lineRule="auto"/>
        <w:ind w:left="90" w:firstLine="0"/>
        <w:rPr>
          <w:rFonts w:ascii="Times New Roman" w:eastAsia="Times New Roman" w:hAnsi="Times New Roman" w:cs="Times New Roman"/>
          <w:b/>
          <w:bCs/>
          <w:caps/>
          <w:color w:val="000000"/>
          <w:sz w:val="24"/>
          <w:szCs w:val="24"/>
          <w:lang w:eastAsia="en-IN"/>
        </w:rPr>
      </w:pPr>
      <w:r w:rsidRPr="00C943CD">
        <w:rPr>
          <w:rFonts w:ascii="Times New Roman" w:eastAsia="Times New Roman" w:hAnsi="Times New Roman" w:cs="Times New Roman"/>
          <w:b/>
          <w:bCs/>
          <w:caps/>
          <w:color w:val="000000"/>
          <w:sz w:val="24"/>
          <w:szCs w:val="24"/>
          <w:lang w:eastAsia="en-IN"/>
        </w:rPr>
        <w:t>HELD</w:t>
      </w:r>
    </w:p>
    <w:tbl>
      <w:tblPr>
        <w:tblW w:w="0" w:type="auto"/>
        <w:tblCellSpacing w:w="15" w:type="dxa"/>
        <w:tblInd w:w="-600" w:type="dxa"/>
        <w:tblCellMar>
          <w:top w:w="15" w:type="dxa"/>
          <w:left w:w="15" w:type="dxa"/>
          <w:bottom w:w="15" w:type="dxa"/>
          <w:right w:w="15" w:type="dxa"/>
        </w:tblCellMar>
        <w:tblLook w:val="04A0"/>
      </w:tblPr>
      <w:tblGrid>
        <w:gridCol w:w="750"/>
        <w:gridCol w:w="96"/>
        <w:gridCol w:w="8900"/>
      </w:tblGrid>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The revenue </w:t>
            </w:r>
            <w:proofErr w:type="gramStart"/>
            <w:r w:rsidRPr="00C943CD">
              <w:rPr>
                <w:rFonts w:ascii="Times New Roman" w:eastAsia="Times New Roman" w:hAnsi="Times New Roman" w:cs="Times New Roman"/>
                <w:sz w:val="24"/>
                <w:szCs w:val="24"/>
                <w:lang w:eastAsia="en-IN"/>
              </w:rPr>
              <w:t>have</w:t>
            </w:r>
            <w:proofErr w:type="gramEnd"/>
            <w:r w:rsidRPr="00C943CD">
              <w:rPr>
                <w:rFonts w:ascii="Times New Roman" w:eastAsia="Times New Roman" w:hAnsi="Times New Roman" w:cs="Times New Roman"/>
                <w:sz w:val="24"/>
                <w:szCs w:val="24"/>
                <w:lang w:eastAsia="en-IN"/>
              </w:rPr>
              <w:t xml:space="preserve"> not placed any material suggesting that the assessee had any interest either as a lessee or sub-lessee or a tenant in any of the aforesaid 13 premises. The fact that the assessee was allowed use of premises by IISPL in terms of agreement dated 1-12-2008, cannot lead to the conclusion that the assessee had any interest as a lessee, sub-lessee or tenant over the various premises. The right to use any land or building necessarily implies that the assessee must have some interest in the immovable property as a tenant. The existence of a landlord-tenant relationship or a licensor-licensee is a must before a payment in question can be termed as a rent.</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In the instant case, no such material is evident from the order of the Assessing Officer nor </w:t>
            </w:r>
            <w:proofErr w:type="gramStart"/>
            <w:r w:rsidRPr="00C943CD">
              <w:rPr>
                <w:rFonts w:ascii="Times New Roman" w:eastAsia="Times New Roman" w:hAnsi="Times New Roman" w:cs="Times New Roman"/>
                <w:sz w:val="24"/>
                <w:szCs w:val="24"/>
                <w:lang w:eastAsia="en-IN"/>
              </w:rPr>
              <w:t>the departmental representative brought</w:t>
            </w:r>
            <w:proofErr w:type="gramEnd"/>
            <w:r w:rsidRPr="00C943CD">
              <w:rPr>
                <w:rFonts w:ascii="Times New Roman" w:eastAsia="Times New Roman" w:hAnsi="Times New Roman" w:cs="Times New Roman"/>
                <w:sz w:val="24"/>
                <w:szCs w:val="24"/>
                <w:lang w:eastAsia="en-IN"/>
              </w:rPr>
              <w:t xml:space="preserve"> any such material, evidencing existence of a landlord-tenant relationship or a licensor-licensee.</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Even otherwise, it may be pointed out that </w:t>
            </w:r>
            <w:hyperlink r:id="rId5" w:tgtFrame="_blank" w:history="1">
              <w:r w:rsidRPr="00C943CD">
                <w:rPr>
                  <w:rFonts w:ascii="Times New Roman" w:eastAsia="Times New Roman" w:hAnsi="Times New Roman" w:cs="Times New Roman"/>
                  <w:color w:val="0000FF"/>
                  <w:sz w:val="24"/>
                  <w:szCs w:val="24"/>
                  <w:lang w:eastAsia="en-IN"/>
                </w:rPr>
                <w:t>Circular No. 275/201/95-IT(B), dated 29-1-1997</w:t>
              </w:r>
            </w:hyperlink>
            <w:r w:rsidRPr="00C943CD">
              <w:rPr>
                <w:rFonts w:ascii="Times New Roman" w:eastAsia="Times New Roman" w:hAnsi="Times New Roman" w:cs="Times New Roman"/>
                <w:sz w:val="24"/>
                <w:szCs w:val="24"/>
                <w:lang w:eastAsia="en-IN"/>
              </w:rPr>
              <w:t xml:space="preserve">, issued by the CBDT envisages that no demand visualized under section 201(1) should be enforced after the tax </w:t>
            </w:r>
            <w:proofErr w:type="spellStart"/>
            <w:r w:rsidRPr="00C943CD">
              <w:rPr>
                <w:rFonts w:ascii="Times New Roman" w:eastAsia="Times New Roman" w:hAnsi="Times New Roman" w:cs="Times New Roman"/>
                <w:sz w:val="24"/>
                <w:szCs w:val="24"/>
                <w:lang w:eastAsia="en-IN"/>
              </w:rPr>
              <w:t>deductor</w:t>
            </w:r>
            <w:proofErr w:type="spellEnd"/>
            <w:r w:rsidRPr="00C943CD">
              <w:rPr>
                <w:rFonts w:ascii="Times New Roman" w:eastAsia="Times New Roman" w:hAnsi="Times New Roman" w:cs="Times New Roman"/>
                <w:sz w:val="24"/>
                <w:szCs w:val="24"/>
                <w:lang w:eastAsia="en-IN"/>
              </w:rPr>
              <w:t xml:space="preserve"> has satisfied the officer-in-charge of TDS, that taxes due have been paid by the </w:t>
            </w:r>
            <w:proofErr w:type="spellStart"/>
            <w:r w:rsidRPr="00C943CD">
              <w:rPr>
                <w:rFonts w:ascii="Times New Roman" w:eastAsia="Times New Roman" w:hAnsi="Times New Roman" w:cs="Times New Roman"/>
                <w:sz w:val="24"/>
                <w:szCs w:val="24"/>
                <w:lang w:eastAsia="en-IN"/>
              </w:rPr>
              <w:t>deductee</w:t>
            </w:r>
            <w:proofErr w:type="spellEnd"/>
            <w:r w:rsidRPr="00C943CD">
              <w:rPr>
                <w:rFonts w:ascii="Times New Roman" w:eastAsia="Times New Roman" w:hAnsi="Times New Roman" w:cs="Times New Roman"/>
                <w:sz w:val="24"/>
                <w:szCs w:val="24"/>
                <w:lang w:eastAsia="en-IN"/>
              </w:rPr>
              <w:t>-assessee. The Commissioner (Appeals) succinctly concluded that there was no such tenancy or sub-tenancy agreement between the assessee and IISPL, and therefore, provisions of section 194-I were not applicable nor the assessee was liable to deduct tax at source on the amount of reimbursement to IISPL in terms of agreement dated 1-12-2008.</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 </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In view of the foregoing, especially when the revenue have not placed any material, </w:t>
            </w:r>
            <w:proofErr w:type="spellStart"/>
            <w:r w:rsidRPr="00C943CD">
              <w:rPr>
                <w:rFonts w:ascii="Times New Roman" w:eastAsia="Times New Roman" w:hAnsi="Times New Roman" w:cs="Times New Roman"/>
                <w:sz w:val="24"/>
                <w:szCs w:val="24"/>
                <w:lang w:eastAsia="en-IN"/>
              </w:rPr>
              <w:t>controverting</w:t>
            </w:r>
            <w:proofErr w:type="spellEnd"/>
            <w:r w:rsidRPr="00C943CD">
              <w:rPr>
                <w:rFonts w:ascii="Times New Roman" w:eastAsia="Times New Roman" w:hAnsi="Times New Roman" w:cs="Times New Roman"/>
                <w:sz w:val="24"/>
                <w:szCs w:val="24"/>
                <w:lang w:eastAsia="en-IN"/>
              </w:rPr>
              <w:t xml:space="preserve"> the aforesaid findings recorded by the Commissioner (Appeals) so as to enable to take a different view in the matter nor brought any material evidencing admission of any additional evidence or any tenancy or sub-tenancy agreement between the assessee and IISPL or even any contrary decision, said order should not be </w:t>
            </w:r>
            <w:proofErr w:type="spellStart"/>
            <w:r w:rsidRPr="00C943CD">
              <w:rPr>
                <w:rFonts w:ascii="Times New Roman" w:eastAsia="Times New Roman" w:hAnsi="Times New Roman" w:cs="Times New Roman"/>
                <w:sz w:val="24"/>
                <w:szCs w:val="24"/>
                <w:lang w:eastAsia="en-IN"/>
              </w:rPr>
              <w:t>interferred</w:t>
            </w:r>
            <w:proofErr w:type="spellEnd"/>
            <w:r w:rsidRPr="00C943CD">
              <w:rPr>
                <w:rFonts w:ascii="Times New Roman" w:eastAsia="Times New Roman" w:hAnsi="Times New Roman" w:cs="Times New Roman"/>
                <w:sz w:val="24"/>
                <w:szCs w:val="24"/>
                <w:lang w:eastAsia="en-IN"/>
              </w:rPr>
              <w:t xml:space="preserve"> with. [Para 6]</w:t>
            </w:r>
          </w:p>
        </w:tc>
      </w:tr>
    </w:tbl>
    <w:p w:rsidR="00C943CD" w:rsidRPr="00C943CD" w:rsidRDefault="00C943CD" w:rsidP="00C943CD">
      <w:pPr>
        <w:shd w:val="clear" w:color="auto" w:fill="FFFFFF"/>
        <w:spacing w:before="80" w:after="0" w:line="240" w:lineRule="auto"/>
        <w:ind w:left="90" w:firstLine="0"/>
        <w:rPr>
          <w:rFonts w:ascii="Times New Roman" w:eastAsia="Times New Roman" w:hAnsi="Times New Roman" w:cs="Times New Roman"/>
          <w:b/>
          <w:bCs/>
          <w:caps/>
          <w:color w:val="000000"/>
          <w:sz w:val="24"/>
          <w:szCs w:val="24"/>
          <w:lang w:eastAsia="en-IN"/>
        </w:rPr>
      </w:pPr>
      <w:r w:rsidRPr="00C943CD">
        <w:rPr>
          <w:rFonts w:ascii="Times New Roman" w:eastAsia="Times New Roman" w:hAnsi="Times New Roman" w:cs="Times New Roman"/>
          <w:b/>
          <w:bCs/>
          <w:caps/>
          <w:color w:val="000000"/>
          <w:sz w:val="24"/>
          <w:szCs w:val="24"/>
          <w:lang w:eastAsia="en-IN"/>
        </w:rPr>
        <w:t>CASES REFERRED TO</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proofErr w:type="gramStart"/>
      <w:r w:rsidRPr="00C943CD">
        <w:rPr>
          <w:rFonts w:ascii="Times New Roman" w:eastAsia="Times New Roman" w:hAnsi="Times New Roman" w:cs="Times New Roman"/>
          <w:i/>
          <w:iCs/>
          <w:color w:val="000000"/>
          <w:sz w:val="24"/>
          <w:szCs w:val="24"/>
          <w:lang w:eastAsia="en-IN"/>
        </w:rPr>
        <w:t>Hindustan Coca Cola Beverage (P.)</w:t>
      </w:r>
      <w:proofErr w:type="gramEnd"/>
      <w:r w:rsidRPr="00C943CD">
        <w:rPr>
          <w:rFonts w:ascii="Times New Roman" w:eastAsia="Times New Roman" w:hAnsi="Times New Roman" w:cs="Times New Roman"/>
          <w:i/>
          <w:iCs/>
          <w:color w:val="000000"/>
          <w:sz w:val="24"/>
          <w:szCs w:val="24"/>
          <w:lang w:eastAsia="en-IN"/>
        </w:rPr>
        <w:t xml:space="preserve"> </w:t>
      </w:r>
      <w:proofErr w:type="gramStart"/>
      <w:r w:rsidRPr="00C943CD">
        <w:rPr>
          <w:rFonts w:ascii="Times New Roman" w:eastAsia="Times New Roman" w:hAnsi="Times New Roman" w:cs="Times New Roman"/>
          <w:i/>
          <w:iCs/>
          <w:color w:val="000000"/>
          <w:sz w:val="24"/>
          <w:szCs w:val="24"/>
          <w:lang w:eastAsia="en-IN"/>
        </w:rPr>
        <w:t>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CIT </w:t>
      </w:r>
      <w:hyperlink r:id="rId6" w:tgtFrame="_blank" w:history="1">
        <w:r w:rsidRPr="00C943CD">
          <w:rPr>
            <w:rFonts w:ascii="Times New Roman" w:eastAsia="Times New Roman" w:hAnsi="Times New Roman" w:cs="Times New Roman"/>
            <w:color w:val="0000FF"/>
            <w:sz w:val="24"/>
            <w:szCs w:val="24"/>
            <w:lang w:eastAsia="en-IN"/>
          </w:rPr>
          <w:t>[2007] 293 ITR 226/163 Taxman 355 (SC)</w:t>
        </w:r>
      </w:hyperlink>
      <w:r w:rsidRPr="00C943CD">
        <w:rPr>
          <w:rFonts w:ascii="Times New Roman" w:eastAsia="Times New Roman" w:hAnsi="Times New Roman" w:cs="Times New Roman"/>
          <w:color w:val="000000"/>
          <w:sz w:val="24"/>
          <w:szCs w:val="24"/>
          <w:lang w:eastAsia="en-IN"/>
        </w:rPr>
        <w:t xml:space="preserve"> (</w:t>
      </w:r>
      <w:proofErr w:type="spellStart"/>
      <w:r w:rsidRPr="00C943CD">
        <w:rPr>
          <w:rFonts w:ascii="Times New Roman" w:eastAsia="Times New Roman" w:hAnsi="Times New Roman" w:cs="Times New Roman"/>
          <w:color w:val="000000"/>
          <w:sz w:val="24"/>
          <w:szCs w:val="24"/>
          <w:lang w:eastAsia="en-IN"/>
        </w:rPr>
        <w:t>para</w:t>
      </w:r>
      <w:proofErr w:type="spellEnd"/>
      <w:r w:rsidRPr="00C943CD">
        <w:rPr>
          <w:rFonts w:ascii="Times New Roman" w:eastAsia="Times New Roman" w:hAnsi="Times New Roman" w:cs="Times New Roman"/>
          <w:color w:val="000000"/>
          <w:sz w:val="24"/>
          <w:szCs w:val="24"/>
          <w:lang w:eastAsia="en-IN"/>
        </w:rPr>
        <w:t xml:space="preserve"> 6.1), </w:t>
      </w:r>
      <w:proofErr w:type="spellStart"/>
      <w:r w:rsidRPr="00C943CD">
        <w:rPr>
          <w:rFonts w:ascii="Times New Roman" w:eastAsia="Times New Roman" w:hAnsi="Times New Roman" w:cs="Times New Roman"/>
          <w:i/>
          <w:iCs/>
          <w:color w:val="000000"/>
          <w:sz w:val="24"/>
          <w:szCs w:val="24"/>
          <w:lang w:eastAsia="en-IN"/>
        </w:rPr>
        <w:t>Karnavati</w:t>
      </w:r>
      <w:proofErr w:type="spellEnd"/>
      <w:r w:rsidRPr="00C943CD">
        <w:rPr>
          <w:rFonts w:ascii="Times New Roman" w:eastAsia="Times New Roman" w:hAnsi="Times New Roman" w:cs="Times New Roman"/>
          <w:i/>
          <w:iCs/>
          <w:color w:val="000000"/>
          <w:sz w:val="24"/>
          <w:szCs w:val="24"/>
          <w:lang w:eastAsia="en-IN"/>
        </w:rPr>
        <w:t xml:space="preserve"> Co. Op. Bank 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Dy. CIT </w:t>
      </w:r>
      <w:hyperlink r:id="rId7" w:tgtFrame="_blank" w:history="1">
        <w:r w:rsidRPr="00C943CD">
          <w:rPr>
            <w:rFonts w:ascii="Times New Roman" w:eastAsia="Times New Roman" w:hAnsi="Times New Roman" w:cs="Times New Roman"/>
            <w:color w:val="0000FF"/>
            <w:sz w:val="24"/>
            <w:szCs w:val="24"/>
            <w:lang w:eastAsia="en-IN"/>
          </w:rPr>
          <w:t>[2012] 134 ITD 486/17 taxmann.com 239 (</w:t>
        </w:r>
        <w:proofErr w:type="spellStart"/>
        <w:r w:rsidRPr="00C943CD">
          <w:rPr>
            <w:rFonts w:ascii="Times New Roman" w:eastAsia="Times New Roman" w:hAnsi="Times New Roman" w:cs="Times New Roman"/>
            <w:color w:val="0000FF"/>
            <w:sz w:val="24"/>
            <w:szCs w:val="24"/>
            <w:lang w:eastAsia="en-IN"/>
          </w:rPr>
          <w:t>Ahd</w:t>
        </w:r>
        <w:proofErr w:type="spellEnd"/>
        <w:r w:rsidRPr="00C943CD">
          <w:rPr>
            <w:rFonts w:ascii="Times New Roman" w:eastAsia="Times New Roman" w:hAnsi="Times New Roman" w:cs="Times New Roman"/>
            <w:color w:val="0000FF"/>
            <w:sz w:val="24"/>
            <w:szCs w:val="24"/>
            <w:lang w:eastAsia="en-IN"/>
          </w:rPr>
          <w:t>.)</w:t>
        </w:r>
        <w:proofErr w:type="gramEnd"/>
      </w:hyperlink>
      <w:r w:rsidRPr="00C943CD">
        <w:rPr>
          <w:rFonts w:ascii="Times New Roman" w:eastAsia="Times New Roman" w:hAnsi="Times New Roman" w:cs="Times New Roman"/>
          <w:color w:val="000000"/>
          <w:sz w:val="24"/>
          <w:szCs w:val="24"/>
          <w:lang w:eastAsia="en-IN"/>
        </w:rPr>
        <w:t xml:space="preserve"> (</w:t>
      </w:r>
      <w:proofErr w:type="spellStart"/>
      <w:proofErr w:type="gramStart"/>
      <w:r w:rsidRPr="00C943CD">
        <w:rPr>
          <w:rFonts w:ascii="Times New Roman" w:eastAsia="Times New Roman" w:hAnsi="Times New Roman" w:cs="Times New Roman"/>
          <w:color w:val="000000"/>
          <w:sz w:val="24"/>
          <w:szCs w:val="24"/>
          <w:lang w:eastAsia="en-IN"/>
        </w:rPr>
        <w:t>para</w:t>
      </w:r>
      <w:proofErr w:type="spellEnd"/>
      <w:proofErr w:type="gramEnd"/>
      <w:r w:rsidRPr="00C943CD">
        <w:rPr>
          <w:rFonts w:ascii="Times New Roman" w:eastAsia="Times New Roman" w:hAnsi="Times New Roman" w:cs="Times New Roman"/>
          <w:color w:val="000000"/>
          <w:sz w:val="24"/>
          <w:szCs w:val="24"/>
          <w:lang w:eastAsia="en-IN"/>
        </w:rPr>
        <w:t xml:space="preserve"> 6.1) and </w:t>
      </w:r>
      <w:r w:rsidRPr="00C943CD">
        <w:rPr>
          <w:rFonts w:ascii="Times New Roman" w:eastAsia="Times New Roman" w:hAnsi="Times New Roman" w:cs="Times New Roman"/>
          <w:i/>
          <w:iCs/>
          <w:color w:val="000000"/>
          <w:sz w:val="24"/>
          <w:szCs w:val="24"/>
          <w:lang w:eastAsia="en-IN"/>
        </w:rPr>
        <w:t xml:space="preserve">Expeditors International India (P.) </w:t>
      </w:r>
      <w:proofErr w:type="gramStart"/>
      <w:r w:rsidRPr="00C943CD">
        <w:rPr>
          <w:rFonts w:ascii="Times New Roman" w:eastAsia="Times New Roman" w:hAnsi="Times New Roman" w:cs="Times New Roman"/>
          <w:i/>
          <w:iCs/>
          <w:color w:val="000000"/>
          <w:sz w:val="24"/>
          <w:szCs w:val="24"/>
          <w:lang w:eastAsia="en-IN"/>
        </w:rPr>
        <w:t>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Addl. CIT </w:t>
      </w:r>
      <w:hyperlink r:id="rId8" w:tgtFrame="_blank" w:history="1">
        <w:r w:rsidRPr="00C943CD">
          <w:rPr>
            <w:rFonts w:ascii="Times New Roman" w:eastAsia="Times New Roman" w:hAnsi="Times New Roman" w:cs="Times New Roman"/>
            <w:color w:val="0000FF"/>
            <w:sz w:val="24"/>
            <w:szCs w:val="24"/>
            <w:lang w:eastAsia="en-IN"/>
          </w:rPr>
          <w:t>[2010] 2 ITR (Trib.) 153 (Delhi)</w:t>
        </w:r>
      </w:hyperlink>
      <w:r w:rsidRPr="00C943CD">
        <w:rPr>
          <w:rFonts w:ascii="Times New Roman" w:eastAsia="Times New Roman" w:hAnsi="Times New Roman" w:cs="Times New Roman"/>
          <w:color w:val="000000"/>
          <w:sz w:val="24"/>
          <w:szCs w:val="24"/>
          <w:lang w:eastAsia="en-IN"/>
        </w:rPr>
        <w:t xml:space="preserve"> (</w:t>
      </w:r>
      <w:proofErr w:type="spellStart"/>
      <w:r w:rsidRPr="00C943CD">
        <w:rPr>
          <w:rFonts w:ascii="Times New Roman" w:eastAsia="Times New Roman" w:hAnsi="Times New Roman" w:cs="Times New Roman"/>
          <w:color w:val="000000"/>
          <w:sz w:val="24"/>
          <w:szCs w:val="24"/>
          <w:lang w:eastAsia="en-IN"/>
        </w:rPr>
        <w:t>para</w:t>
      </w:r>
      <w:proofErr w:type="spellEnd"/>
      <w:r w:rsidRPr="00C943CD">
        <w:rPr>
          <w:rFonts w:ascii="Times New Roman" w:eastAsia="Times New Roman" w:hAnsi="Times New Roman" w:cs="Times New Roman"/>
          <w:color w:val="000000"/>
          <w:sz w:val="24"/>
          <w:szCs w:val="24"/>
          <w:lang w:eastAsia="en-IN"/>
        </w:rPr>
        <w:t xml:space="preserve"> 6.1).</w:t>
      </w:r>
      <w:proofErr w:type="gramEnd"/>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proofErr w:type="gramStart"/>
      <w:r w:rsidRPr="00C943CD">
        <w:rPr>
          <w:rFonts w:ascii="Times New Roman" w:eastAsia="Times New Roman" w:hAnsi="Times New Roman" w:cs="Times New Roman"/>
          <w:b/>
          <w:bCs/>
          <w:color w:val="000000"/>
          <w:sz w:val="24"/>
          <w:szCs w:val="24"/>
          <w:lang w:eastAsia="en-IN"/>
        </w:rPr>
        <w:t xml:space="preserve">Dr. Deepak </w:t>
      </w:r>
      <w:proofErr w:type="spellStart"/>
      <w:r w:rsidRPr="00C943CD">
        <w:rPr>
          <w:rFonts w:ascii="Times New Roman" w:eastAsia="Times New Roman" w:hAnsi="Times New Roman" w:cs="Times New Roman"/>
          <w:b/>
          <w:bCs/>
          <w:color w:val="000000"/>
          <w:sz w:val="24"/>
          <w:szCs w:val="24"/>
          <w:lang w:eastAsia="en-IN"/>
        </w:rPr>
        <w:t>Sehgal</w:t>
      </w:r>
      <w:proofErr w:type="spellEnd"/>
      <w:r w:rsidRPr="00C943CD">
        <w:rPr>
          <w:rFonts w:ascii="Times New Roman" w:eastAsia="Times New Roman" w:hAnsi="Times New Roman" w:cs="Times New Roman"/>
          <w:i/>
          <w:iCs/>
          <w:color w:val="000000"/>
          <w:sz w:val="24"/>
          <w:szCs w:val="24"/>
          <w:lang w:eastAsia="en-IN"/>
        </w:rPr>
        <w:t xml:space="preserve"> for the Appellant.</w:t>
      </w:r>
      <w:proofErr w:type="gramEnd"/>
      <w:r w:rsidRPr="00C943CD">
        <w:rPr>
          <w:rFonts w:ascii="Times New Roman" w:eastAsia="Times New Roman" w:hAnsi="Times New Roman" w:cs="Times New Roman"/>
          <w:i/>
          <w:iCs/>
          <w:color w:val="000000"/>
          <w:sz w:val="24"/>
          <w:szCs w:val="24"/>
          <w:lang w:eastAsia="en-IN"/>
        </w:rPr>
        <w:t xml:space="preserve"> </w:t>
      </w:r>
      <w:proofErr w:type="spellStart"/>
      <w:proofErr w:type="gramStart"/>
      <w:r w:rsidRPr="00C943CD">
        <w:rPr>
          <w:rFonts w:ascii="Times New Roman" w:eastAsia="Times New Roman" w:hAnsi="Times New Roman" w:cs="Times New Roman"/>
          <w:b/>
          <w:bCs/>
          <w:color w:val="000000"/>
          <w:sz w:val="24"/>
          <w:szCs w:val="24"/>
          <w:lang w:eastAsia="en-IN"/>
        </w:rPr>
        <w:t>Manoneet</w:t>
      </w:r>
      <w:proofErr w:type="spellEnd"/>
      <w:r w:rsidRPr="00C943CD">
        <w:rPr>
          <w:rFonts w:ascii="Times New Roman" w:eastAsia="Times New Roman" w:hAnsi="Times New Roman" w:cs="Times New Roman"/>
          <w:b/>
          <w:bCs/>
          <w:color w:val="000000"/>
          <w:sz w:val="24"/>
          <w:szCs w:val="24"/>
          <w:lang w:eastAsia="en-IN"/>
        </w:rPr>
        <w:t xml:space="preserve"> </w:t>
      </w:r>
      <w:proofErr w:type="spellStart"/>
      <w:r w:rsidRPr="00C943CD">
        <w:rPr>
          <w:rFonts w:ascii="Times New Roman" w:eastAsia="Times New Roman" w:hAnsi="Times New Roman" w:cs="Times New Roman"/>
          <w:b/>
          <w:bCs/>
          <w:color w:val="000000"/>
          <w:sz w:val="24"/>
          <w:szCs w:val="24"/>
          <w:lang w:eastAsia="en-IN"/>
        </w:rPr>
        <w:t>Dalal</w:t>
      </w:r>
      <w:proofErr w:type="spellEnd"/>
      <w:r w:rsidRPr="00C943CD">
        <w:rPr>
          <w:rFonts w:ascii="Times New Roman" w:eastAsia="Times New Roman" w:hAnsi="Times New Roman" w:cs="Times New Roman"/>
          <w:i/>
          <w:iCs/>
          <w:color w:val="000000"/>
          <w:sz w:val="24"/>
          <w:szCs w:val="24"/>
          <w:lang w:eastAsia="en-IN"/>
        </w:rPr>
        <w:t xml:space="preserve"> for the Respondent.</w:t>
      </w:r>
      <w:proofErr w:type="gramEnd"/>
    </w:p>
    <w:p w:rsidR="00C943CD" w:rsidRPr="00C943CD" w:rsidRDefault="00C943CD" w:rsidP="00C943CD">
      <w:pPr>
        <w:shd w:val="clear" w:color="auto" w:fill="FFFFFF"/>
        <w:spacing w:before="80" w:after="0" w:line="240" w:lineRule="auto"/>
        <w:ind w:left="90" w:firstLine="0"/>
        <w:rPr>
          <w:rFonts w:ascii="Times New Roman" w:eastAsia="Times New Roman" w:hAnsi="Times New Roman" w:cs="Times New Roman"/>
          <w:b/>
          <w:bCs/>
          <w:caps/>
          <w:color w:val="000000"/>
          <w:sz w:val="24"/>
          <w:szCs w:val="24"/>
          <w:lang w:eastAsia="en-IN"/>
        </w:rPr>
      </w:pPr>
      <w:r w:rsidRPr="00C943CD">
        <w:rPr>
          <w:rFonts w:ascii="Times New Roman" w:eastAsia="Times New Roman" w:hAnsi="Times New Roman" w:cs="Times New Roman"/>
          <w:b/>
          <w:bCs/>
          <w:caps/>
          <w:color w:val="000000"/>
          <w:sz w:val="24"/>
          <w:szCs w:val="24"/>
          <w:lang w:eastAsia="en-IN"/>
        </w:rPr>
        <w:t>ORDER</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 xml:space="preserve">A.N. </w:t>
      </w:r>
      <w:proofErr w:type="spellStart"/>
      <w:r w:rsidRPr="00C943CD">
        <w:rPr>
          <w:rFonts w:ascii="Times New Roman" w:eastAsia="Times New Roman" w:hAnsi="Times New Roman" w:cs="Times New Roman"/>
          <w:b/>
          <w:bCs/>
          <w:color w:val="000000"/>
          <w:sz w:val="24"/>
          <w:szCs w:val="24"/>
          <w:lang w:eastAsia="en-IN"/>
        </w:rPr>
        <w:t>Pahuja</w:t>
      </w:r>
      <w:proofErr w:type="spellEnd"/>
      <w:r w:rsidRPr="00C943CD">
        <w:rPr>
          <w:rFonts w:ascii="Times New Roman" w:eastAsia="Times New Roman" w:hAnsi="Times New Roman" w:cs="Times New Roman"/>
          <w:b/>
          <w:bCs/>
          <w:color w:val="000000"/>
          <w:sz w:val="24"/>
          <w:szCs w:val="24"/>
          <w:lang w:eastAsia="en-IN"/>
        </w:rPr>
        <w:t xml:space="preserve">, Accountant Member - </w:t>
      </w:r>
      <w:r w:rsidRPr="00C943CD">
        <w:rPr>
          <w:rFonts w:ascii="Times New Roman" w:eastAsia="Times New Roman" w:hAnsi="Times New Roman" w:cs="Times New Roman"/>
          <w:color w:val="000000"/>
          <w:sz w:val="24"/>
          <w:szCs w:val="24"/>
          <w:lang w:eastAsia="en-IN"/>
        </w:rPr>
        <w:t>This appeal filed on 21.09.2012 by the Revenue against an order dated 11.07.2012 of the learned CIT(A)-Faridabad, raises the following grounds:-</w:t>
      </w:r>
    </w:p>
    <w:tbl>
      <w:tblPr>
        <w:tblW w:w="0" w:type="auto"/>
        <w:tblCellSpacing w:w="15" w:type="dxa"/>
        <w:tblInd w:w="28" w:type="dxa"/>
        <w:tblCellMar>
          <w:top w:w="15" w:type="dxa"/>
          <w:left w:w="15" w:type="dxa"/>
          <w:bottom w:w="15" w:type="dxa"/>
          <w:right w:w="15" w:type="dxa"/>
        </w:tblCellMar>
        <w:tblLook w:val="04A0"/>
      </w:tblPr>
      <w:tblGrid>
        <w:gridCol w:w="750"/>
        <w:gridCol w:w="96"/>
        <w:gridCol w:w="8272"/>
      </w:tblGrid>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"1.</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The Ld. </w:t>
            </w:r>
            <w:proofErr w:type="gramStart"/>
            <w:r w:rsidRPr="00C943CD">
              <w:rPr>
                <w:rFonts w:ascii="Times New Roman" w:eastAsia="Times New Roman" w:hAnsi="Times New Roman" w:cs="Times New Roman"/>
                <w:sz w:val="24"/>
                <w:szCs w:val="24"/>
                <w:lang w:eastAsia="en-IN"/>
              </w:rPr>
              <w:t>CIT(</w:t>
            </w:r>
            <w:proofErr w:type="gramEnd"/>
            <w:r w:rsidRPr="00C943CD">
              <w:rPr>
                <w:rFonts w:ascii="Times New Roman" w:eastAsia="Times New Roman" w:hAnsi="Times New Roman" w:cs="Times New Roman"/>
                <w:sz w:val="24"/>
                <w:szCs w:val="24"/>
                <w:lang w:eastAsia="en-IN"/>
              </w:rPr>
              <w:t xml:space="preserve">Appeal) has acted in violation of rule 46A of I.T. Rules in accepting the material and evidences produced by assessee claiming that due taxes relatable to the payment of rent was paid by the </w:t>
            </w:r>
            <w:proofErr w:type="spellStart"/>
            <w:r w:rsidRPr="00C943CD">
              <w:rPr>
                <w:rFonts w:ascii="Times New Roman" w:eastAsia="Times New Roman" w:hAnsi="Times New Roman" w:cs="Times New Roman"/>
                <w:sz w:val="24"/>
                <w:szCs w:val="24"/>
                <w:lang w:eastAsia="en-IN"/>
              </w:rPr>
              <w:t>deductee</w:t>
            </w:r>
            <w:proofErr w:type="spellEnd"/>
            <w:r w:rsidRPr="00C943CD">
              <w:rPr>
                <w:rFonts w:ascii="Times New Roman" w:eastAsia="Times New Roman" w:hAnsi="Times New Roman" w:cs="Times New Roman"/>
                <w:sz w:val="24"/>
                <w:szCs w:val="24"/>
                <w:lang w:eastAsia="en-IN"/>
              </w:rPr>
              <w:t xml:space="preserve"> i.e. M/s </w:t>
            </w:r>
            <w:proofErr w:type="spellStart"/>
            <w:r w:rsidRPr="00C943CD">
              <w:rPr>
                <w:rFonts w:ascii="Times New Roman" w:eastAsia="Times New Roman" w:hAnsi="Times New Roman" w:cs="Times New Roman"/>
                <w:sz w:val="24"/>
                <w:szCs w:val="24"/>
                <w:lang w:eastAsia="en-IN"/>
              </w:rPr>
              <w:t>Infovision</w:t>
            </w:r>
            <w:proofErr w:type="spellEnd"/>
            <w:r w:rsidRPr="00C943CD">
              <w:rPr>
                <w:rFonts w:ascii="Times New Roman" w:eastAsia="Times New Roman" w:hAnsi="Times New Roman" w:cs="Times New Roman"/>
                <w:sz w:val="24"/>
                <w:szCs w:val="24"/>
                <w:lang w:eastAsia="en-IN"/>
              </w:rPr>
              <w:t xml:space="preserve"> Information Services Pvt. Ltd., (IISPL) without giving due opportunity of being heard to the AO with regard to such material evidence.</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2.</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Ld. CIT(A) has ignored the provision of Exp. (</w:t>
            </w:r>
            <w:proofErr w:type="spellStart"/>
            <w:r w:rsidRPr="00C943CD">
              <w:rPr>
                <w:rFonts w:ascii="Times New Roman" w:eastAsia="Times New Roman" w:hAnsi="Times New Roman" w:cs="Times New Roman"/>
                <w:sz w:val="24"/>
                <w:szCs w:val="24"/>
                <w:lang w:eastAsia="en-IN"/>
              </w:rPr>
              <w:t>i</w:t>
            </w:r>
            <w:proofErr w:type="spellEnd"/>
            <w:r w:rsidRPr="00C943CD">
              <w:rPr>
                <w:rFonts w:ascii="Times New Roman" w:eastAsia="Times New Roman" w:hAnsi="Times New Roman" w:cs="Times New Roman"/>
                <w:sz w:val="24"/>
                <w:szCs w:val="24"/>
                <w:lang w:eastAsia="en-IN"/>
              </w:rPr>
              <w:t>) to section 194-I which clearly provides that rent means any payment whatever name called, under any lease sub lease, tenancy or any other agreement or arrangement for the use of land or building which holding that payment made by assessee to IISPL for use of premises was not payment of rent so not liable for TDS u/s 194-I but only reimbursement of rental expenses liable for TDS u/s 194C as there was facility arrangement between assessee and IISPL.</w:t>
            </w:r>
          </w:p>
        </w:tc>
      </w:tr>
      <w:tr w:rsidR="00C943CD" w:rsidRPr="00C943CD" w:rsidTr="00C943CD">
        <w:trPr>
          <w:tblCellSpacing w:w="15" w:type="dxa"/>
        </w:trPr>
        <w:tc>
          <w:tcPr>
            <w:tcW w:w="705" w:type="dxa"/>
            <w:noWrap/>
            <w:tcMar>
              <w:top w:w="80" w:type="dxa"/>
              <w:left w:w="30" w:type="dxa"/>
              <w:bottom w:w="80" w:type="dxa"/>
              <w:right w:w="30" w:type="dxa"/>
            </w:tcMar>
            <w:hideMark/>
          </w:tcPr>
          <w:p w:rsidR="00C943CD" w:rsidRPr="00C943CD" w:rsidRDefault="00C943CD" w:rsidP="00C943CD">
            <w:pPr>
              <w:spacing w:after="0" w:line="240" w:lineRule="auto"/>
              <w:ind w:left="0" w:firstLine="0"/>
              <w:jc w:val="right"/>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3.</w:t>
            </w: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p>
        </w:tc>
        <w:tc>
          <w:tcPr>
            <w:tcW w:w="0" w:type="auto"/>
            <w:tcMar>
              <w:top w:w="80" w:type="dxa"/>
              <w:left w:w="30" w:type="dxa"/>
              <w:bottom w:w="80" w:type="dxa"/>
              <w:right w:w="30" w:type="dxa"/>
            </w:tcMar>
            <w:hideMark/>
          </w:tcPr>
          <w:p w:rsidR="00C943CD" w:rsidRPr="00C943CD" w:rsidRDefault="00C943CD" w:rsidP="00C943CD">
            <w:pPr>
              <w:spacing w:after="0" w:line="240" w:lineRule="auto"/>
              <w:ind w:left="0" w:firstLine="0"/>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 xml:space="preserve">Ld. </w:t>
            </w:r>
            <w:proofErr w:type="gramStart"/>
            <w:r w:rsidRPr="00C943CD">
              <w:rPr>
                <w:rFonts w:ascii="Times New Roman" w:eastAsia="Times New Roman" w:hAnsi="Times New Roman" w:cs="Times New Roman"/>
                <w:sz w:val="24"/>
                <w:szCs w:val="24"/>
                <w:lang w:eastAsia="en-IN"/>
              </w:rPr>
              <w:t>CIT(</w:t>
            </w:r>
            <w:proofErr w:type="gramEnd"/>
            <w:r w:rsidRPr="00C943CD">
              <w:rPr>
                <w:rFonts w:ascii="Times New Roman" w:eastAsia="Times New Roman" w:hAnsi="Times New Roman" w:cs="Times New Roman"/>
                <w:sz w:val="24"/>
                <w:szCs w:val="24"/>
                <w:lang w:eastAsia="en-IN"/>
              </w:rPr>
              <w:t xml:space="preserve">A) has erred in law &amp; on facts in allowing relief to the assessee relying on decision of </w:t>
            </w:r>
            <w:proofErr w:type="spellStart"/>
            <w:r w:rsidRPr="00C943CD">
              <w:rPr>
                <w:rFonts w:ascii="Times New Roman" w:eastAsia="Times New Roman" w:hAnsi="Times New Roman" w:cs="Times New Roman"/>
                <w:sz w:val="24"/>
                <w:szCs w:val="24"/>
                <w:lang w:eastAsia="en-IN"/>
              </w:rPr>
              <w:t>Hon'ble</w:t>
            </w:r>
            <w:proofErr w:type="spellEnd"/>
            <w:r w:rsidRPr="00C943CD">
              <w:rPr>
                <w:rFonts w:ascii="Times New Roman" w:eastAsia="Times New Roman" w:hAnsi="Times New Roman" w:cs="Times New Roman"/>
                <w:sz w:val="24"/>
                <w:szCs w:val="24"/>
                <w:lang w:eastAsia="en-IN"/>
              </w:rPr>
              <w:t xml:space="preserve"> Supreme Court in the case of </w:t>
            </w:r>
            <w:r w:rsidRPr="00C943CD">
              <w:rPr>
                <w:rFonts w:ascii="Times New Roman" w:eastAsia="Times New Roman" w:hAnsi="Times New Roman" w:cs="Times New Roman"/>
                <w:i/>
                <w:iCs/>
                <w:sz w:val="24"/>
                <w:szCs w:val="24"/>
                <w:lang w:eastAsia="en-IN"/>
              </w:rPr>
              <w:t>Hindustan Coca Cola Beverage (P.) Ltd.</w:t>
            </w:r>
            <w:r w:rsidRPr="00C943CD">
              <w:rPr>
                <w:rFonts w:ascii="Times New Roman" w:eastAsia="Times New Roman" w:hAnsi="Times New Roman" w:cs="Times New Roman"/>
                <w:sz w:val="24"/>
                <w:szCs w:val="24"/>
                <w:lang w:eastAsia="en-IN"/>
              </w:rPr>
              <w:t xml:space="preserve"> v. </w:t>
            </w:r>
            <w:r w:rsidRPr="00C943CD">
              <w:rPr>
                <w:rFonts w:ascii="Times New Roman" w:eastAsia="Times New Roman" w:hAnsi="Times New Roman" w:cs="Times New Roman"/>
                <w:i/>
                <w:iCs/>
                <w:sz w:val="24"/>
                <w:szCs w:val="24"/>
                <w:lang w:eastAsia="en-IN"/>
              </w:rPr>
              <w:t xml:space="preserve">CIT </w:t>
            </w:r>
            <w:hyperlink r:id="rId9" w:tgtFrame="_blank" w:history="1">
              <w:r w:rsidRPr="00C943CD">
                <w:rPr>
                  <w:rFonts w:ascii="Times New Roman" w:eastAsia="Times New Roman" w:hAnsi="Times New Roman" w:cs="Times New Roman"/>
                  <w:color w:val="0000FF"/>
                  <w:sz w:val="24"/>
                  <w:szCs w:val="24"/>
                  <w:lang w:eastAsia="en-IN"/>
                </w:rPr>
                <w:t>[2007] 293 ITR 226/163 Taxman 355</w:t>
              </w:r>
            </w:hyperlink>
            <w:r w:rsidRPr="00C943CD">
              <w:rPr>
                <w:rFonts w:ascii="Times New Roman" w:eastAsia="Times New Roman" w:hAnsi="Times New Roman" w:cs="Times New Roman"/>
                <w:sz w:val="24"/>
                <w:szCs w:val="24"/>
                <w:lang w:eastAsia="en-IN"/>
              </w:rPr>
              <w:t xml:space="preserve"> in ignoring that the ratio of this decision is not applicable in this case as M/s IISPL was only a mediator for and not the ultimate recipient of rent and discharging of tax liability by the ultimate recipient of rent has not been examined by the Ld. CIT(Appeal)."</w:t>
            </w:r>
          </w:p>
        </w:tc>
      </w:tr>
    </w:tbl>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 xml:space="preserve">2. </w:t>
      </w:r>
      <w:r w:rsidRPr="00C943CD">
        <w:rPr>
          <w:rFonts w:ascii="Times New Roman" w:eastAsia="Times New Roman" w:hAnsi="Times New Roman" w:cs="Times New Roman"/>
          <w:color w:val="000000"/>
          <w:sz w:val="24"/>
          <w:szCs w:val="24"/>
          <w:lang w:eastAsia="en-IN"/>
        </w:rPr>
        <w:t xml:space="preserve">At the outset, considering the nature of issue and findings of the ld. </w:t>
      </w:r>
      <w:proofErr w:type="gramStart"/>
      <w:r w:rsidRPr="00C943CD">
        <w:rPr>
          <w:rFonts w:ascii="Times New Roman" w:eastAsia="Times New Roman" w:hAnsi="Times New Roman" w:cs="Times New Roman"/>
          <w:color w:val="000000"/>
          <w:sz w:val="24"/>
          <w:szCs w:val="24"/>
          <w:lang w:eastAsia="en-IN"/>
        </w:rPr>
        <w:t>CIT(</w:t>
      </w:r>
      <w:proofErr w:type="gramEnd"/>
      <w:r w:rsidRPr="00C943CD">
        <w:rPr>
          <w:rFonts w:ascii="Times New Roman" w:eastAsia="Times New Roman" w:hAnsi="Times New Roman" w:cs="Times New Roman"/>
          <w:color w:val="000000"/>
          <w:sz w:val="24"/>
          <w:szCs w:val="24"/>
          <w:lang w:eastAsia="en-IN"/>
        </w:rPr>
        <w:t>A), the Bench rejected the request for adjournment filed on behalf of the assessee &amp; proceeded to dispose of the appeal after hearing the parties.</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3.</w:t>
      </w:r>
      <w:r w:rsidRPr="00C943CD">
        <w:rPr>
          <w:rFonts w:ascii="Times New Roman" w:eastAsia="Times New Roman" w:hAnsi="Times New Roman" w:cs="Times New Roman"/>
          <w:color w:val="000000"/>
          <w:sz w:val="24"/>
          <w:szCs w:val="24"/>
          <w:lang w:eastAsia="en-IN"/>
        </w:rPr>
        <w:t xml:space="preserve"> Facts, in brief, as per relevant orders are that a survey/TDS inspection was conducted in the premises of the assessee on 28.01.2010 for verification of tax deducted at source from payments for contractual work u/s 194C, rental payments u/s 194-I, interest on loan u/s 194 A and professional payments u/s 194 J of the Income-tax Act, 1961 (hereinafter referred to as the Act). The Assessing Officer [AO in short] noticed during the inspection and subsequent proceedings that in the financial year 2008-09, the assessee deducted tax on payments made under facility agreement in terms of provisions of sec.194 C of the Act instead of u/s 194-I applicable in the case . Moreover, there was delay in deducting of tax at source from payments as detailed on page 2 to 9 of the order of the Assessing Officer. Consequently, the AO raised the demand of TDS u/s 201 of the Act beside interest u/s 201(1A) of the Act, as detailed hereunder:</w:t>
      </w:r>
    </w:p>
    <w:tbl>
      <w:tblPr>
        <w:tblW w:w="5000" w:type="pct"/>
        <w:tblCellMar>
          <w:top w:w="60" w:type="dxa"/>
          <w:left w:w="60" w:type="dxa"/>
          <w:bottom w:w="60" w:type="dxa"/>
          <w:right w:w="60" w:type="dxa"/>
        </w:tblCellMar>
        <w:tblLook w:val="04A0"/>
      </w:tblPr>
      <w:tblGrid>
        <w:gridCol w:w="1355"/>
        <w:gridCol w:w="2678"/>
        <w:gridCol w:w="2745"/>
        <w:gridCol w:w="2308"/>
      </w:tblGrid>
      <w:tr w:rsidR="00C943CD" w:rsidRPr="00C943CD" w:rsidTr="00C943CD">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i/>
                <w:iCs/>
                <w:sz w:val="24"/>
                <w:szCs w:val="24"/>
                <w:lang w:eastAsia="en-IN"/>
              </w:rPr>
              <w:t>Financial Year</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i/>
                <w:iCs/>
                <w:sz w:val="24"/>
                <w:szCs w:val="24"/>
                <w:lang w:eastAsia="en-IN"/>
              </w:rPr>
              <w:t>Demand raised u/s 201(1) [In Rs.]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i/>
                <w:iCs/>
                <w:sz w:val="24"/>
                <w:szCs w:val="24"/>
                <w:lang w:eastAsia="en-IN"/>
              </w:rPr>
              <w:t>Demand raised u/s 201(1A) [In Rs.]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i/>
                <w:iCs/>
                <w:sz w:val="24"/>
                <w:szCs w:val="24"/>
                <w:lang w:eastAsia="en-IN"/>
              </w:rPr>
              <w:t>Total demand raised [In Rs.]</w:t>
            </w:r>
          </w:p>
        </w:tc>
      </w:tr>
      <w:tr w:rsidR="00C943CD" w:rsidRPr="00C943CD" w:rsidTr="00C943CD">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2008-09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40,38,830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6,15,260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C943CD" w:rsidRPr="00C943CD" w:rsidRDefault="00C943CD" w:rsidP="00C943CD">
            <w:pPr>
              <w:spacing w:after="0" w:line="240" w:lineRule="auto"/>
              <w:ind w:left="0" w:firstLine="0"/>
              <w:jc w:val="center"/>
              <w:rPr>
                <w:rFonts w:ascii="Times New Roman" w:eastAsia="Times New Roman" w:hAnsi="Times New Roman" w:cs="Times New Roman"/>
                <w:sz w:val="24"/>
                <w:szCs w:val="24"/>
                <w:lang w:eastAsia="en-IN"/>
              </w:rPr>
            </w:pPr>
            <w:r w:rsidRPr="00C943CD">
              <w:rPr>
                <w:rFonts w:ascii="Times New Roman" w:eastAsia="Times New Roman" w:hAnsi="Times New Roman" w:cs="Times New Roman"/>
                <w:sz w:val="24"/>
                <w:szCs w:val="24"/>
                <w:lang w:eastAsia="en-IN"/>
              </w:rPr>
              <w:t>46,54,090</w:t>
            </w:r>
          </w:p>
        </w:tc>
      </w:tr>
    </w:tbl>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4.</w:t>
      </w:r>
      <w:r w:rsidRPr="00C943CD">
        <w:rPr>
          <w:rFonts w:ascii="Times New Roman" w:eastAsia="Times New Roman" w:hAnsi="Times New Roman" w:cs="Times New Roman"/>
          <w:color w:val="000000"/>
          <w:sz w:val="24"/>
          <w:szCs w:val="24"/>
          <w:lang w:eastAsia="en-IN"/>
        </w:rPr>
        <w:t xml:space="preserve"> On appeal, the ld. </w:t>
      </w:r>
      <w:proofErr w:type="gramStart"/>
      <w:r w:rsidRPr="00C943CD">
        <w:rPr>
          <w:rFonts w:ascii="Times New Roman" w:eastAsia="Times New Roman" w:hAnsi="Times New Roman" w:cs="Times New Roman"/>
          <w:color w:val="000000"/>
          <w:sz w:val="24"/>
          <w:szCs w:val="24"/>
          <w:lang w:eastAsia="en-IN"/>
        </w:rPr>
        <w:t>CIT(</w:t>
      </w:r>
      <w:proofErr w:type="gramEnd"/>
      <w:r w:rsidRPr="00C943CD">
        <w:rPr>
          <w:rFonts w:ascii="Times New Roman" w:eastAsia="Times New Roman" w:hAnsi="Times New Roman" w:cs="Times New Roman"/>
          <w:color w:val="000000"/>
          <w:sz w:val="24"/>
          <w:szCs w:val="24"/>
          <w:lang w:eastAsia="en-IN"/>
        </w:rPr>
        <w:t xml:space="preserve">A) while condoning the delay of five days in filing the appeal and reducing interest charged for late payment of TDS by Rs. 43,012/-, cancelled the demand of Rs. 40,38,830/- on account of short deduction and interest of Rs. 5,39,229/- on payments made to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 Pvt. Ltd. in terms of the facility agreement, holding as under:-</w:t>
      </w:r>
    </w:p>
    <w:p w:rsidR="00C943CD" w:rsidRPr="00C943CD" w:rsidRDefault="00C943CD" w:rsidP="00C943CD">
      <w:pPr>
        <w:shd w:val="clear" w:color="auto" w:fill="FFFFFF"/>
        <w:spacing w:after="0" w:line="240" w:lineRule="auto"/>
        <w:ind w:left="544"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color w:val="000000"/>
          <w:sz w:val="24"/>
          <w:szCs w:val="24"/>
          <w:lang w:eastAsia="en-IN"/>
        </w:rPr>
        <w:t xml:space="preserve">"6.2. The AO has worked out the short deduction of Rs. 40,38,830/- and interest chargeable u/s 201(1A) of Rs. 5,39,229/- on the payments made to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under the facility agreement executed between the assessee and the above payee company. From the submissions of the appellant in </w:t>
      </w:r>
      <w:proofErr w:type="spellStart"/>
      <w:r w:rsidRPr="00C943CD">
        <w:rPr>
          <w:rFonts w:ascii="Times New Roman" w:eastAsia="Times New Roman" w:hAnsi="Times New Roman" w:cs="Times New Roman"/>
          <w:color w:val="000000"/>
          <w:sz w:val="24"/>
          <w:szCs w:val="24"/>
          <w:lang w:eastAsia="en-IN"/>
        </w:rPr>
        <w:t>para</w:t>
      </w:r>
      <w:proofErr w:type="spellEnd"/>
      <w:r w:rsidRPr="00C943CD">
        <w:rPr>
          <w:rFonts w:ascii="Times New Roman" w:eastAsia="Times New Roman" w:hAnsi="Times New Roman" w:cs="Times New Roman"/>
          <w:color w:val="000000"/>
          <w:sz w:val="24"/>
          <w:szCs w:val="24"/>
          <w:lang w:eastAsia="en-IN"/>
        </w:rPr>
        <w:t xml:space="preserve"> 2.1.5, it is revealed that the appellant had paid facility charges mainly rent in respect of 13 premises as per copy of agreement filed before the AO, which were taken in the name of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 Pvt. Ltd. As per the certificate of incorporation dated 31.03.2009 (page 36 of the paper book), the name of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 Pvt. Ltd. has been changed to </w:t>
      </w:r>
      <w:proofErr w:type="spellStart"/>
      <w:r w:rsidRPr="00C943CD">
        <w:rPr>
          <w:rFonts w:ascii="Times New Roman" w:eastAsia="Times New Roman" w:hAnsi="Times New Roman" w:cs="Times New Roman"/>
          <w:color w:val="000000"/>
          <w:sz w:val="24"/>
          <w:szCs w:val="24"/>
          <w:lang w:eastAsia="en-IN"/>
        </w:rPr>
        <w:t>Adma</w:t>
      </w:r>
      <w:proofErr w:type="spellEnd"/>
      <w:r w:rsidRPr="00C943CD">
        <w:rPr>
          <w:rFonts w:ascii="Times New Roman" w:eastAsia="Times New Roman" w:hAnsi="Times New Roman" w:cs="Times New Roman"/>
          <w:color w:val="000000"/>
          <w:sz w:val="24"/>
          <w:szCs w:val="24"/>
          <w:lang w:eastAsia="en-IN"/>
        </w:rPr>
        <w:t xml:space="preserve"> Solutions Pvt. Ltd. </w:t>
      </w:r>
      <w:proofErr w:type="spellStart"/>
      <w:r w:rsidRPr="00C943CD">
        <w:rPr>
          <w:rFonts w:ascii="Times New Roman" w:eastAsia="Times New Roman" w:hAnsi="Times New Roman" w:cs="Times New Roman"/>
          <w:color w:val="000000"/>
          <w:sz w:val="24"/>
          <w:szCs w:val="24"/>
          <w:lang w:eastAsia="en-IN"/>
        </w:rPr>
        <w:t>Adma</w:t>
      </w:r>
      <w:proofErr w:type="spellEnd"/>
      <w:r w:rsidRPr="00C943CD">
        <w:rPr>
          <w:rFonts w:ascii="Times New Roman" w:eastAsia="Times New Roman" w:hAnsi="Times New Roman" w:cs="Times New Roman"/>
          <w:color w:val="000000"/>
          <w:sz w:val="24"/>
          <w:szCs w:val="24"/>
          <w:lang w:eastAsia="en-IN"/>
        </w:rPr>
        <w:t xml:space="preserve"> Solutions Pvt. Ltd. has filed its return of income for A.Y. 2009-10 on 27.02.2010 declaring total income of Rs. 44.36 </w:t>
      </w:r>
      <w:proofErr w:type="spellStart"/>
      <w:r w:rsidRPr="00C943CD">
        <w:rPr>
          <w:rFonts w:ascii="Times New Roman" w:eastAsia="Times New Roman" w:hAnsi="Times New Roman" w:cs="Times New Roman"/>
          <w:color w:val="000000"/>
          <w:sz w:val="24"/>
          <w:szCs w:val="24"/>
          <w:lang w:eastAsia="en-IN"/>
        </w:rPr>
        <w:t>crores</w:t>
      </w:r>
      <w:proofErr w:type="spellEnd"/>
      <w:r w:rsidRPr="00C943CD">
        <w:rPr>
          <w:rFonts w:ascii="Times New Roman" w:eastAsia="Times New Roman" w:hAnsi="Times New Roman" w:cs="Times New Roman"/>
          <w:color w:val="000000"/>
          <w:sz w:val="24"/>
          <w:szCs w:val="24"/>
          <w:lang w:eastAsia="en-IN"/>
        </w:rPr>
        <w:t xml:space="preserve"> and has paid taxes by way of TDS of Rs. 3,57,03,657/- and self assessment tax of Rs. 7,84,61,315/- as per copy of acknowledgement filed at page 35 of the paper book. The assessment order u/s 143(3) of the Act has been passed by the DCIT Circle-</w:t>
      </w:r>
      <w:proofErr w:type="gramStart"/>
      <w:r w:rsidRPr="00C943CD">
        <w:rPr>
          <w:rFonts w:ascii="Times New Roman" w:eastAsia="Times New Roman" w:hAnsi="Times New Roman" w:cs="Times New Roman"/>
          <w:color w:val="000000"/>
          <w:sz w:val="24"/>
          <w:szCs w:val="24"/>
          <w:lang w:eastAsia="en-IN"/>
        </w:rPr>
        <w:t>l(</w:t>
      </w:r>
      <w:proofErr w:type="gramEnd"/>
      <w:r w:rsidRPr="00C943CD">
        <w:rPr>
          <w:rFonts w:ascii="Times New Roman" w:eastAsia="Times New Roman" w:hAnsi="Times New Roman" w:cs="Times New Roman"/>
          <w:color w:val="000000"/>
          <w:sz w:val="24"/>
          <w:szCs w:val="24"/>
          <w:lang w:eastAsia="en-IN"/>
        </w:rPr>
        <w:t xml:space="preserve">l), New Delhi, in this case for A.Y. 2009-10, a copy of which has also been filed in the paper book. It has been held by the </w:t>
      </w:r>
      <w:proofErr w:type="spellStart"/>
      <w:r w:rsidRPr="00C943CD">
        <w:rPr>
          <w:rFonts w:ascii="Times New Roman" w:eastAsia="Times New Roman" w:hAnsi="Times New Roman" w:cs="Times New Roman"/>
          <w:color w:val="000000"/>
          <w:sz w:val="24"/>
          <w:szCs w:val="24"/>
          <w:lang w:eastAsia="en-IN"/>
        </w:rPr>
        <w:t>Hon'ble</w:t>
      </w:r>
      <w:proofErr w:type="spellEnd"/>
      <w:r w:rsidRPr="00C943CD">
        <w:rPr>
          <w:rFonts w:ascii="Times New Roman" w:eastAsia="Times New Roman" w:hAnsi="Times New Roman" w:cs="Times New Roman"/>
          <w:color w:val="000000"/>
          <w:sz w:val="24"/>
          <w:szCs w:val="24"/>
          <w:lang w:eastAsia="en-IN"/>
        </w:rPr>
        <w:t xml:space="preserve"> Supreme Court in the case of Hindustan Coca Cola Beverages Pvt. Ltd. (</w:t>
      </w:r>
      <w:hyperlink r:id="rId10" w:tgtFrame="_blank" w:history="1">
        <w:r w:rsidRPr="00C943CD">
          <w:rPr>
            <w:rFonts w:ascii="Times New Roman" w:eastAsia="Times New Roman" w:hAnsi="Times New Roman" w:cs="Times New Roman"/>
            <w:color w:val="0000FF"/>
            <w:sz w:val="24"/>
            <w:szCs w:val="24"/>
            <w:lang w:eastAsia="en-IN"/>
          </w:rPr>
          <w:t>293 ITR 226</w:t>
        </w:r>
      </w:hyperlink>
      <w:r w:rsidRPr="00C943CD">
        <w:rPr>
          <w:rFonts w:ascii="Times New Roman" w:eastAsia="Times New Roman" w:hAnsi="Times New Roman" w:cs="Times New Roman"/>
          <w:color w:val="000000"/>
          <w:sz w:val="24"/>
          <w:szCs w:val="24"/>
          <w:lang w:eastAsia="en-IN"/>
        </w:rPr>
        <w:t xml:space="preserve">) that the </w:t>
      </w:r>
      <w:hyperlink r:id="rId11" w:tgtFrame="_blank" w:history="1">
        <w:r w:rsidRPr="00C943CD">
          <w:rPr>
            <w:rFonts w:ascii="Times New Roman" w:eastAsia="Times New Roman" w:hAnsi="Times New Roman" w:cs="Times New Roman"/>
            <w:color w:val="0000FF"/>
            <w:sz w:val="24"/>
            <w:szCs w:val="24"/>
            <w:lang w:eastAsia="en-IN"/>
          </w:rPr>
          <w:t>Circular No.275/201/95-IT(B) dated January 29,1997</w:t>
        </w:r>
      </w:hyperlink>
      <w:r w:rsidRPr="00C943CD">
        <w:rPr>
          <w:rFonts w:ascii="Times New Roman" w:eastAsia="Times New Roman" w:hAnsi="Times New Roman" w:cs="Times New Roman"/>
          <w:color w:val="000000"/>
          <w:sz w:val="24"/>
          <w:szCs w:val="24"/>
          <w:lang w:eastAsia="en-IN"/>
        </w:rPr>
        <w:t xml:space="preserve">, issued by the Central Board of Direct Taxes, should put an end to the controversy. The Circular declares that "no demand visualized under section 201(1) of the Income-tax Act should be enforced after the tax </w:t>
      </w:r>
      <w:proofErr w:type="spellStart"/>
      <w:r w:rsidRPr="00C943CD">
        <w:rPr>
          <w:rFonts w:ascii="Times New Roman" w:eastAsia="Times New Roman" w:hAnsi="Times New Roman" w:cs="Times New Roman"/>
          <w:color w:val="000000"/>
          <w:sz w:val="24"/>
          <w:szCs w:val="24"/>
          <w:lang w:eastAsia="en-IN"/>
        </w:rPr>
        <w:t>deductor</w:t>
      </w:r>
      <w:proofErr w:type="spellEnd"/>
      <w:r w:rsidRPr="00C943CD">
        <w:rPr>
          <w:rFonts w:ascii="Times New Roman" w:eastAsia="Times New Roman" w:hAnsi="Times New Roman" w:cs="Times New Roman"/>
          <w:color w:val="000000"/>
          <w:sz w:val="24"/>
          <w:szCs w:val="24"/>
          <w:lang w:eastAsia="en-IN"/>
        </w:rPr>
        <w:t xml:space="preserve"> has satisfied the officer-in-charge of TDS, that taxes due have been paid by the </w:t>
      </w:r>
      <w:proofErr w:type="spellStart"/>
      <w:r w:rsidRPr="00C943CD">
        <w:rPr>
          <w:rFonts w:ascii="Times New Roman" w:eastAsia="Times New Roman" w:hAnsi="Times New Roman" w:cs="Times New Roman"/>
          <w:color w:val="000000"/>
          <w:sz w:val="24"/>
          <w:szCs w:val="24"/>
          <w:lang w:eastAsia="en-IN"/>
        </w:rPr>
        <w:t>deductee</w:t>
      </w:r>
      <w:proofErr w:type="spellEnd"/>
      <w:r w:rsidRPr="00C943CD">
        <w:rPr>
          <w:rFonts w:ascii="Times New Roman" w:eastAsia="Times New Roman" w:hAnsi="Times New Roman" w:cs="Times New Roman"/>
          <w:color w:val="000000"/>
          <w:sz w:val="24"/>
          <w:szCs w:val="24"/>
          <w:lang w:eastAsia="en-IN"/>
        </w:rPr>
        <w:t xml:space="preserve">-assessee. However, this will not alter the liability to charge interest under section 201(1A) of the Act till the date of payment of taxes by the </w:t>
      </w:r>
      <w:proofErr w:type="spellStart"/>
      <w:r w:rsidRPr="00C943CD">
        <w:rPr>
          <w:rFonts w:ascii="Times New Roman" w:eastAsia="Times New Roman" w:hAnsi="Times New Roman" w:cs="Times New Roman"/>
          <w:color w:val="000000"/>
          <w:sz w:val="24"/>
          <w:szCs w:val="24"/>
          <w:lang w:eastAsia="en-IN"/>
        </w:rPr>
        <w:t>deductee</w:t>
      </w:r>
      <w:proofErr w:type="spellEnd"/>
      <w:r w:rsidRPr="00C943CD">
        <w:rPr>
          <w:rFonts w:ascii="Times New Roman" w:eastAsia="Times New Roman" w:hAnsi="Times New Roman" w:cs="Times New Roman"/>
          <w:color w:val="000000"/>
          <w:sz w:val="24"/>
          <w:szCs w:val="24"/>
          <w:lang w:eastAsia="en-IN"/>
        </w:rPr>
        <w:t xml:space="preserve"> assessee or the liability for penalty under section 271C of the Income-tax Act. Similar view has been taken by the </w:t>
      </w:r>
      <w:proofErr w:type="spellStart"/>
      <w:r w:rsidRPr="00C943CD">
        <w:rPr>
          <w:rFonts w:ascii="Times New Roman" w:eastAsia="Times New Roman" w:hAnsi="Times New Roman" w:cs="Times New Roman"/>
          <w:color w:val="000000"/>
          <w:sz w:val="24"/>
          <w:szCs w:val="24"/>
          <w:lang w:eastAsia="en-IN"/>
        </w:rPr>
        <w:t>Hon'ble</w:t>
      </w:r>
      <w:proofErr w:type="spellEnd"/>
      <w:r w:rsidRPr="00C943CD">
        <w:rPr>
          <w:rFonts w:ascii="Times New Roman" w:eastAsia="Times New Roman" w:hAnsi="Times New Roman" w:cs="Times New Roman"/>
          <w:color w:val="000000"/>
          <w:sz w:val="24"/>
          <w:szCs w:val="24"/>
          <w:lang w:eastAsia="en-IN"/>
        </w:rPr>
        <w:t xml:space="preserve"> Supreme Court in the case of </w:t>
      </w:r>
      <w:r w:rsidRPr="00C943CD">
        <w:rPr>
          <w:rFonts w:ascii="Times New Roman" w:eastAsia="Times New Roman" w:hAnsi="Times New Roman" w:cs="Times New Roman"/>
          <w:i/>
          <w:iCs/>
          <w:color w:val="000000"/>
          <w:sz w:val="24"/>
          <w:szCs w:val="24"/>
          <w:lang w:eastAsia="en-IN"/>
        </w:rPr>
        <w:t>CIT</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Eli Lilly and Co. India Pvt. Ltd. </w:t>
      </w:r>
      <w:r w:rsidRPr="00C943CD">
        <w:rPr>
          <w:rFonts w:ascii="Times New Roman" w:eastAsia="Times New Roman" w:hAnsi="Times New Roman" w:cs="Times New Roman"/>
          <w:color w:val="000000"/>
          <w:sz w:val="24"/>
          <w:szCs w:val="24"/>
          <w:lang w:eastAsia="en-IN"/>
        </w:rPr>
        <w:t>(</w:t>
      </w:r>
      <w:hyperlink r:id="rId12" w:tgtFrame="_blank" w:history="1">
        <w:r w:rsidRPr="00C943CD">
          <w:rPr>
            <w:rFonts w:ascii="Times New Roman" w:eastAsia="Times New Roman" w:hAnsi="Times New Roman" w:cs="Times New Roman"/>
            <w:color w:val="0000FF"/>
            <w:sz w:val="24"/>
            <w:szCs w:val="24"/>
            <w:lang w:eastAsia="en-IN"/>
          </w:rPr>
          <w:t>312 ITR 225</w:t>
        </w:r>
      </w:hyperlink>
      <w:r w:rsidRPr="00C943CD">
        <w:rPr>
          <w:rFonts w:ascii="Times New Roman" w:eastAsia="Times New Roman" w:hAnsi="Times New Roman" w:cs="Times New Roman"/>
          <w:color w:val="000000"/>
          <w:sz w:val="24"/>
          <w:szCs w:val="24"/>
          <w:lang w:eastAsia="en-IN"/>
        </w:rPr>
        <w:t xml:space="preserve">) holding that once the </w:t>
      </w:r>
      <w:proofErr w:type="spellStart"/>
      <w:r w:rsidRPr="00C943CD">
        <w:rPr>
          <w:rFonts w:ascii="Times New Roman" w:eastAsia="Times New Roman" w:hAnsi="Times New Roman" w:cs="Times New Roman"/>
          <w:color w:val="000000"/>
          <w:sz w:val="24"/>
          <w:szCs w:val="24"/>
          <w:lang w:eastAsia="en-IN"/>
        </w:rPr>
        <w:t>deductees</w:t>
      </w:r>
      <w:proofErr w:type="spellEnd"/>
      <w:r w:rsidRPr="00C943CD">
        <w:rPr>
          <w:rFonts w:ascii="Times New Roman" w:eastAsia="Times New Roman" w:hAnsi="Times New Roman" w:cs="Times New Roman"/>
          <w:color w:val="000000"/>
          <w:sz w:val="24"/>
          <w:szCs w:val="24"/>
          <w:lang w:eastAsia="en-IN"/>
        </w:rPr>
        <w:t xml:space="preserve"> have paid taxes on their salary income by way of self assessment tax, tax could not be recovered from the employers under section 201(1) of the Act. I have gone through the other judicial rulings relied upon by the learned counsel which support the case of appellant on this issue. Since </w:t>
      </w:r>
      <w:proofErr w:type="spellStart"/>
      <w:r w:rsidRPr="00C943CD">
        <w:rPr>
          <w:rFonts w:ascii="Times New Roman" w:eastAsia="Times New Roman" w:hAnsi="Times New Roman" w:cs="Times New Roman"/>
          <w:color w:val="000000"/>
          <w:sz w:val="24"/>
          <w:szCs w:val="24"/>
          <w:lang w:eastAsia="en-IN"/>
        </w:rPr>
        <w:t>Adma</w:t>
      </w:r>
      <w:proofErr w:type="spellEnd"/>
      <w:r w:rsidRPr="00C943CD">
        <w:rPr>
          <w:rFonts w:ascii="Times New Roman" w:eastAsia="Times New Roman" w:hAnsi="Times New Roman" w:cs="Times New Roman"/>
          <w:color w:val="000000"/>
          <w:sz w:val="24"/>
          <w:szCs w:val="24"/>
          <w:lang w:eastAsia="en-IN"/>
        </w:rPr>
        <w:t xml:space="preserve"> Solutions Pvt. Ltd. has discharged its entire tax liability by way of TDS and self assessment tax, no demand on account of non deduction of TDS can be further enforced. Therefore, the AO was not justified in raising the TDS demand of Rs. 40</w:t>
      </w:r>
      <w:proofErr w:type="gramStart"/>
      <w:r w:rsidRPr="00C943CD">
        <w:rPr>
          <w:rFonts w:ascii="Times New Roman" w:eastAsia="Times New Roman" w:hAnsi="Times New Roman" w:cs="Times New Roman"/>
          <w:color w:val="000000"/>
          <w:sz w:val="24"/>
          <w:szCs w:val="24"/>
          <w:lang w:eastAsia="en-IN"/>
        </w:rPr>
        <w:t>,38,830</w:t>
      </w:r>
      <w:proofErr w:type="gramEnd"/>
      <w:r w:rsidRPr="00C943CD">
        <w:rPr>
          <w:rFonts w:ascii="Times New Roman" w:eastAsia="Times New Roman" w:hAnsi="Times New Roman" w:cs="Times New Roman"/>
          <w:color w:val="000000"/>
          <w:sz w:val="24"/>
          <w:szCs w:val="24"/>
          <w:lang w:eastAsia="en-IN"/>
        </w:rPr>
        <w:t xml:space="preserve">/- for non deduction of Tax in respect of amount of rent reimbursed to </w:t>
      </w:r>
      <w:proofErr w:type="spellStart"/>
      <w:r w:rsidRPr="00C943CD">
        <w:rPr>
          <w:rFonts w:ascii="Times New Roman" w:eastAsia="Times New Roman" w:hAnsi="Times New Roman" w:cs="Times New Roman"/>
          <w:color w:val="000000"/>
          <w:sz w:val="24"/>
          <w:szCs w:val="24"/>
          <w:lang w:eastAsia="en-IN"/>
        </w:rPr>
        <w:t>Adma</w:t>
      </w:r>
      <w:proofErr w:type="spellEnd"/>
      <w:r w:rsidRPr="00C943CD">
        <w:rPr>
          <w:rFonts w:ascii="Times New Roman" w:eastAsia="Times New Roman" w:hAnsi="Times New Roman" w:cs="Times New Roman"/>
          <w:color w:val="000000"/>
          <w:sz w:val="24"/>
          <w:szCs w:val="24"/>
          <w:lang w:eastAsia="en-IN"/>
        </w:rPr>
        <w:t xml:space="preserve"> Solutions Pvt. Ltd. Consequently, the demand of TDS of Rs. 40</w:t>
      </w:r>
      <w:proofErr w:type="gramStart"/>
      <w:r w:rsidRPr="00C943CD">
        <w:rPr>
          <w:rFonts w:ascii="Times New Roman" w:eastAsia="Times New Roman" w:hAnsi="Times New Roman" w:cs="Times New Roman"/>
          <w:color w:val="000000"/>
          <w:sz w:val="24"/>
          <w:szCs w:val="24"/>
          <w:lang w:eastAsia="en-IN"/>
        </w:rPr>
        <w:t>,38,830</w:t>
      </w:r>
      <w:proofErr w:type="gramEnd"/>
      <w:r w:rsidRPr="00C943CD">
        <w:rPr>
          <w:rFonts w:ascii="Times New Roman" w:eastAsia="Times New Roman" w:hAnsi="Times New Roman" w:cs="Times New Roman"/>
          <w:color w:val="000000"/>
          <w:sz w:val="24"/>
          <w:szCs w:val="24"/>
          <w:lang w:eastAsia="en-IN"/>
        </w:rPr>
        <w:t xml:space="preserve">/ - is cancelled and appellant gets a relief of Rs. 40,38,830/-. The only dispute remains regarding charging of interest. In the paper book, the appellant has filed copies of TDS certificates issued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establishing the fact that the </w:t>
      </w:r>
      <w:proofErr w:type="gramStart"/>
      <w:r w:rsidRPr="00C943CD">
        <w:rPr>
          <w:rFonts w:ascii="Times New Roman" w:eastAsia="Times New Roman" w:hAnsi="Times New Roman" w:cs="Times New Roman"/>
          <w:color w:val="000000"/>
          <w:sz w:val="24"/>
          <w:szCs w:val="24"/>
          <w:lang w:eastAsia="en-IN"/>
        </w:rPr>
        <w:t>premises</w:t>
      </w:r>
      <w:proofErr w:type="gramEnd"/>
      <w:r w:rsidRPr="00C943CD">
        <w:rPr>
          <w:rFonts w:ascii="Times New Roman" w:eastAsia="Times New Roman" w:hAnsi="Times New Roman" w:cs="Times New Roman"/>
          <w:color w:val="000000"/>
          <w:sz w:val="24"/>
          <w:szCs w:val="24"/>
          <w:lang w:eastAsia="en-IN"/>
        </w:rPr>
        <w:t xml:space="preserve"> which were utilized by the appellant under facility agreement were taken on rent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and the due tax was deducted at source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from the rent payments. The appellant is neither tenant nor sub tenant in respect of the said premises but the actual amount of rent paid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has been reimbursed. The appellant has relied upon the decision of </w:t>
      </w:r>
      <w:proofErr w:type="spellStart"/>
      <w:r w:rsidRPr="00C943CD">
        <w:rPr>
          <w:rFonts w:ascii="Times New Roman" w:eastAsia="Times New Roman" w:hAnsi="Times New Roman" w:cs="Times New Roman"/>
          <w:color w:val="000000"/>
          <w:sz w:val="24"/>
          <w:szCs w:val="24"/>
          <w:lang w:eastAsia="en-IN"/>
        </w:rPr>
        <w:t>Hon'ble</w:t>
      </w:r>
      <w:proofErr w:type="spellEnd"/>
      <w:r w:rsidRPr="00C943CD">
        <w:rPr>
          <w:rFonts w:ascii="Times New Roman" w:eastAsia="Times New Roman" w:hAnsi="Times New Roman" w:cs="Times New Roman"/>
          <w:color w:val="000000"/>
          <w:sz w:val="24"/>
          <w:szCs w:val="24"/>
          <w:lang w:eastAsia="en-IN"/>
        </w:rPr>
        <w:t xml:space="preserve"> ITAT </w:t>
      </w:r>
      <w:proofErr w:type="spellStart"/>
      <w:r w:rsidRPr="00C943CD">
        <w:rPr>
          <w:rFonts w:ascii="Times New Roman" w:eastAsia="Times New Roman" w:hAnsi="Times New Roman" w:cs="Times New Roman"/>
          <w:color w:val="000000"/>
          <w:sz w:val="24"/>
          <w:szCs w:val="24"/>
          <w:lang w:eastAsia="en-IN"/>
        </w:rPr>
        <w:t>Ahmedabad</w:t>
      </w:r>
      <w:proofErr w:type="spellEnd"/>
      <w:r w:rsidRPr="00C943CD">
        <w:rPr>
          <w:rFonts w:ascii="Times New Roman" w:eastAsia="Times New Roman" w:hAnsi="Times New Roman" w:cs="Times New Roman"/>
          <w:color w:val="000000"/>
          <w:sz w:val="24"/>
          <w:szCs w:val="24"/>
          <w:lang w:eastAsia="en-IN"/>
        </w:rPr>
        <w:t xml:space="preserve"> in the case </w:t>
      </w:r>
      <w:r w:rsidRPr="00C943CD">
        <w:rPr>
          <w:rFonts w:ascii="Times New Roman" w:eastAsia="Times New Roman" w:hAnsi="Times New Roman" w:cs="Times New Roman"/>
          <w:i/>
          <w:iCs/>
          <w:color w:val="000000"/>
          <w:sz w:val="24"/>
          <w:szCs w:val="24"/>
          <w:lang w:eastAsia="en-IN"/>
        </w:rPr>
        <w:t xml:space="preserve">of </w:t>
      </w:r>
      <w:proofErr w:type="spellStart"/>
      <w:r w:rsidRPr="00C943CD">
        <w:rPr>
          <w:rFonts w:ascii="Times New Roman" w:eastAsia="Times New Roman" w:hAnsi="Times New Roman" w:cs="Times New Roman"/>
          <w:i/>
          <w:iCs/>
          <w:color w:val="000000"/>
          <w:sz w:val="24"/>
          <w:szCs w:val="24"/>
          <w:lang w:eastAsia="en-IN"/>
        </w:rPr>
        <w:t>Karnavati</w:t>
      </w:r>
      <w:proofErr w:type="spellEnd"/>
      <w:r w:rsidRPr="00C943CD">
        <w:rPr>
          <w:rFonts w:ascii="Times New Roman" w:eastAsia="Times New Roman" w:hAnsi="Times New Roman" w:cs="Times New Roman"/>
          <w:i/>
          <w:iCs/>
          <w:color w:val="000000"/>
          <w:sz w:val="24"/>
          <w:szCs w:val="24"/>
          <w:lang w:eastAsia="en-IN"/>
        </w:rPr>
        <w:t xml:space="preserve"> Co-op Bank 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DCIT</w:t>
      </w:r>
      <w:r w:rsidRPr="00C943CD">
        <w:rPr>
          <w:rFonts w:ascii="Times New Roman" w:eastAsia="Times New Roman" w:hAnsi="Times New Roman" w:cs="Times New Roman"/>
          <w:color w:val="000000"/>
          <w:sz w:val="24"/>
          <w:szCs w:val="24"/>
          <w:lang w:eastAsia="en-IN"/>
        </w:rPr>
        <w:t xml:space="preserve"> (</w:t>
      </w:r>
      <w:hyperlink r:id="rId13" w:tgtFrame="_blank" w:history="1">
        <w:r w:rsidRPr="00C943CD">
          <w:rPr>
            <w:rFonts w:ascii="Times New Roman" w:eastAsia="Times New Roman" w:hAnsi="Times New Roman" w:cs="Times New Roman"/>
            <w:color w:val="0000FF"/>
            <w:sz w:val="24"/>
            <w:szCs w:val="24"/>
            <w:lang w:eastAsia="en-IN"/>
          </w:rPr>
          <w:t>134 ITD 486</w:t>
        </w:r>
      </w:hyperlink>
      <w:r w:rsidRPr="00C943CD">
        <w:rPr>
          <w:rFonts w:ascii="Times New Roman" w:eastAsia="Times New Roman" w:hAnsi="Times New Roman" w:cs="Times New Roman"/>
          <w:color w:val="000000"/>
          <w:sz w:val="24"/>
          <w:szCs w:val="24"/>
          <w:lang w:eastAsia="en-IN"/>
        </w:rPr>
        <w:t xml:space="preserve">) wherein the decision of </w:t>
      </w:r>
      <w:proofErr w:type="spellStart"/>
      <w:r w:rsidRPr="00C943CD">
        <w:rPr>
          <w:rFonts w:ascii="Times New Roman" w:eastAsia="Times New Roman" w:hAnsi="Times New Roman" w:cs="Times New Roman"/>
          <w:color w:val="000000"/>
          <w:sz w:val="24"/>
          <w:szCs w:val="24"/>
          <w:lang w:eastAsia="en-IN"/>
        </w:rPr>
        <w:t>Hon'ble</w:t>
      </w:r>
      <w:proofErr w:type="spellEnd"/>
      <w:r w:rsidRPr="00C943CD">
        <w:rPr>
          <w:rFonts w:ascii="Times New Roman" w:eastAsia="Times New Roman" w:hAnsi="Times New Roman" w:cs="Times New Roman"/>
          <w:color w:val="000000"/>
          <w:sz w:val="24"/>
          <w:szCs w:val="24"/>
          <w:lang w:eastAsia="en-IN"/>
        </w:rPr>
        <w:t xml:space="preserve"> ITAT Delhi "F" Bench in the case of </w:t>
      </w:r>
      <w:r w:rsidRPr="00C943CD">
        <w:rPr>
          <w:rFonts w:ascii="Times New Roman" w:eastAsia="Times New Roman" w:hAnsi="Times New Roman" w:cs="Times New Roman"/>
          <w:i/>
          <w:iCs/>
          <w:color w:val="000000"/>
          <w:sz w:val="24"/>
          <w:szCs w:val="24"/>
          <w:lang w:eastAsia="en-IN"/>
        </w:rPr>
        <w:t>Expeditors International India Pvt. 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Addl. CP</w:t>
      </w:r>
      <w:r w:rsidRPr="00C943CD">
        <w:rPr>
          <w:rFonts w:ascii="Times New Roman" w:eastAsia="Times New Roman" w:hAnsi="Times New Roman" w:cs="Times New Roman"/>
          <w:color w:val="000000"/>
          <w:sz w:val="24"/>
          <w:szCs w:val="24"/>
          <w:lang w:eastAsia="en-IN"/>
        </w:rPr>
        <w:t xml:space="preserve"> [</w:t>
      </w:r>
      <w:hyperlink r:id="rId14" w:tgtFrame="_blank" w:history="1">
        <w:r w:rsidRPr="00C943CD">
          <w:rPr>
            <w:rFonts w:ascii="Times New Roman" w:eastAsia="Times New Roman" w:hAnsi="Times New Roman" w:cs="Times New Roman"/>
            <w:color w:val="0000FF"/>
            <w:sz w:val="24"/>
            <w:szCs w:val="24"/>
            <w:lang w:eastAsia="en-IN"/>
          </w:rPr>
          <w:t>(2010) (2 ITR (Trib.) 153 (Delhi)</w:t>
        </w:r>
      </w:hyperlink>
      <w:r w:rsidRPr="00C943CD">
        <w:rPr>
          <w:rFonts w:ascii="Times New Roman" w:eastAsia="Times New Roman" w:hAnsi="Times New Roman" w:cs="Times New Roman"/>
          <w:color w:val="000000"/>
          <w:sz w:val="24"/>
          <w:szCs w:val="24"/>
          <w:lang w:eastAsia="en-IN"/>
        </w:rPr>
        <w:t xml:space="preserve">] has been referred to. It has been held that where certain charges were reimbursed by the assessee and the charges being in the nature of reimbursement, the same were not liable to deduction of tax at source as it would tantamount to double deduction of tax at source on the same payment. Since the TDS was originally deducted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from the payment of rent made to the owners of the premises and the appellant has actually reimbursed the rental expenses, the appellant was under no legal obligation to deduct tax at source in view of the rationale laid down in the decisions cited supra. Consequently, no interest is chargeable for non deduction of tax at source and the interest of Rs. 5</w:t>
      </w:r>
      <w:proofErr w:type="gramStart"/>
      <w:r w:rsidRPr="00C943CD">
        <w:rPr>
          <w:rFonts w:ascii="Times New Roman" w:eastAsia="Times New Roman" w:hAnsi="Times New Roman" w:cs="Times New Roman"/>
          <w:color w:val="000000"/>
          <w:sz w:val="24"/>
          <w:szCs w:val="24"/>
          <w:lang w:eastAsia="en-IN"/>
        </w:rPr>
        <w:t>,39,229</w:t>
      </w:r>
      <w:proofErr w:type="gramEnd"/>
      <w:r w:rsidRPr="00C943CD">
        <w:rPr>
          <w:rFonts w:ascii="Times New Roman" w:eastAsia="Times New Roman" w:hAnsi="Times New Roman" w:cs="Times New Roman"/>
          <w:color w:val="000000"/>
          <w:sz w:val="24"/>
          <w:szCs w:val="24"/>
          <w:lang w:eastAsia="en-IN"/>
        </w:rPr>
        <w:t>/- charged by the AO is cancelled."</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5.</w:t>
      </w:r>
      <w:r w:rsidRPr="00C943CD">
        <w:rPr>
          <w:rFonts w:ascii="Times New Roman" w:eastAsia="Times New Roman" w:hAnsi="Times New Roman" w:cs="Times New Roman"/>
          <w:color w:val="000000"/>
          <w:sz w:val="24"/>
          <w:szCs w:val="24"/>
          <w:lang w:eastAsia="en-IN"/>
        </w:rPr>
        <w:t xml:space="preserve"> The Revenue is now in appeal before us against the aforesaid findings of the ld. </w:t>
      </w:r>
      <w:proofErr w:type="gramStart"/>
      <w:r w:rsidRPr="00C943CD">
        <w:rPr>
          <w:rFonts w:ascii="Times New Roman" w:eastAsia="Times New Roman" w:hAnsi="Times New Roman" w:cs="Times New Roman"/>
          <w:color w:val="000000"/>
          <w:sz w:val="24"/>
          <w:szCs w:val="24"/>
          <w:lang w:eastAsia="en-IN"/>
        </w:rPr>
        <w:t>CIT(</w:t>
      </w:r>
      <w:proofErr w:type="gramEnd"/>
      <w:r w:rsidRPr="00C943CD">
        <w:rPr>
          <w:rFonts w:ascii="Times New Roman" w:eastAsia="Times New Roman" w:hAnsi="Times New Roman" w:cs="Times New Roman"/>
          <w:color w:val="000000"/>
          <w:sz w:val="24"/>
          <w:szCs w:val="24"/>
          <w:lang w:eastAsia="en-IN"/>
        </w:rPr>
        <w:t>A). In ground no. 1 raised by the Revenue in their appeal, violation of Rule 46A of the Income-tax Rules, 1962 has been alleged. However, to a specific query by the Bench, the ld. DR appearing before us did not point out any additional evidence or document, which was admitted by the ld. CIT(A) in contravention of Rule 46A of Income-tax Rules, 1962. The ld. DR merely relied upon the order of the AO. On the other hand, the ld. AR relied upon the findings in the impugned order.</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6.</w:t>
      </w:r>
      <w:r w:rsidRPr="00C943CD">
        <w:rPr>
          <w:rFonts w:ascii="Times New Roman" w:eastAsia="Times New Roman" w:hAnsi="Times New Roman" w:cs="Times New Roman"/>
          <w:color w:val="000000"/>
          <w:sz w:val="24"/>
          <w:szCs w:val="24"/>
          <w:lang w:eastAsia="en-IN"/>
        </w:rPr>
        <w:t xml:space="preserve"> We have heard both the parties and gone through the facts of the case. Indisputably, the assessee company took over the running business of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Ltd.[IISPL][now known as </w:t>
      </w:r>
      <w:proofErr w:type="spellStart"/>
      <w:r w:rsidRPr="00C943CD">
        <w:rPr>
          <w:rFonts w:ascii="Times New Roman" w:eastAsia="Times New Roman" w:hAnsi="Times New Roman" w:cs="Times New Roman"/>
          <w:color w:val="000000"/>
          <w:sz w:val="24"/>
          <w:szCs w:val="24"/>
          <w:lang w:eastAsia="en-IN"/>
        </w:rPr>
        <w:t>Adma</w:t>
      </w:r>
      <w:proofErr w:type="spellEnd"/>
      <w:r w:rsidRPr="00C943CD">
        <w:rPr>
          <w:rFonts w:ascii="Times New Roman" w:eastAsia="Times New Roman" w:hAnsi="Times New Roman" w:cs="Times New Roman"/>
          <w:color w:val="000000"/>
          <w:sz w:val="24"/>
          <w:szCs w:val="24"/>
          <w:lang w:eastAsia="en-IN"/>
        </w:rPr>
        <w:t xml:space="preserve"> Solutions Pvt. Ltd.] running BPO business at its various locations. In terms of the agreement dated 1.12.2008, it was agreed that the infrastructure such as tenanted premises, electricity, water &amp; telephone charges shall continue to be used by the assessee company although these facilities were registered in the name of IISPL, for a period of six months from 1.12.2008 to enable the company to carry on the business. </w:t>
      </w:r>
      <w:proofErr w:type="gramStart"/>
      <w:r w:rsidRPr="00C943CD">
        <w:rPr>
          <w:rFonts w:ascii="Times New Roman" w:eastAsia="Times New Roman" w:hAnsi="Times New Roman" w:cs="Times New Roman"/>
          <w:color w:val="000000"/>
          <w:sz w:val="24"/>
          <w:szCs w:val="24"/>
          <w:lang w:eastAsia="en-IN"/>
        </w:rPr>
        <w:t>Thus ,the</w:t>
      </w:r>
      <w:proofErr w:type="gramEnd"/>
      <w:r w:rsidRPr="00C943CD">
        <w:rPr>
          <w:rFonts w:ascii="Times New Roman" w:eastAsia="Times New Roman" w:hAnsi="Times New Roman" w:cs="Times New Roman"/>
          <w:color w:val="000000"/>
          <w:sz w:val="24"/>
          <w:szCs w:val="24"/>
          <w:lang w:eastAsia="en-IN"/>
        </w:rPr>
        <w:t xml:space="preserve"> assessee was allowed use of 13 tenanted premises in terms of the aforesaid agreement dated 01.12.2008 on actual payment basis for a period of six months. The consideration for use of facilities was mentioned in clause 3.1 of the agreement, which reads as under:-</w:t>
      </w:r>
    </w:p>
    <w:p w:rsidR="00C943CD" w:rsidRPr="00C943CD" w:rsidRDefault="00C943CD" w:rsidP="00C943CD">
      <w:pPr>
        <w:shd w:val="clear" w:color="auto" w:fill="FFFFFF"/>
        <w:spacing w:before="80" w:after="160" w:line="240" w:lineRule="auto"/>
        <w:ind w:left="544"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color w:val="000000"/>
          <w:sz w:val="24"/>
          <w:szCs w:val="24"/>
          <w:lang w:eastAsia="en-IN"/>
        </w:rPr>
        <w:t xml:space="preserve">"3.1 Subject to article 3.2 below, in consideration of IISPL permitting SERCO BPO the use of SERCO BPO facilities, SERCO BPO shall pay to IISPL for each Premise, the sum as stated in Schedule A (Less applicable tax deductions of charges for the SERCO BPO facilities) (the "Consideration"). In addition IISPL will make a monthly lump sum reimbursement claim on SERCO BPO for electricity water </w:t>
      </w:r>
      <w:proofErr w:type="spellStart"/>
      <w:r w:rsidRPr="00C943CD">
        <w:rPr>
          <w:rFonts w:ascii="Times New Roman" w:eastAsia="Times New Roman" w:hAnsi="Times New Roman" w:cs="Times New Roman"/>
          <w:color w:val="000000"/>
          <w:sz w:val="24"/>
          <w:szCs w:val="24"/>
          <w:lang w:eastAsia="en-IN"/>
        </w:rPr>
        <w:t>Datacomm</w:t>
      </w:r>
      <w:proofErr w:type="spellEnd"/>
      <w:r w:rsidRPr="00C943CD">
        <w:rPr>
          <w:rFonts w:ascii="Times New Roman" w:eastAsia="Times New Roman" w:hAnsi="Times New Roman" w:cs="Times New Roman"/>
          <w:color w:val="000000"/>
          <w:sz w:val="24"/>
          <w:szCs w:val="24"/>
          <w:lang w:eastAsia="en-IN"/>
        </w:rPr>
        <w:t xml:space="preserve"> and Internet connectivity and other variable charges based on actual. It is agreed between the parties that dedicated links (IPLC, Local Loop &amp; Internet links) which are in the name of IISPL/SERCO BPO will be used and IISP would make payment to respective Internet Service Provider (ISP) and shall claim reimbursement as above. Any applicable service tax on the consideration amount shall be extra."</w:t>
      </w:r>
    </w:p>
    <w:p w:rsidR="00C943CD" w:rsidRPr="00C943CD" w:rsidRDefault="00C943CD" w:rsidP="00C943CD">
      <w:pPr>
        <w:shd w:val="clear" w:color="auto" w:fill="FFFFFF"/>
        <w:spacing w:after="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6.1</w:t>
      </w:r>
      <w:r w:rsidRPr="00C943CD">
        <w:rPr>
          <w:rFonts w:ascii="Times New Roman" w:eastAsia="Times New Roman" w:hAnsi="Times New Roman" w:cs="Times New Roman"/>
          <w:color w:val="000000"/>
          <w:sz w:val="24"/>
          <w:szCs w:val="24"/>
          <w:lang w:eastAsia="en-IN"/>
        </w:rPr>
        <w:t xml:space="preserve"> Thus, in terms of the aforesaid agreement, on taking over business of IISPL, the latter allowed the use of various facilities registered in its name including the tenanted premises taken by it, on actual payment basis. In nutshell, all the payments in terms of the agreement were remitted to the various parties by IISPL on behalf of the assessee company on actual payment basis. The assessee deducted tax at source in terms of provisions of section 194C of the Act even on the amount of reimbursement on actual basis to IISPL, by way of abundant caution and not u/s 194I of the Act, there being no sub tenancy agreement between assessee and IISPL in respect of any of the premises. The AO was of the opinion that tax was required to deducted at source in terms of provisions of sec. 194I of the Act from payments made by assessee to IISPL while the assessee claimed that it did not occupy the premises as a tenant or sub-tenant and reimbursed the actual amount paid by IISPL to its landlords. On appeal, since the IISPL had paid tax in pursuance to return filed on 27th February, 2010 for the year under consideration, the ld. CIT(A) relying upon decision of </w:t>
      </w:r>
      <w:proofErr w:type="spellStart"/>
      <w:r w:rsidRPr="00C943CD">
        <w:rPr>
          <w:rFonts w:ascii="Times New Roman" w:eastAsia="Times New Roman" w:hAnsi="Times New Roman" w:cs="Times New Roman"/>
          <w:color w:val="000000"/>
          <w:sz w:val="24"/>
          <w:szCs w:val="24"/>
          <w:lang w:eastAsia="en-IN"/>
        </w:rPr>
        <w:t>Hon'ble</w:t>
      </w:r>
      <w:proofErr w:type="spellEnd"/>
      <w:r w:rsidRPr="00C943CD">
        <w:rPr>
          <w:rFonts w:ascii="Times New Roman" w:eastAsia="Times New Roman" w:hAnsi="Times New Roman" w:cs="Times New Roman"/>
          <w:color w:val="000000"/>
          <w:sz w:val="24"/>
          <w:szCs w:val="24"/>
          <w:lang w:eastAsia="en-IN"/>
        </w:rPr>
        <w:t xml:space="preserve"> Supreme Court in the case of </w:t>
      </w:r>
      <w:r w:rsidRPr="00C943CD">
        <w:rPr>
          <w:rFonts w:ascii="Times New Roman" w:eastAsia="Times New Roman" w:hAnsi="Times New Roman" w:cs="Times New Roman"/>
          <w:i/>
          <w:iCs/>
          <w:color w:val="000000"/>
          <w:sz w:val="24"/>
          <w:szCs w:val="24"/>
          <w:lang w:eastAsia="en-IN"/>
        </w:rPr>
        <w:t xml:space="preserve">Hindustan Coca Cola Beverage (P.) </w:t>
      </w:r>
      <w:proofErr w:type="gramStart"/>
      <w:r w:rsidRPr="00C943CD">
        <w:rPr>
          <w:rFonts w:ascii="Times New Roman" w:eastAsia="Times New Roman" w:hAnsi="Times New Roman" w:cs="Times New Roman"/>
          <w:i/>
          <w:iCs/>
          <w:color w:val="000000"/>
          <w:sz w:val="24"/>
          <w:szCs w:val="24"/>
          <w:lang w:eastAsia="en-IN"/>
        </w:rPr>
        <w:t>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CIT </w:t>
      </w:r>
      <w:hyperlink r:id="rId15" w:tgtFrame="_blank" w:history="1">
        <w:r w:rsidRPr="00C943CD">
          <w:rPr>
            <w:rFonts w:ascii="Times New Roman" w:eastAsia="Times New Roman" w:hAnsi="Times New Roman" w:cs="Times New Roman"/>
            <w:color w:val="0000FF"/>
            <w:sz w:val="24"/>
            <w:szCs w:val="24"/>
            <w:lang w:eastAsia="en-IN"/>
          </w:rPr>
          <w:t>[2007] 293 ITR 226/163 Taxman 355 (SC)</w:t>
        </w:r>
      </w:hyperlink>
      <w:r w:rsidRPr="00C943CD">
        <w:rPr>
          <w:rFonts w:ascii="Times New Roman" w:eastAsia="Times New Roman" w:hAnsi="Times New Roman" w:cs="Times New Roman"/>
          <w:color w:val="000000"/>
          <w:sz w:val="24"/>
          <w:szCs w:val="24"/>
          <w:lang w:eastAsia="en-IN"/>
        </w:rPr>
        <w:t xml:space="preserve">; </w:t>
      </w:r>
      <w:proofErr w:type="spellStart"/>
      <w:r w:rsidRPr="00C943CD">
        <w:rPr>
          <w:rFonts w:ascii="Times New Roman" w:eastAsia="Times New Roman" w:hAnsi="Times New Roman" w:cs="Times New Roman"/>
          <w:i/>
          <w:iCs/>
          <w:color w:val="000000"/>
          <w:sz w:val="24"/>
          <w:szCs w:val="24"/>
          <w:lang w:eastAsia="en-IN"/>
        </w:rPr>
        <w:t>Karnavati</w:t>
      </w:r>
      <w:proofErr w:type="spellEnd"/>
      <w:r w:rsidRPr="00C943CD">
        <w:rPr>
          <w:rFonts w:ascii="Times New Roman" w:eastAsia="Times New Roman" w:hAnsi="Times New Roman" w:cs="Times New Roman"/>
          <w:i/>
          <w:iCs/>
          <w:color w:val="000000"/>
          <w:sz w:val="24"/>
          <w:szCs w:val="24"/>
          <w:lang w:eastAsia="en-IN"/>
        </w:rPr>
        <w:t xml:space="preserve"> Co-op. Bank 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Dy. CIT </w:t>
      </w:r>
      <w:hyperlink r:id="rId16" w:tgtFrame="_blank" w:history="1">
        <w:r w:rsidRPr="00C943CD">
          <w:rPr>
            <w:rFonts w:ascii="Times New Roman" w:eastAsia="Times New Roman" w:hAnsi="Times New Roman" w:cs="Times New Roman"/>
            <w:color w:val="0000FF"/>
            <w:sz w:val="24"/>
            <w:szCs w:val="24"/>
            <w:lang w:eastAsia="en-IN"/>
          </w:rPr>
          <w:t>[2012] 134 ITD 486/17 taxmann.com 239 (</w:t>
        </w:r>
        <w:proofErr w:type="spellStart"/>
        <w:r w:rsidRPr="00C943CD">
          <w:rPr>
            <w:rFonts w:ascii="Times New Roman" w:eastAsia="Times New Roman" w:hAnsi="Times New Roman" w:cs="Times New Roman"/>
            <w:color w:val="0000FF"/>
            <w:sz w:val="24"/>
            <w:szCs w:val="24"/>
            <w:lang w:eastAsia="en-IN"/>
          </w:rPr>
          <w:t>Ahmedabad</w:t>
        </w:r>
        <w:proofErr w:type="spellEnd"/>
        <w:r w:rsidRPr="00C943CD">
          <w:rPr>
            <w:rFonts w:ascii="Times New Roman" w:eastAsia="Times New Roman" w:hAnsi="Times New Roman" w:cs="Times New Roman"/>
            <w:color w:val="0000FF"/>
            <w:sz w:val="24"/>
            <w:szCs w:val="24"/>
            <w:lang w:eastAsia="en-IN"/>
          </w:rPr>
          <w:t>)</w:t>
        </w:r>
      </w:hyperlink>
      <w:r w:rsidRPr="00C943CD">
        <w:rPr>
          <w:rFonts w:ascii="Times New Roman" w:eastAsia="Times New Roman" w:hAnsi="Times New Roman" w:cs="Times New Roman"/>
          <w:color w:val="000000"/>
          <w:sz w:val="24"/>
          <w:szCs w:val="24"/>
          <w:lang w:eastAsia="en-IN"/>
        </w:rPr>
        <w:t xml:space="preserve">, </w:t>
      </w:r>
      <w:r w:rsidRPr="00C943CD">
        <w:rPr>
          <w:rFonts w:ascii="Times New Roman" w:eastAsia="Times New Roman" w:hAnsi="Times New Roman" w:cs="Times New Roman"/>
          <w:i/>
          <w:iCs/>
          <w:color w:val="000000"/>
          <w:sz w:val="24"/>
          <w:szCs w:val="24"/>
          <w:lang w:eastAsia="en-IN"/>
        </w:rPr>
        <w:t>Expeditors International India (P.)</w:t>
      </w:r>
      <w:proofErr w:type="gramEnd"/>
      <w:r w:rsidRPr="00C943CD">
        <w:rPr>
          <w:rFonts w:ascii="Times New Roman" w:eastAsia="Times New Roman" w:hAnsi="Times New Roman" w:cs="Times New Roman"/>
          <w:i/>
          <w:iCs/>
          <w:color w:val="000000"/>
          <w:sz w:val="24"/>
          <w:szCs w:val="24"/>
          <w:lang w:eastAsia="en-IN"/>
        </w:rPr>
        <w:t xml:space="preserve"> Ltd.</w:t>
      </w:r>
      <w:r w:rsidRPr="00C943CD">
        <w:rPr>
          <w:rFonts w:ascii="Times New Roman" w:eastAsia="Times New Roman" w:hAnsi="Times New Roman" w:cs="Times New Roman"/>
          <w:color w:val="000000"/>
          <w:sz w:val="24"/>
          <w:szCs w:val="24"/>
          <w:lang w:eastAsia="en-IN"/>
        </w:rPr>
        <w:t xml:space="preserve"> v. </w:t>
      </w:r>
      <w:r w:rsidRPr="00C943CD">
        <w:rPr>
          <w:rFonts w:ascii="Times New Roman" w:eastAsia="Times New Roman" w:hAnsi="Times New Roman" w:cs="Times New Roman"/>
          <w:i/>
          <w:iCs/>
          <w:color w:val="000000"/>
          <w:sz w:val="24"/>
          <w:szCs w:val="24"/>
          <w:lang w:eastAsia="en-IN"/>
        </w:rPr>
        <w:t xml:space="preserve">Addl. CIT </w:t>
      </w:r>
      <w:hyperlink r:id="rId17" w:tgtFrame="_blank" w:history="1">
        <w:r w:rsidRPr="00C943CD">
          <w:rPr>
            <w:rFonts w:ascii="Times New Roman" w:eastAsia="Times New Roman" w:hAnsi="Times New Roman" w:cs="Times New Roman"/>
            <w:color w:val="0000FF"/>
            <w:sz w:val="24"/>
            <w:szCs w:val="24"/>
            <w:lang w:eastAsia="en-IN"/>
          </w:rPr>
          <w:t>[2010] 2 ITR (Trib.) 153 (Delhi)</w:t>
        </w:r>
      </w:hyperlink>
      <w:r w:rsidRPr="00C943CD">
        <w:rPr>
          <w:rFonts w:ascii="Times New Roman" w:eastAsia="Times New Roman" w:hAnsi="Times New Roman" w:cs="Times New Roman"/>
          <w:color w:val="000000"/>
          <w:sz w:val="24"/>
          <w:szCs w:val="24"/>
          <w:lang w:eastAsia="en-IN"/>
        </w:rPr>
        <w:t xml:space="preserve"> and </w:t>
      </w:r>
      <w:hyperlink r:id="rId18" w:tgtFrame="_blank" w:history="1">
        <w:r w:rsidRPr="00C943CD">
          <w:rPr>
            <w:rFonts w:ascii="Times New Roman" w:eastAsia="Times New Roman" w:hAnsi="Times New Roman" w:cs="Times New Roman"/>
            <w:color w:val="0000FF"/>
            <w:sz w:val="24"/>
            <w:szCs w:val="24"/>
            <w:lang w:eastAsia="en-IN"/>
          </w:rPr>
          <w:t>Circular No.275/201/95-</w:t>
        </w:r>
        <w:proofErr w:type="gramStart"/>
        <w:r w:rsidRPr="00C943CD">
          <w:rPr>
            <w:rFonts w:ascii="Times New Roman" w:eastAsia="Times New Roman" w:hAnsi="Times New Roman" w:cs="Times New Roman"/>
            <w:color w:val="0000FF"/>
            <w:sz w:val="24"/>
            <w:szCs w:val="24"/>
            <w:lang w:eastAsia="en-IN"/>
          </w:rPr>
          <w:t>IT(</w:t>
        </w:r>
        <w:proofErr w:type="gramEnd"/>
        <w:r w:rsidRPr="00C943CD">
          <w:rPr>
            <w:rFonts w:ascii="Times New Roman" w:eastAsia="Times New Roman" w:hAnsi="Times New Roman" w:cs="Times New Roman"/>
            <w:color w:val="0000FF"/>
            <w:sz w:val="24"/>
            <w:szCs w:val="24"/>
            <w:lang w:eastAsia="en-IN"/>
          </w:rPr>
          <w:t>B) dated January 29, 1997</w:t>
        </w:r>
      </w:hyperlink>
      <w:r w:rsidRPr="00C943CD">
        <w:rPr>
          <w:rFonts w:ascii="Times New Roman" w:eastAsia="Times New Roman" w:hAnsi="Times New Roman" w:cs="Times New Roman"/>
          <w:color w:val="000000"/>
          <w:sz w:val="24"/>
          <w:szCs w:val="24"/>
          <w:lang w:eastAsia="en-IN"/>
        </w:rPr>
        <w:t xml:space="preserve">, cancelled the demand for TDS as also interest u/s 201(1A) of the Act, the assessee being not a tenant or sub-tenant of the aforesaid 13 premises. The ld. </w:t>
      </w:r>
      <w:proofErr w:type="gramStart"/>
      <w:r w:rsidRPr="00C943CD">
        <w:rPr>
          <w:rFonts w:ascii="Times New Roman" w:eastAsia="Times New Roman" w:hAnsi="Times New Roman" w:cs="Times New Roman"/>
          <w:color w:val="000000"/>
          <w:sz w:val="24"/>
          <w:szCs w:val="24"/>
          <w:lang w:eastAsia="en-IN"/>
        </w:rPr>
        <w:t>CIT(</w:t>
      </w:r>
      <w:proofErr w:type="gramEnd"/>
      <w:r w:rsidRPr="00C943CD">
        <w:rPr>
          <w:rFonts w:ascii="Times New Roman" w:eastAsia="Times New Roman" w:hAnsi="Times New Roman" w:cs="Times New Roman"/>
          <w:color w:val="000000"/>
          <w:sz w:val="24"/>
          <w:szCs w:val="24"/>
          <w:lang w:eastAsia="en-IN"/>
        </w:rPr>
        <w:t xml:space="preserve">A) found that the IISPL i.e. </w:t>
      </w:r>
      <w:proofErr w:type="spellStart"/>
      <w:r w:rsidRPr="00C943CD">
        <w:rPr>
          <w:rFonts w:ascii="Times New Roman" w:eastAsia="Times New Roman" w:hAnsi="Times New Roman" w:cs="Times New Roman"/>
          <w:color w:val="000000"/>
          <w:sz w:val="24"/>
          <w:szCs w:val="24"/>
          <w:lang w:eastAsia="en-IN"/>
        </w:rPr>
        <w:t>Adma</w:t>
      </w:r>
      <w:proofErr w:type="spellEnd"/>
      <w:r w:rsidRPr="00C943CD">
        <w:rPr>
          <w:rFonts w:ascii="Times New Roman" w:eastAsia="Times New Roman" w:hAnsi="Times New Roman" w:cs="Times New Roman"/>
          <w:color w:val="000000"/>
          <w:sz w:val="24"/>
          <w:szCs w:val="24"/>
          <w:lang w:eastAsia="en-IN"/>
        </w:rPr>
        <w:t xml:space="preserve"> Solutions Pvt. Ltd. discharged its entire tax liability and there was no such tenancy or sub-tenancy agreement between them. It was also noticed that the premises which were utilized by the assessee in terms of the facility agreement dated 1.12.2008 were actually taken on rent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and the due tax was deducted at source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from the rent payments. The assessee being not a tenant or sub tenant in respect of the said premises, actual amount of rent paid by </w:t>
      </w:r>
      <w:proofErr w:type="spellStart"/>
      <w:r w:rsidRPr="00C943CD">
        <w:rPr>
          <w:rFonts w:ascii="Times New Roman" w:eastAsia="Times New Roman" w:hAnsi="Times New Roman" w:cs="Times New Roman"/>
          <w:color w:val="000000"/>
          <w:sz w:val="24"/>
          <w:szCs w:val="24"/>
          <w:lang w:eastAsia="en-IN"/>
        </w:rPr>
        <w:t>Infovision</w:t>
      </w:r>
      <w:proofErr w:type="spellEnd"/>
      <w:r w:rsidRPr="00C943CD">
        <w:rPr>
          <w:rFonts w:ascii="Times New Roman" w:eastAsia="Times New Roman" w:hAnsi="Times New Roman" w:cs="Times New Roman"/>
          <w:color w:val="000000"/>
          <w:sz w:val="24"/>
          <w:szCs w:val="24"/>
          <w:lang w:eastAsia="en-IN"/>
        </w:rPr>
        <w:t xml:space="preserve"> Information Services Pvt. Ltd. alone was reimbursed for use of facility. Accordingly, the ld. </w:t>
      </w:r>
      <w:proofErr w:type="gramStart"/>
      <w:r w:rsidRPr="00C943CD">
        <w:rPr>
          <w:rFonts w:ascii="Times New Roman" w:eastAsia="Times New Roman" w:hAnsi="Times New Roman" w:cs="Times New Roman"/>
          <w:color w:val="000000"/>
          <w:sz w:val="24"/>
          <w:szCs w:val="24"/>
          <w:lang w:eastAsia="en-IN"/>
        </w:rPr>
        <w:t>CIT(</w:t>
      </w:r>
      <w:proofErr w:type="gramEnd"/>
      <w:r w:rsidRPr="00C943CD">
        <w:rPr>
          <w:rFonts w:ascii="Times New Roman" w:eastAsia="Times New Roman" w:hAnsi="Times New Roman" w:cs="Times New Roman"/>
          <w:color w:val="000000"/>
          <w:sz w:val="24"/>
          <w:szCs w:val="24"/>
          <w:lang w:eastAsia="en-IN"/>
        </w:rPr>
        <w:t xml:space="preserve">A) concluded that the assessee was under no legal obligation to deduct tax at source &amp; therefore, no interest was chargeable for non deduction of tax at source. The Revenue </w:t>
      </w:r>
      <w:proofErr w:type="gramStart"/>
      <w:r w:rsidRPr="00C943CD">
        <w:rPr>
          <w:rFonts w:ascii="Times New Roman" w:eastAsia="Times New Roman" w:hAnsi="Times New Roman" w:cs="Times New Roman"/>
          <w:color w:val="000000"/>
          <w:sz w:val="24"/>
          <w:szCs w:val="24"/>
          <w:lang w:eastAsia="en-IN"/>
        </w:rPr>
        <w:t>have</w:t>
      </w:r>
      <w:proofErr w:type="gramEnd"/>
      <w:r w:rsidRPr="00C943CD">
        <w:rPr>
          <w:rFonts w:ascii="Times New Roman" w:eastAsia="Times New Roman" w:hAnsi="Times New Roman" w:cs="Times New Roman"/>
          <w:color w:val="000000"/>
          <w:sz w:val="24"/>
          <w:szCs w:val="24"/>
          <w:lang w:eastAsia="en-IN"/>
        </w:rPr>
        <w:t xml:space="preserve"> not placed before us any material, suggesting that the assessee had any interest either as a lessee or sub-lessee or a tenant in any of the aforesaid 13 premises. The fact that the assessee was allowed use of premises by IISPL in terms of agreement dated 1.12.2008, cannot lead to the conclusion that the assessee had any interest as a lessee, sub-lessee or tenant over the various premises. The right to use any land or building necessarily implies that the assessee must have some interest in the immovable property as a tenant. The existence of a landlord-tenant relationship or a licensor-licensee is a must before a payment in question can be termed as a rent. In the instant case, no such material is evident from the order of the AO nor the ld. DR brought to our notice any such </w:t>
      </w:r>
      <w:proofErr w:type="gramStart"/>
      <w:r w:rsidRPr="00C943CD">
        <w:rPr>
          <w:rFonts w:ascii="Times New Roman" w:eastAsia="Times New Roman" w:hAnsi="Times New Roman" w:cs="Times New Roman"/>
          <w:color w:val="000000"/>
          <w:sz w:val="24"/>
          <w:szCs w:val="24"/>
          <w:lang w:eastAsia="en-IN"/>
        </w:rPr>
        <w:t>material ,evidencing</w:t>
      </w:r>
      <w:proofErr w:type="gramEnd"/>
      <w:r w:rsidRPr="00C943CD">
        <w:rPr>
          <w:rFonts w:ascii="Times New Roman" w:eastAsia="Times New Roman" w:hAnsi="Times New Roman" w:cs="Times New Roman"/>
          <w:color w:val="000000"/>
          <w:sz w:val="24"/>
          <w:szCs w:val="24"/>
          <w:lang w:eastAsia="en-IN"/>
        </w:rPr>
        <w:t xml:space="preserve"> existence of a landlord-tenant relationship or a licensor-licensee. Even otherwise, it may be pointed out that </w:t>
      </w:r>
      <w:hyperlink r:id="rId19" w:tgtFrame="_blank" w:history="1">
        <w:r w:rsidRPr="00C943CD">
          <w:rPr>
            <w:rFonts w:ascii="Times New Roman" w:eastAsia="Times New Roman" w:hAnsi="Times New Roman" w:cs="Times New Roman"/>
            <w:color w:val="0000FF"/>
            <w:sz w:val="24"/>
            <w:szCs w:val="24"/>
            <w:lang w:eastAsia="en-IN"/>
          </w:rPr>
          <w:t>Circular No. 275/201/95-</w:t>
        </w:r>
        <w:proofErr w:type="gramStart"/>
        <w:r w:rsidRPr="00C943CD">
          <w:rPr>
            <w:rFonts w:ascii="Times New Roman" w:eastAsia="Times New Roman" w:hAnsi="Times New Roman" w:cs="Times New Roman"/>
            <w:color w:val="0000FF"/>
            <w:sz w:val="24"/>
            <w:szCs w:val="24"/>
            <w:lang w:eastAsia="en-IN"/>
          </w:rPr>
          <w:t>IT(</w:t>
        </w:r>
        <w:proofErr w:type="gramEnd"/>
        <w:r w:rsidRPr="00C943CD">
          <w:rPr>
            <w:rFonts w:ascii="Times New Roman" w:eastAsia="Times New Roman" w:hAnsi="Times New Roman" w:cs="Times New Roman"/>
            <w:color w:val="0000FF"/>
            <w:sz w:val="24"/>
            <w:szCs w:val="24"/>
            <w:lang w:eastAsia="en-IN"/>
          </w:rPr>
          <w:t>B) dated January 29, 1997</w:t>
        </w:r>
      </w:hyperlink>
      <w:r w:rsidRPr="00C943CD">
        <w:rPr>
          <w:rFonts w:ascii="Times New Roman" w:eastAsia="Times New Roman" w:hAnsi="Times New Roman" w:cs="Times New Roman"/>
          <w:color w:val="000000"/>
          <w:sz w:val="24"/>
          <w:szCs w:val="24"/>
          <w:lang w:eastAsia="en-IN"/>
        </w:rPr>
        <w:t xml:space="preserve">, issued by the CBDT and referred to in the aforesaid decision in Hindustan </w:t>
      </w:r>
      <w:r w:rsidRPr="00C943CD">
        <w:rPr>
          <w:rFonts w:ascii="Times New Roman" w:eastAsia="Times New Roman" w:hAnsi="Times New Roman" w:cs="Times New Roman"/>
          <w:i/>
          <w:iCs/>
          <w:color w:val="000000"/>
          <w:sz w:val="24"/>
          <w:szCs w:val="24"/>
          <w:lang w:eastAsia="en-IN"/>
        </w:rPr>
        <w:t>Coca Cola Beverage (P.) Ltd.</w:t>
      </w:r>
      <w:r w:rsidRPr="00C943CD">
        <w:rPr>
          <w:rFonts w:ascii="Times New Roman" w:eastAsia="Times New Roman" w:hAnsi="Times New Roman" w:cs="Times New Roman"/>
          <w:color w:val="000000"/>
          <w:sz w:val="24"/>
          <w:szCs w:val="24"/>
          <w:lang w:eastAsia="en-IN"/>
        </w:rPr>
        <w:t xml:space="preserve"> (</w:t>
      </w:r>
      <w:r w:rsidRPr="00C943CD">
        <w:rPr>
          <w:rFonts w:ascii="Times New Roman" w:eastAsia="Times New Roman" w:hAnsi="Times New Roman" w:cs="Times New Roman"/>
          <w:i/>
          <w:iCs/>
          <w:color w:val="000000"/>
          <w:sz w:val="24"/>
          <w:szCs w:val="24"/>
          <w:lang w:eastAsia="en-IN"/>
        </w:rPr>
        <w:t>supra</w:t>
      </w:r>
      <w:r w:rsidRPr="00C943CD">
        <w:rPr>
          <w:rFonts w:ascii="Times New Roman" w:eastAsia="Times New Roman" w:hAnsi="Times New Roman" w:cs="Times New Roman"/>
          <w:color w:val="000000"/>
          <w:sz w:val="24"/>
          <w:szCs w:val="24"/>
          <w:lang w:eastAsia="en-IN"/>
        </w:rPr>
        <w:t xml:space="preserve">) envisages that no demand visualized under section 201(1) of the Income- tax Act should be enforced after the tax </w:t>
      </w:r>
      <w:proofErr w:type="spellStart"/>
      <w:r w:rsidRPr="00C943CD">
        <w:rPr>
          <w:rFonts w:ascii="Times New Roman" w:eastAsia="Times New Roman" w:hAnsi="Times New Roman" w:cs="Times New Roman"/>
          <w:color w:val="000000"/>
          <w:sz w:val="24"/>
          <w:szCs w:val="24"/>
          <w:lang w:eastAsia="en-IN"/>
        </w:rPr>
        <w:t>deductor</w:t>
      </w:r>
      <w:proofErr w:type="spellEnd"/>
      <w:r w:rsidRPr="00C943CD">
        <w:rPr>
          <w:rFonts w:ascii="Times New Roman" w:eastAsia="Times New Roman" w:hAnsi="Times New Roman" w:cs="Times New Roman"/>
          <w:color w:val="000000"/>
          <w:sz w:val="24"/>
          <w:szCs w:val="24"/>
          <w:lang w:eastAsia="en-IN"/>
        </w:rPr>
        <w:t xml:space="preserve"> has satisfied the officer-in-charge of TDS, that taxes due have been paid by the </w:t>
      </w:r>
      <w:proofErr w:type="spellStart"/>
      <w:r w:rsidRPr="00C943CD">
        <w:rPr>
          <w:rFonts w:ascii="Times New Roman" w:eastAsia="Times New Roman" w:hAnsi="Times New Roman" w:cs="Times New Roman"/>
          <w:color w:val="000000"/>
          <w:sz w:val="24"/>
          <w:szCs w:val="24"/>
          <w:lang w:eastAsia="en-IN"/>
        </w:rPr>
        <w:t>deductee</w:t>
      </w:r>
      <w:proofErr w:type="spellEnd"/>
      <w:r w:rsidRPr="00C943CD">
        <w:rPr>
          <w:rFonts w:ascii="Times New Roman" w:eastAsia="Times New Roman" w:hAnsi="Times New Roman" w:cs="Times New Roman"/>
          <w:color w:val="000000"/>
          <w:sz w:val="24"/>
          <w:szCs w:val="24"/>
          <w:lang w:eastAsia="en-IN"/>
        </w:rPr>
        <w:t xml:space="preserve">-assessee. The ld. CIT(A) succinctly concluded that there was no such tenancy or sub-tenancy agreement between the assessee and IISPL, and therefore, provisions of sec. 194I of the Act of the Act were not applicable nor the assessee was liable to deduct tax at source on the amount reimbursed to IISPL in terms of agreement dated 1.12.2008. In view of the foregoing, especially when the Revenue have not placed before us any material, </w:t>
      </w:r>
      <w:proofErr w:type="spellStart"/>
      <w:r w:rsidRPr="00C943CD">
        <w:rPr>
          <w:rFonts w:ascii="Times New Roman" w:eastAsia="Times New Roman" w:hAnsi="Times New Roman" w:cs="Times New Roman"/>
          <w:color w:val="000000"/>
          <w:sz w:val="24"/>
          <w:szCs w:val="24"/>
          <w:lang w:eastAsia="en-IN"/>
        </w:rPr>
        <w:t>controverting</w:t>
      </w:r>
      <w:proofErr w:type="spellEnd"/>
      <w:r w:rsidRPr="00C943CD">
        <w:rPr>
          <w:rFonts w:ascii="Times New Roman" w:eastAsia="Times New Roman" w:hAnsi="Times New Roman" w:cs="Times New Roman"/>
          <w:color w:val="000000"/>
          <w:sz w:val="24"/>
          <w:szCs w:val="24"/>
          <w:lang w:eastAsia="en-IN"/>
        </w:rPr>
        <w:t xml:space="preserve"> the aforesaid findings recorded by the ld. </w:t>
      </w:r>
      <w:proofErr w:type="gramStart"/>
      <w:r w:rsidRPr="00C943CD">
        <w:rPr>
          <w:rFonts w:ascii="Times New Roman" w:eastAsia="Times New Roman" w:hAnsi="Times New Roman" w:cs="Times New Roman"/>
          <w:color w:val="000000"/>
          <w:sz w:val="24"/>
          <w:szCs w:val="24"/>
          <w:lang w:eastAsia="en-IN"/>
        </w:rPr>
        <w:t>CIT(</w:t>
      </w:r>
      <w:proofErr w:type="gramEnd"/>
      <w:r w:rsidRPr="00C943CD">
        <w:rPr>
          <w:rFonts w:ascii="Times New Roman" w:eastAsia="Times New Roman" w:hAnsi="Times New Roman" w:cs="Times New Roman"/>
          <w:color w:val="000000"/>
          <w:sz w:val="24"/>
          <w:szCs w:val="24"/>
          <w:lang w:eastAsia="en-IN"/>
        </w:rPr>
        <w:t xml:space="preserve">A) so as to enable us to take a different view in the matter nor brought to our notice any material, evidencing admission of any additional evidence or any tenancy or sub-tenancy agreement between the assessee &amp; IISPL or even any contrary decision, we are not inclined to interfere. Therefore, ground nos. 1 to 3 in the appeals </w:t>
      </w:r>
      <w:proofErr w:type="gramStart"/>
      <w:r w:rsidRPr="00C943CD">
        <w:rPr>
          <w:rFonts w:ascii="Times New Roman" w:eastAsia="Times New Roman" w:hAnsi="Times New Roman" w:cs="Times New Roman"/>
          <w:color w:val="000000"/>
          <w:sz w:val="24"/>
          <w:szCs w:val="24"/>
          <w:lang w:eastAsia="en-IN"/>
        </w:rPr>
        <w:t>are</w:t>
      </w:r>
      <w:proofErr w:type="gramEnd"/>
      <w:r w:rsidRPr="00C943CD">
        <w:rPr>
          <w:rFonts w:ascii="Times New Roman" w:eastAsia="Times New Roman" w:hAnsi="Times New Roman" w:cs="Times New Roman"/>
          <w:color w:val="000000"/>
          <w:sz w:val="24"/>
          <w:szCs w:val="24"/>
          <w:lang w:eastAsia="en-IN"/>
        </w:rPr>
        <w:t xml:space="preserve"> dismissed.</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 xml:space="preserve">7. </w:t>
      </w:r>
      <w:r w:rsidRPr="00C943CD">
        <w:rPr>
          <w:rFonts w:ascii="Times New Roman" w:eastAsia="Times New Roman" w:hAnsi="Times New Roman" w:cs="Times New Roman"/>
          <w:color w:val="000000"/>
          <w:sz w:val="24"/>
          <w:szCs w:val="24"/>
          <w:lang w:eastAsia="en-IN"/>
        </w:rPr>
        <w:t xml:space="preserve">No other plea or </w:t>
      </w:r>
      <w:proofErr w:type="gramStart"/>
      <w:r w:rsidRPr="00C943CD">
        <w:rPr>
          <w:rFonts w:ascii="Times New Roman" w:eastAsia="Times New Roman" w:hAnsi="Times New Roman" w:cs="Times New Roman"/>
          <w:color w:val="000000"/>
          <w:sz w:val="24"/>
          <w:szCs w:val="24"/>
          <w:lang w:eastAsia="en-IN"/>
        </w:rPr>
        <w:t>argument have</w:t>
      </w:r>
      <w:proofErr w:type="gramEnd"/>
      <w:r w:rsidRPr="00C943CD">
        <w:rPr>
          <w:rFonts w:ascii="Times New Roman" w:eastAsia="Times New Roman" w:hAnsi="Times New Roman" w:cs="Times New Roman"/>
          <w:color w:val="000000"/>
          <w:sz w:val="24"/>
          <w:szCs w:val="24"/>
          <w:lang w:eastAsia="en-IN"/>
        </w:rPr>
        <w:t xml:space="preserve"> been made.</w:t>
      </w:r>
    </w:p>
    <w:p w:rsidR="00C943CD" w:rsidRPr="00C943CD" w:rsidRDefault="00C943CD" w:rsidP="00C943CD">
      <w:pPr>
        <w:shd w:val="clear" w:color="auto" w:fill="FFFFFF"/>
        <w:spacing w:after="160" w:line="240" w:lineRule="auto"/>
        <w:ind w:left="90" w:firstLine="0"/>
        <w:rPr>
          <w:rFonts w:ascii="Times New Roman" w:eastAsia="Times New Roman" w:hAnsi="Times New Roman" w:cs="Times New Roman"/>
          <w:color w:val="000000"/>
          <w:sz w:val="24"/>
          <w:szCs w:val="24"/>
          <w:lang w:eastAsia="en-IN"/>
        </w:rPr>
      </w:pPr>
      <w:r w:rsidRPr="00C943CD">
        <w:rPr>
          <w:rFonts w:ascii="Times New Roman" w:eastAsia="Times New Roman" w:hAnsi="Times New Roman" w:cs="Times New Roman"/>
          <w:b/>
          <w:bCs/>
          <w:color w:val="000000"/>
          <w:sz w:val="24"/>
          <w:szCs w:val="24"/>
          <w:lang w:eastAsia="en-IN"/>
        </w:rPr>
        <w:t>8.</w:t>
      </w:r>
      <w:r w:rsidRPr="00C943CD">
        <w:rPr>
          <w:rFonts w:ascii="Times New Roman" w:eastAsia="Times New Roman" w:hAnsi="Times New Roman" w:cs="Times New Roman"/>
          <w:color w:val="000000"/>
          <w:sz w:val="24"/>
          <w:szCs w:val="24"/>
          <w:lang w:eastAsia="en-IN"/>
        </w:rPr>
        <w:t xml:space="preserve"> In the result, appeal is dismissed.</w:t>
      </w:r>
    </w:p>
    <w:p w:rsidR="00C03895" w:rsidRDefault="00C03895"/>
    <w:sectPr w:rsidR="00C03895" w:rsidSect="00C038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943CD"/>
    <w:rsid w:val="00246D47"/>
    <w:rsid w:val="00537E45"/>
    <w:rsid w:val="00607D9E"/>
    <w:rsid w:val="00AC3A44"/>
    <w:rsid w:val="00AF756D"/>
    <w:rsid w:val="00B74258"/>
    <w:rsid w:val="00C03895"/>
    <w:rsid w:val="00C51DEA"/>
    <w:rsid w:val="00C943CD"/>
    <w:rsid w:val="00CD266F"/>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Theme="minorHAnsi" w:hAnsi="Arial Unicode MS" w:cs="Arial"/>
        <w:sz w:val="22"/>
        <w:szCs w:val="22"/>
        <w:lang w:val="en-IN" w:eastAsia="en-US" w:bidi="ar-SA"/>
      </w:rPr>
    </w:rPrDefault>
    <w:pPrDefault>
      <w:pPr>
        <w:spacing w:after="200" w:line="36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8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43CD"/>
    <w:pPr>
      <w:spacing w:after="0" w:line="240" w:lineRule="auto"/>
      <w:ind w:left="0" w:firstLine="0"/>
      <w:jc w:val="left"/>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885725242">
      <w:bodyDiv w:val="1"/>
      <w:marLeft w:val="0"/>
      <w:marRight w:val="0"/>
      <w:marTop w:val="0"/>
      <w:marBottom w:val="0"/>
      <w:divBdr>
        <w:top w:val="none" w:sz="0" w:space="0" w:color="auto"/>
        <w:left w:val="none" w:sz="0" w:space="0" w:color="auto"/>
        <w:bottom w:val="none" w:sz="0" w:space="0" w:color="auto"/>
        <w:right w:val="none" w:sz="0" w:space="0" w:color="auto"/>
      </w:divBdr>
      <w:divsChild>
        <w:div w:id="1998728049">
          <w:marLeft w:val="0"/>
          <w:marRight w:val="0"/>
          <w:marTop w:val="0"/>
          <w:marBottom w:val="0"/>
          <w:divBdr>
            <w:top w:val="none" w:sz="0" w:space="0" w:color="auto"/>
            <w:left w:val="none" w:sz="0" w:space="0" w:color="auto"/>
            <w:bottom w:val="none" w:sz="0" w:space="0" w:color="auto"/>
            <w:right w:val="none" w:sz="0" w:space="0" w:color="auto"/>
          </w:divBdr>
          <w:divsChild>
            <w:div w:id="168640503">
              <w:marLeft w:val="0"/>
              <w:marRight w:val="0"/>
              <w:marTop w:val="100"/>
              <w:marBottom w:val="100"/>
              <w:divBdr>
                <w:top w:val="none" w:sz="0" w:space="0" w:color="auto"/>
                <w:left w:val="none" w:sz="0" w:space="0" w:color="auto"/>
                <w:bottom w:val="none" w:sz="0" w:space="0" w:color="auto"/>
                <w:right w:val="none" w:sz="0" w:space="0" w:color="auto"/>
              </w:divBdr>
              <w:divsChild>
                <w:div w:id="1501189656">
                  <w:marLeft w:val="0"/>
                  <w:marRight w:val="0"/>
                  <w:marTop w:val="0"/>
                  <w:marBottom w:val="0"/>
                  <w:divBdr>
                    <w:top w:val="none" w:sz="0" w:space="0" w:color="auto"/>
                    <w:left w:val="none" w:sz="0" w:space="0" w:color="auto"/>
                    <w:bottom w:val="none" w:sz="0" w:space="0" w:color="auto"/>
                    <w:right w:val="none" w:sz="0" w:space="0" w:color="auto"/>
                  </w:divBdr>
                  <w:divsChild>
                    <w:div w:id="1284071893">
                      <w:marLeft w:val="0"/>
                      <w:marRight w:val="0"/>
                      <w:marTop w:val="0"/>
                      <w:marBottom w:val="0"/>
                      <w:divBdr>
                        <w:top w:val="none" w:sz="0" w:space="0" w:color="auto"/>
                        <w:left w:val="none" w:sz="0" w:space="0" w:color="auto"/>
                        <w:bottom w:val="none" w:sz="0" w:space="0" w:color="auto"/>
                        <w:right w:val="none" w:sz="0" w:space="0" w:color="auto"/>
                      </w:divBdr>
                      <w:divsChild>
                        <w:div w:id="92479956">
                          <w:marLeft w:val="0"/>
                          <w:marRight w:val="0"/>
                          <w:marTop w:val="0"/>
                          <w:marBottom w:val="0"/>
                          <w:divBdr>
                            <w:top w:val="none" w:sz="0" w:space="0" w:color="auto"/>
                            <w:left w:val="none" w:sz="0" w:space="0" w:color="auto"/>
                            <w:bottom w:val="none" w:sz="0" w:space="0" w:color="auto"/>
                            <w:right w:val="none" w:sz="0" w:space="0" w:color="auto"/>
                          </w:divBdr>
                          <w:divsChild>
                            <w:div w:id="620460487">
                              <w:marLeft w:val="0"/>
                              <w:marRight w:val="0"/>
                              <w:marTop w:val="0"/>
                              <w:marBottom w:val="0"/>
                              <w:divBdr>
                                <w:top w:val="none" w:sz="0" w:space="0" w:color="auto"/>
                                <w:left w:val="none" w:sz="0" w:space="0" w:color="auto"/>
                                <w:bottom w:val="none" w:sz="0" w:space="0" w:color="auto"/>
                                <w:right w:val="none" w:sz="0" w:space="0" w:color="auto"/>
                              </w:divBdr>
                              <w:divsChild>
                                <w:div w:id="848369867">
                                  <w:marLeft w:val="90"/>
                                  <w:marRight w:val="90"/>
                                  <w:marTop w:val="75"/>
                                  <w:marBottom w:val="0"/>
                                  <w:divBdr>
                                    <w:top w:val="none" w:sz="0" w:space="0" w:color="auto"/>
                                    <w:left w:val="none" w:sz="0" w:space="0" w:color="auto"/>
                                    <w:bottom w:val="none" w:sz="0" w:space="0" w:color="auto"/>
                                    <w:right w:val="none" w:sz="0" w:space="0" w:color="auto"/>
                                  </w:divBdr>
                                  <w:divsChild>
                                    <w:div w:id="1185560490">
                                      <w:marLeft w:val="0"/>
                                      <w:marRight w:val="0"/>
                                      <w:marTop w:val="0"/>
                                      <w:marBottom w:val="0"/>
                                      <w:divBdr>
                                        <w:top w:val="none" w:sz="0" w:space="0" w:color="auto"/>
                                        <w:left w:val="none" w:sz="0" w:space="0" w:color="auto"/>
                                        <w:bottom w:val="none" w:sz="0" w:space="0" w:color="auto"/>
                                        <w:right w:val="none" w:sz="0" w:space="0" w:color="auto"/>
                                      </w:divBdr>
                                    </w:div>
                                    <w:div w:id="78136139">
                                      <w:marLeft w:val="0"/>
                                      <w:marRight w:val="0"/>
                                      <w:marTop w:val="0"/>
                                      <w:marBottom w:val="0"/>
                                      <w:divBdr>
                                        <w:top w:val="none" w:sz="0" w:space="0" w:color="auto"/>
                                        <w:left w:val="none" w:sz="0" w:space="0" w:color="auto"/>
                                        <w:bottom w:val="none" w:sz="0" w:space="0" w:color="auto"/>
                                        <w:right w:val="none" w:sz="0" w:space="0" w:color="auto"/>
                                      </w:divBdr>
                                      <w:divsChild>
                                        <w:div w:id="476070177">
                                          <w:marLeft w:val="0"/>
                                          <w:marRight w:val="0"/>
                                          <w:marTop w:val="0"/>
                                          <w:marBottom w:val="0"/>
                                          <w:divBdr>
                                            <w:top w:val="none" w:sz="0" w:space="0" w:color="auto"/>
                                            <w:left w:val="none" w:sz="0" w:space="0" w:color="auto"/>
                                            <w:bottom w:val="none" w:sz="0" w:space="0" w:color="auto"/>
                                            <w:right w:val="none" w:sz="0" w:space="0" w:color="auto"/>
                                          </w:divBdr>
                                        </w:div>
                                        <w:div w:id="1329485053">
                                          <w:marLeft w:val="0"/>
                                          <w:marRight w:val="0"/>
                                          <w:marTop w:val="0"/>
                                          <w:marBottom w:val="0"/>
                                          <w:divBdr>
                                            <w:top w:val="none" w:sz="0" w:space="0" w:color="auto"/>
                                            <w:left w:val="none" w:sz="0" w:space="0" w:color="auto"/>
                                            <w:bottom w:val="none" w:sz="0" w:space="0" w:color="auto"/>
                                            <w:right w:val="none" w:sz="0" w:space="0" w:color="auto"/>
                                          </w:divBdr>
                                          <w:divsChild>
                                            <w:div w:id="838741107">
                                              <w:marLeft w:val="0"/>
                                              <w:marRight w:val="0"/>
                                              <w:marTop w:val="0"/>
                                              <w:marBottom w:val="0"/>
                                              <w:divBdr>
                                                <w:top w:val="none" w:sz="0" w:space="0" w:color="auto"/>
                                                <w:left w:val="none" w:sz="0" w:space="0" w:color="auto"/>
                                                <w:bottom w:val="none" w:sz="0" w:space="0" w:color="auto"/>
                                                <w:right w:val="none" w:sz="0" w:space="0" w:color="auto"/>
                                              </w:divBdr>
                                              <w:divsChild>
                                                <w:div w:id="491022568">
                                                  <w:marLeft w:val="0"/>
                                                  <w:marRight w:val="0"/>
                                                  <w:marTop w:val="0"/>
                                                  <w:marBottom w:val="0"/>
                                                  <w:divBdr>
                                                    <w:top w:val="none" w:sz="0" w:space="0" w:color="auto"/>
                                                    <w:left w:val="none" w:sz="0" w:space="0" w:color="auto"/>
                                                    <w:bottom w:val="none" w:sz="0" w:space="0" w:color="auto"/>
                                                    <w:right w:val="none" w:sz="0" w:space="0" w:color="auto"/>
                                                  </w:divBdr>
                                                </w:div>
                                                <w:div w:id="715156597">
                                                  <w:marLeft w:val="0"/>
                                                  <w:marRight w:val="0"/>
                                                  <w:marTop w:val="0"/>
                                                  <w:marBottom w:val="0"/>
                                                  <w:divBdr>
                                                    <w:top w:val="none" w:sz="0" w:space="0" w:color="auto"/>
                                                    <w:left w:val="none" w:sz="0" w:space="0" w:color="auto"/>
                                                    <w:bottom w:val="none" w:sz="0" w:space="0" w:color="auto"/>
                                                    <w:right w:val="none" w:sz="0" w:space="0" w:color="auto"/>
                                                  </w:divBdr>
                                                </w:div>
                                                <w:div w:id="2096242054">
                                                  <w:marLeft w:val="0"/>
                                                  <w:marRight w:val="0"/>
                                                  <w:marTop w:val="0"/>
                                                  <w:marBottom w:val="0"/>
                                                  <w:divBdr>
                                                    <w:top w:val="none" w:sz="0" w:space="0" w:color="auto"/>
                                                    <w:left w:val="none" w:sz="0" w:space="0" w:color="auto"/>
                                                    <w:bottom w:val="none" w:sz="0" w:space="0" w:color="auto"/>
                                                    <w:right w:val="none" w:sz="0" w:space="0" w:color="auto"/>
                                                  </w:divBdr>
                                                </w:div>
                                              </w:divsChild>
                                            </w:div>
                                            <w:div w:id="146014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xmann.com/fileopen.aspx?Page=CASELAWS&amp;id=101010000000068565&amp;source=link" TargetMode="External"/><Relationship Id="rId13" Type="http://schemas.openxmlformats.org/officeDocument/2006/relationships/hyperlink" Target="http://www.taxmann.com/fileopen.aspx?Page=CASELAWS&amp;id=101010000000058591&amp;source=link" TargetMode="External"/><Relationship Id="rId18" Type="http://schemas.openxmlformats.org/officeDocument/2006/relationships/hyperlink" Target="http://www.taxmann.com/fileopen.aspx?Page=CASELAWS&amp;id=104010000000039363&amp;source=link"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taxmann.com/fileopen.aspx?Page=CASELAWS&amp;id=101010000000058591&amp;source=link" TargetMode="External"/><Relationship Id="rId12" Type="http://schemas.openxmlformats.org/officeDocument/2006/relationships/hyperlink" Target="http://www.taxmann.com/fileopen.aspx?Page=CASELAWS&amp;id=101010000000081659&amp;source=link" TargetMode="External"/><Relationship Id="rId17" Type="http://schemas.openxmlformats.org/officeDocument/2006/relationships/hyperlink" Target="http://www.taxmann.com/fileopen.aspx?Page=CASELAWS&amp;id=101010000000068565&amp;source=link" TargetMode="External"/><Relationship Id="rId2" Type="http://schemas.openxmlformats.org/officeDocument/2006/relationships/settings" Target="settings.xml"/><Relationship Id="rId16" Type="http://schemas.openxmlformats.org/officeDocument/2006/relationships/hyperlink" Target="http://www.taxmann.com/fileopen.aspx?Page=CASELAWS&amp;id=101010000000058591&amp;source=link"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axmann.com/fileopen.aspx?Page=CASELAWS&amp;id=101010000000080814&amp;source=link" TargetMode="External"/><Relationship Id="rId11" Type="http://schemas.openxmlformats.org/officeDocument/2006/relationships/hyperlink" Target="http://www.taxmann.com/fileopen.aspx?Page=CASELAWS&amp;id=104010000000039363&amp;source=link" TargetMode="External"/><Relationship Id="rId5" Type="http://schemas.openxmlformats.org/officeDocument/2006/relationships/hyperlink" Target="http://www.taxmann.com/fileopen.aspx?Page=CASELAWS&amp;id=104010000000020747&amp;source=link" TargetMode="External"/><Relationship Id="rId15" Type="http://schemas.openxmlformats.org/officeDocument/2006/relationships/hyperlink" Target="http://www.taxmann.com/fileopen.aspx?Page=CASELAWS&amp;id=101010000000080814&amp;source=link" TargetMode="External"/><Relationship Id="rId10" Type="http://schemas.openxmlformats.org/officeDocument/2006/relationships/hyperlink" Target="http://www.taxmann.com/fileopen.aspx?Page=CASELAWS&amp;id=101010000000080814&amp;source=link" TargetMode="External"/><Relationship Id="rId19" Type="http://schemas.openxmlformats.org/officeDocument/2006/relationships/hyperlink" Target="http://www.taxmann.com/fileopen.aspx?Page=CASELAWS&amp;id=104010000000020747&amp;source=link" TargetMode="External"/><Relationship Id="rId4" Type="http://schemas.openxmlformats.org/officeDocument/2006/relationships/hyperlink" Target="http://www.taxmann.com/fileopen.aspx?Page=CASELAWS&amp;id=104010000000020747&amp;source=link" TargetMode="External"/><Relationship Id="rId9" Type="http://schemas.openxmlformats.org/officeDocument/2006/relationships/hyperlink" Target="http://www.taxmann.com/fileopen.aspx?Page=CASELAWS&amp;id=101010000000080814&amp;source=link" TargetMode="External"/><Relationship Id="rId14" Type="http://schemas.openxmlformats.org/officeDocument/2006/relationships/hyperlink" Target="http://www.taxmann.com/fileopen.aspx?Page=CASELAWS&amp;id=101010000000068565&amp;sourc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3282</Words>
  <Characters>18712</Characters>
  <Application>Microsoft Office Word</Application>
  <DocSecurity>0</DocSecurity>
  <Lines>155</Lines>
  <Paragraphs>43</Paragraphs>
  <ScaleCrop>false</ScaleCrop>
  <Company/>
  <LinksUpToDate>false</LinksUpToDate>
  <CharactersWithSpaces>21951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 Sanjeev Singhal</dc:creator>
  <cp:lastModifiedBy>CA. Sanjeev Singhal</cp:lastModifiedBy>
  <cp:revision>1</cp:revision>
  <dcterms:created xsi:type="dcterms:W3CDTF">2013-04-25T06:14:00Z</dcterms:created>
  <dcterms:modified xsi:type="dcterms:W3CDTF">2013-04-25T06:17:00Z</dcterms:modified>
</cp:coreProperties>
</file>