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30" w:type="dxa"/>
          <w:left w:w="30" w:type="dxa"/>
          <w:bottom w:w="30" w:type="dxa"/>
          <w:right w:w="30" w:type="dxa"/>
        </w:tblCellMar>
        <w:tblLook w:val="04A0"/>
      </w:tblPr>
      <w:tblGrid>
        <w:gridCol w:w="10380"/>
        <w:gridCol w:w="480"/>
      </w:tblGrid>
      <w:tr w:rsidR="00473813" w:rsidRPr="00473813" w:rsidTr="00473813">
        <w:trPr>
          <w:tblCellSpacing w:w="0" w:type="dxa"/>
        </w:trPr>
        <w:tc>
          <w:tcPr>
            <w:tcW w:w="0" w:type="auto"/>
            <w:vAlign w:val="center"/>
            <w:hideMark/>
          </w:tcPr>
          <w:p w:rsidR="00473813" w:rsidRPr="00393BCF" w:rsidRDefault="00473813" w:rsidP="00473813">
            <w:pPr>
              <w:spacing w:after="0" w:line="240" w:lineRule="auto"/>
              <w:rPr>
                <w:rFonts w:ascii="Britannic Bold" w:eastAsia="Times New Roman" w:hAnsi="Britannic Bold" w:cs="Times New Roman"/>
                <w:color w:val="17365D" w:themeColor="text2" w:themeShade="BF"/>
                <w:sz w:val="28"/>
                <w:szCs w:val="28"/>
              </w:rPr>
            </w:pPr>
            <w:r w:rsidRPr="00473813">
              <w:rPr>
                <w:rFonts w:ascii="Britannic Bold" w:eastAsia="Times New Roman" w:hAnsi="Britannic Bold" w:cs="Times New Roman"/>
                <w:color w:val="17365D" w:themeColor="text2" w:themeShade="BF"/>
                <w:sz w:val="28"/>
                <w:szCs w:val="28"/>
              </w:rPr>
              <w:t xml:space="preserve">PPF </w:t>
            </w:r>
            <w:proofErr w:type="spellStart"/>
            <w:r w:rsidRPr="00473813">
              <w:rPr>
                <w:rFonts w:ascii="Britannic Bold" w:eastAsia="Times New Roman" w:hAnsi="Britannic Bold" w:cs="Times New Roman"/>
                <w:color w:val="17365D" w:themeColor="text2" w:themeShade="BF"/>
                <w:sz w:val="28"/>
                <w:szCs w:val="28"/>
              </w:rPr>
              <w:t>vs</w:t>
            </w:r>
            <w:proofErr w:type="spellEnd"/>
            <w:r w:rsidRPr="00473813">
              <w:rPr>
                <w:rFonts w:ascii="Britannic Bold" w:eastAsia="Times New Roman" w:hAnsi="Britannic Bold" w:cs="Times New Roman"/>
                <w:color w:val="17365D" w:themeColor="text2" w:themeShade="BF"/>
                <w:sz w:val="28"/>
                <w:szCs w:val="28"/>
              </w:rPr>
              <w:t xml:space="preserve"> NSC</w:t>
            </w:r>
          </w:p>
          <w:p w:rsidR="00473813" w:rsidRPr="00473813" w:rsidRDefault="00473813" w:rsidP="00473813">
            <w:pPr>
              <w:spacing w:after="0" w:line="240" w:lineRule="auto"/>
              <w:rPr>
                <w:rFonts w:ascii="Trebuchet MS" w:eastAsia="Times New Roman" w:hAnsi="Trebuchet MS" w:cs="Times New Roman"/>
                <w:sz w:val="20"/>
                <w:szCs w:val="20"/>
              </w:rPr>
            </w:pPr>
          </w:p>
        </w:tc>
        <w:tc>
          <w:tcPr>
            <w:tcW w:w="0" w:type="auto"/>
            <w:hideMark/>
          </w:tcPr>
          <w:p w:rsidR="00473813" w:rsidRPr="00473813" w:rsidRDefault="00473813" w:rsidP="00473813">
            <w:pPr>
              <w:spacing w:after="0" w:line="240" w:lineRule="auto"/>
              <w:rPr>
                <w:rFonts w:ascii="Times New Roman" w:eastAsia="Times New Roman" w:hAnsi="Times New Roman" w:cs="Times New Roman"/>
                <w:sz w:val="24"/>
                <w:szCs w:val="24"/>
              </w:rPr>
            </w:pPr>
          </w:p>
        </w:tc>
      </w:tr>
      <w:tr w:rsidR="00473813" w:rsidRPr="00473813" w:rsidTr="00473813">
        <w:trPr>
          <w:tblCellSpacing w:w="0" w:type="dxa"/>
        </w:trPr>
        <w:tc>
          <w:tcPr>
            <w:tcW w:w="0" w:type="auto"/>
            <w:gridSpan w:val="2"/>
            <w:vAlign w:val="center"/>
            <w:hideMark/>
          </w:tcPr>
          <w:p w:rsidR="00473813" w:rsidRPr="00473813" w:rsidRDefault="00473813" w:rsidP="00473813">
            <w:pPr>
              <w:spacing w:after="0"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t>Both are backed by the government and give assured rates of interest. What really is the difference between the two?</w:t>
            </w:r>
          </w:p>
        </w:tc>
      </w:tr>
      <w:tr w:rsidR="00473813" w:rsidRPr="00473813" w:rsidTr="00473813">
        <w:trPr>
          <w:tblCellSpacing w:w="0" w:type="dxa"/>
        </w:trPr>
        <w:tc>
          <w:tcPr>
            <w:tcW w:w="0" w:type="auto"/>
            <w:gridSpan w:val="2"/>
            <w:vAlign w:val="center"/>
            <w:hideMark/>
          </w:tcPr>
          <w:p w:rsidR="00473813" w:rsidRPr="00473813" w:rsidRDefault="00473813" w:rsidP="00473813">
            <w:pPr>
              <w:spacing w:after="0" w:line="240" w:lineRule="auto"/>
              <w:rPr>
                <w:rFonts w:ascii="Trebuchet MS" w:eastAsia="Times New Roman" w:hAnsi="Trebuchet MS" w:cs="Times New Roman"/>
                <w:sz w:val="20"/>
                <w:szCs w:val="20"/>
              </w:rPr>
            </w:pPr>
          </w:p>
        </w:tc>
      </w:tr>
      <w:tr w:rsidR="00473813" w:rsidRPr="00473813" w:rsidTr="00473813">
        <w:trPr>
          <w:tblCellSpacing w:w="0" w:type="dxa"/>
        </w:trPr>
        <w:tc>
          <w:tcPr>
            <w:tcW w:w="0" w:type="auto"/>
            <w:gridSpan w:val="2"/>
            <w:vAlign w:val="center"/>
            <w:hideMark/>
          </w:tcPr>
          <w:p w:rsidR="00473813" w:rsidRPr="00473813" w:rsidRDefault="00473813" w:rsidP="00473813">
            <w:pPr>
              <w:spacing w:after="0"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pict>
                <v:rect id="_x0000_i1025" style="width:0;height:1.5pt" o:hrstd="t" o:hrnoshade="t" o:hr="t" fillcolor="#9d9da1" stroked="f"/>
              </w:pict>
            </w:r>
          </w:p>
        </w:tc>
      </w:tr>
      <w:tr w:rsidR="00473813" w:rsidRPr="00473813" w:rsidTr="00473813">
        <w:trPr>
          <w:tblCellSpacing w:w="0" w:type="dxa"/>
        </w:trPr>
        <w:tc>
          <w:tcPr>
            <w:tcW w:w="0" w:type="auto"/>
            <w:gridSpan w:val="2"/>
            <w:vAlign w:val="center"/>
            <w:hideMark/>
          </w:tcPr>
          <w:tbl>
            <w:tblPr>
              <w:tblW w:w="5000" w:type="pct"/>
              <w:tblCellSpacing w:w="15" w:type="dxa"/>
              <w:tblCellMar>
                <w:top w:w="15" w:type="dxa"/>
                <w:left w:w="15" w:type="dxa"/>
                <w:bottom w:w="15" w:type="dxa"/>
                <w:right w:w="15" w:type="dxa"/>
              </w:tblCellMar>
              <w:tblLook w:val="04A0"/>
            </w:tblPr>
            <w:tblGrid>
              <w:gridCol w:w="10800"/>
            </w:tblGrid>
            <w:tr w:rsidR="00473813" w:rsidRPr="00473813">
              <w:trPr>
                <w:trHeight w:val="9465"/>
                <w:tblCellSpacing w:w="15" w:type="dxa"/>
              </w:trPr>
              <w:tc>
                <w:tcPr>
                  <w:tcW w:w="0" w:type="auto"/>
                  <w:hideMark/>
                </w:tcPr>
                <w:p w:rsidR="00473813" w:rsidRPr="00473813" w:rsidRDefault="00473813" w:rsidP="00473813">
                  <w:pPr>
                    <w:spacing w:before="100" w:beforeAutospacing="1" w:after="100" w:afterAutospacing="1" w:line="240" w:lineRule="auto"/>
                    <w:rPr>
                      <w:rFonts w:ascii="Trebuchet MS" w:eastAsia="Times New Roman" w:hAnsi="Trebuchet MS" w:cs="Times New Roman"/>
                      <w:sz w:val="20"/>
                      <w:szCs w:val="20"/>
                    </w:rPr>
                  </w:pPr>
                  <w:r w:rsidRPr="00473813">
                    <w:rPr>
                      <w:rFonts w:ascii="Times New Roman" w:eastAsia="Times New Roman" w:hAnsi="Times New Roman" w:cs="Times New Roman"/>
                      <w:sz w:val="20"/>
                      <w:szCs w:val="20"/>
                    </w:rPr>
                    <w:t>﻿</w:t>
                  </w:r>
                  <w:r w:rsidRPr="00473813">
                    <w:rPr>
                      <w:rFonts w:ascii="Trebuchet MS" w:eastAsia="Times New Roman" w:hAnsi="Trebuchet MS" w:cs="Times New Roman"/>
                      <w:sz w:val="20"/>
                      <w:szCs w:val="20"/>
                    </w:rPr>
                    <w:t xml:space="preserve"> People often get confused between the Public Provident Fund (PPF) and the National Savings Certificate (NSC). Here is a comparison between the two popular tax-saving investments. </w:t>
                  </w:r>
                </w:p>
                <w:p w:rsidR="00473813" w:rsidRPr="004B541D" w:rsidRDefault="00473813" w:rsidP="00473813">
                  <w:pPr>
                    <w:spacing w:before="100" w:beforeAutospacing="1" w:after="100" w:afterAutospacing="1" w:line="240" w:lineRule="auto"/>
                    <w:rPr>
                      <w:rFonts w:ascii="Trebuchet MS" w:eastAsia="Times New Roman" w:hAnsi="Trebuchet MS" w:cs="Times New Roman"/>
                      <w:b/>
                      <w:bCs/>
                      <w:color w:val="00B050"/>
                      <w:sz w:val="20"/>
                      <w:szCs w:val="20"/>
                    </w:rPr>
                  </w:pPr>
                  <w:r w:rsidRPr="004B541D">
                    <w:rPr>
                      <w:rFonts w:ascii="Trebuchet MS" w:eastAsia="Times New Roman" w:hAnsi="Trebuchet MS" w:cs="Times New Roman"/>
                      <w:b/>
                      <w:bCs/>
                      <w:color w:val="00B050"/>
                      <w:sz w:val="20"/>
                      <w:szCs w:val="20"/>
                    </w:rPr>
                    <w:t>Maximum Limit</w:t>
                  </w:r>
                </w:p>
                <w:p w:rsidR="00473813" w:rsidRPr="00473813" w:rsidRDefault="00473813" w:rsidP="00473813">
                  <w:pPr>
                    <w:spacing w:before="100" w:beforeAutospacing="1" w:after="100" w:afterAutospacing="1"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t xml:space="preserve">The minimum one can invest in PPF in a financial year is Rs 500 and the maximum is Rs 1 </w:t>
                  </w:r>
                  <w:proofErr w:type="spellStart"/>
                  <w:r w:rsidRPr="00473813">
                    <w:rPr>
                      <w:rFonts w:ascii="Trebuchet MS" w:eastAsia="Times New Roman" w:hAnsi="Trebuchet MS" w:cs="Times New Roman"/>
                      <w:sz w:val="20"/>
                      <w:szCs w:val="20"/>
                    </w:rPr>
                    <w:t>lakh</w:t>
                  </w:r>
                  <w:proofErr w:type="spellEnd"/>
                  <w:r w:rsidRPr="00473813">
                    <w:rPr>
                      <w:rFonts w:ascii="Trebuchet MS" w:eastAsia="Times New Roman" w:hAnsi="Trebuchet MS" w:cs="Times New Roman"/>
                      <w:sz w:val="20"/>
                      <w:szCs w:val="20"/>
                    </w:rPr>
                    <w:t xml:space="preserve">. There is no limit under NSC. One can buy however many certificates they choose to. But for the tax benefit, the limit will stick to Rs 1 </w:t>
                  </w:r>
                  <w:proofErr w:type="spellStart"/>
                  <w:r w:rsidRPr="00473813">
                    <w:rPr>
                      <w:rFonts w:ascii="Trebuchet MS" w:eastAsia="Times New Roman" w:hAnsi="Trebuchet MS" w:cs="Times New Roman"/>
                      <w:sz w:val="20"/>
                      <w:szCs w:val="20"/>
                    </w:rPr>
                    <w:t>lakh</w:t>
                  </w:r>
                  <w:proofErr w:type="spellEnd"/>
                  <w:r w:rsidRPr="00473813">
                    <w:rPr>
                      <w:rFonts w:ascii="Trebuchet MS" w:eastAsia="Times New Roman" w:hAnsi="Trebuchet MS" w:cs="Times New Roman"/>
                      <w:sz w:val="20"/>
                      <w:szCs w:val="20"/>
                    </w:rPr>
                    <w:t xml:space="preserve">. </w:t>
                  </w:r>
                </w:p>
                <w:p w:rsidR="00473813" w:rsidRPr="004B541D" w:rsidRDefault="00473813" w:rsidP="00473813">
                  <w:pPr>
                    <w:spacing w:before="100" w:beforeAutospacing="1" w:after="100" w:afterAutospacing="1" w:line="240" w:lineRule="auto"/>
                    <w:rPr>
                      <w:rFonts w:ascii="Trebuchet MS" w:eastAsia="Times New Roman" w:hAnsi="Trebuchet MS" w:cs="Times New Roman"/>
                      <w:b/>
                      <w:bCs/>
                      <w:color w:val="00B050"/>
                      <w:sz w:val="20"/>
                      <w:szCs w:val="20"/>
                    </w:rPr>
                  </w:pPr>
                  <w:r w:rsidRPr="004B541D">
                    <w:rPr>
                      <w:rFonts w:ascii="Trebuchet MS" w:eastAsia="Times New Roman" w:hAnsi="Trebuchet MS" w:cs="Times New Roman"/>
                      <w:b/>
                      <w:bCs/>
                      <w:color w:val="00B050"/>
                      <w:sz w:val="20"/>
                      <w:szCs w:val="20"/>
                    </w:rPr>
                    <w:t>Mode of investment</w:t>
                  </w:r>
                </w:p>
                <w:p w:rsidR="00473813" w:rsidRPr="00473813" w:rsidRDefault="00473813" w:rsidP="00473813">
                  <w:pPr>
                    <w:spacing w:before="100" w:beforeAutospacing="1" w:after="100" w:afterAutospacing="1"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t xml:space="preserve">Deposits into the PPF account can be made in 12 installments in a financial year. The minimum deposit has to be Rs 500. Investments in NSC are </w:t>
                  </w:r>
                  <w:proofErr w:type="spellStart"/>
                  <w:r w:rsidRPr="00473813">
                    <w:rPr>
                      <w:rFonts w:ascii="Trebuchet MS" w:eastAsia="Times New Roman" w:hAnsi="Trebuchet MS" w:cs="Times New Roman"/>
                      <w:sz w:val="20"/>
                      <w:szCs w:val="20"/>
                    </w:rPr>
                    <w:t>lumpsum</w:t>
                  </w:r>
                  <w:proofErr w:type="spellEnd"/>
                  <w:r w:rsidRPr="00473813">
                    <w:rPr>
                      <w:rFonts w:ascii="Trebuchet MS" w:eastAsia="Times New Roman" w:hAnsi="Trebuchet MS" w:cs="Times New Roman"/>
                      <w:sz w:val="20"/>
                      <w:szCs w:val="20"/>
                    </w:rPr>
                    <w:t xml:space="preserve"> since one has to buy a certificate. The certificates are available in denominations of Rs 100, Rs 500, Rs 1,000, Rs 5,000 or Rs 10,000. So if you want to invest Rs 30,000, you will have to buy 3 certificates of Rs 10,000 each. You can buy these certificates over the year but you pay in </w:t>
                  </w:r>
                  <w:proofErr w:type="spellStart"/>
                  <w:r w:rsidRPr="00473813">
                    <w:rPr>
                      <w:rFonts w:ascii="Trebuchet MS" w:eastAsia="Times New Roman" w:hAnsi="Trebuchet MS" w:cs="Times New Roman"/>
                      <w:sz w:val="20"/>
                      <w:szCs w:val="20"/>
                    </w:rPr>
                    <w:t>lumpsum</w:t>
                  </w:r>
                  <w:proofErr w:type="spellEnd"/>
                  <w:r w:rsidRPr="00473813">
                    <w:rPr>
                      <w:rFonts w:ascii="Trebuchet MS" w:eastAsia="Times New Roman" w:hAnsi="Trebuchet MS" w:cs="Times New Roman"/>
                      <w:sz w:val="20"/>
                      <w:szCs w:val="20"/>
                    </w:rPr>
                    <w:t xml:space="preserve"> for the specific denomination. So if you buy a certificate of Rs 10,000, you pay that amount then and there. </w:t>
                  </w:r>
                </w:p>
                <w:p w:rsidR="00473813" w:rsidRPr="004B541D" w:rsidRDefault="00473813" w:rsidP="00473813">
                  <w:pPr>
                    <w:spacing w:before="100" w:beforeAutospacing="1" w:after="100" w:afterAutospacing="1" w:line="240" w:lineRule="auto"/>
                    <w:rPr>
                      <w:rFonts w:ascii="Trebuchet MS" w:eastAsia="Times New Roman" w:hAnsi="Trebuchet MS" w:cs="Times New Roman"/>
                      <w:b/>
                      <w:bCs/>
                      <w:color w:val="00B050"/>
                      <w:sz w:val="20"/>
                      <w:szCs w:val="20"/>
                    </w:rPr>
                  </w:pPr>
                  <w:r w:rsidRPr="004B541D">
                    <w:rPr>
                      <w:rFonts w:ascii="Trebuchet MS" w:eastAsia="Times New Roman" w:hAnsi="Trebuchet MS" w:cs="Times New Roman"/>
                      <w:b/>
                      <w:bCs/>
                      <w:color w:val="00B050"/>
                      <w:sz w:val="20"/>
                      <w:szCs w:val="20"/>
                    </w:rPr>
                    <w:t>Rate of interest</w:t>
                  </w:r>
                </w:p>
                <w:p w:rsidR="005B6BE0" w:rsidRDefault="00473813" w:rsidP="00473813">
                  <w:pPr>
                    <w:spacing w:before="100" w:beforeAutospacing="1" w:after="100" w:afterAutospacing="1"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t xml:space="preserve">The rate of interest currently for a 5-year </w:t>
                  </w:r>
                  <w:r w:rsidRPr="00473813">
                    <w:rPr>
                      <w:rFonts w:ascii="Trebuchet MS" w:eastAsia="Times New Roman" w:hAnsi="Trebuchet MS" w:cs="Times New Roman"/>
                      <w:color w:val="FF0000"/>
                      <w:sz w:val="20"/>
                      <w:szCs w:val="20"/>
                    </w:rPr>
                    <w:t>NSC certificate is 8.60%</w:t>
                  </w:r>
                  <w:r w:rsidRPr="00473813">
                    <w:rPr>
                      <w:rFonts w:ascii="Trebuchet MS" w:eastAsia="Times New Roman" w:hAnsi="Trebuchet MS" w:cs="Times New Roman"/>
                      <w:sz w:val="20"/>
                      <w:szCs w:val="20"/>
                    </w:rPr>
                    <w:t xml:space="preserve"> and it goes up marginally to 8.90% for a 10-year certificate. This rate is fixed for the entire tenure. The rate of interest in a </w:t>
                  </w:r>
                  <w:r w:rsidRPr="00473813">
                    <w:rPr>
                      <w:rFonts w:ascii="Trebuchet MS" w:eastAsia="Times New Roman" w:hAnsi="Trebuchet MS" w:cs="Times New Roman"/>
                      <w:color w:val="FF0000"/>
                      <w:sz w:val="20"/>
                      <w:szCs w:val="20"/>
                    </w:rPr>
                    <w:t>PPF account</w:t>
                  </w:r>
                  <w:r w:rsidRPr="00473813">
                    <w:rPr>
                      <w:rFonts w:ascii="Trebuchet MS" w:eastAsia="Times New Roman" w:hAnsi="Trebuchet MS" w:cs="Times New Roman"/>
                      <w:sz w:val="20"/>
                      <w:szCs w:val="20"/>
                    </w:rPr>
                    <w:t xml:space="preserve"> changes every financial year starting on April 1. </w:t>
                  </w:r>
                  <w:r w:rsidRPr="00473813">
                    <w:rPr>
                      <w:rFonts w:ascii="Trebuchet MS" w:eastAsia="Times New Roman" w:hAnsi="Trebuchet MS" w:cs="Times New Roman"/>
                      <w:color w:val="FF0000"/>
                      <w:sz w:val="20"/>
                      <w:szCs w:val="20"/>
                    </w:rPr>
                    <w:t>Currently it stands at 8.80%.</w:t>
                  </w:r>
                  <w:r w:rsidRPr="00473813">
                    <w:rPr>
                      <w:rFonts w:ascii="Trebuchet MS" w:eastAsia="Times New Roman" w:hAnsi="Trebuchet MS" w:cs="Times New Roman"/>
                      <w:sz w:val="20"/>
                      <w:szCs w:val="20"/>
                    </w:rPr>
                    <w:t xml:space="preserve"> </w:t>
                  </w:r>
                </w:p>
                <w:p w:rsidR="00473813" w:rsidRPr="00473813" w:rsidRDefault="00473813" w:rsidP="00473813">
                  <w:pPr>
                    <w:spacing w:before="100" w:beforeAutospacing="1" w:after="100" w:afterAutospacing="1"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br/>
                    <w:t xml:space="preserve">However, a crucial differentiating factor is that the rate of interest in the NSC is compounded half yearly while that of PPF is compounded annually. But this one-up in the case of NSC gets nullified by the tax impact. </w:t>
                  </w:r>
                </w:p>
                <w:p w:rsidR="00473813" w:rsidRPr="004B541D" w:rsidRDefault="00473813" w:rsidP="00473813">
                  <w:pPr>
                    <w:spacing w:before="100" w:beforeAutospacing="1" w:after="100" w:afterAutospacing="1" w:line="240" w:lineRule="auto"/>
                    <w:rPr>
                      <w:rFonts w:ascii="Trebuchet MS" w:eastAsia="Times New Roman" w:hAnsi="Trebuchet MS" w:cs="Times New Roman"/>
                      <w:b/>
                      <w:bCs/>
                      <w:color w:val="00B050"/>
                      <w:sz w:val="20"/>
                      <w:szCs w:val="20"/>
                    </w:rPr>
                  </w:pPr>
                  <w:r w:rsidRPr="004B541D">
                    <w:rPr>
                      <w:rFonts w:ascii="Trebuchet MS" w:eastAsia="Times New Roman" w:hAnsi="Trebuchet MS" w:cs="Times New Roman"/>
                      <w:b/>
                      <w:bCs/>
                      <w:color w:val="00B050"/>
                      <w:sz w:val="20"/>
                      <w:szCs w:val="20"/>
                    </w:rPr>
                    <w:t>Tax impact</w:t>
                  </w:r>
                </w:p>
                <w:p w:rsidR="00987184" w:rsidRDefault="00473813" w:rsidP="00473813">
                  <w:pPr>
                    <w:spacing w:before="100" w:beforeAutospacing="1" w:after="100" w:afterAutospacing="1"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t xml:space="preserve">Both these investments fall under Section 80C. That means the investments made under this section are eligible for an income deduction up to a maximum Rs 1 </w:t>
                  </w:r>
                  <w:proofErr w:type="spellStart"/>
                  <w:r w:rsidRPr="00473813">
                    <w:rPr>
                      <w:rFonts w:ascii="Trebuchet MS" w:eastAsia="Times New Roman" w:hAnsi="Trebuchet MS" w:cs="Times New Roman"/>
                      <w:sz w:val="20"/>
                      <w:szCs w:val="20"/>
                    </w:rPr>
                    <w:t>lakh</w:t>
                  </w:r>
                  <w:proofErr w:type="spellEnd"/>
                  <w:r w:rsidRPr="00473813">
                    <w:rPr>
                      <w:rFonts w:ascii="Trebuchet MS" w:eastAsia="Times New Roman" w:hAnsi="Trebuchet MS" w:cs="Times New Roman"/>
                      <w:sz w:val="20"/>
                      <w:szCs w:val="20"/>
                    </w:rPr>
                    <w:t>.</w:t>
                  </w:r>
                </w:p>
                <w:p w:rsidR="00987184" w:rsidRDefault="00473813" w:rsidP="00473813">
                  <w:pPr>
                    <w:spacing w:before="100" w:beforeAutospacing="1" w:after="100" w:afterAutospacing="1"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t xml:space="preserve">In the case of PPF, even the interest earned is tax free. </w:t>
                  </w:r>
                </w:p>
                <w:p w:rsidR="00473813" w:rsidRPr="00473813" w:rsidRDefault="00473813" w:rsidP="00473813">
                  <w:pPr>
                    <w:spacing w:before="100" w:beforeAutospacing="1" w:after="100" w:afterAutospacing="1"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t>Not so in the case of NSC where all interest income is taxable at the respective slab rate of the individual.</w:t>
                  </w:r>
                  <w:r w:rsidR="00987184">
                    <w:rPr>
                      <w:rFonts w:ascii="Trebuchet MS" w:eastAsia="Times New Roman" w:hAnsi="Trebuchet MS" w:cs="Times New Roman"/>
                      <w:sz w:val="20"/>
                      <w:szCs w:val="20"/>
                    </w:rPr>
                    <w:t xml:space="preserve"> </w:t>
                  </w:r>
                  <w:r w:rsidRPr="00473813">
                    <w:rPr>
                      <w:rFonts w:ascii="Trebuchet MS" w:hAnsi="Trebuchet MS"/>
                      <w:sz w:val="20"/>
                      <w:szCs w:val="20"/>
                    </w:rPr>
                    <w:t xml:space="preserve">National Savings Certificate (NSC) is a </w:t>
                  </w:r>
                  <w:r w:rsidR="00E20C38">
                    <w:rPr>
                      <w:rFonts w:ascii="Trebuchet MS" w:hAnsi="Trebuchet MS"/>
                      <w:sz w:val="20"/>
                      <w:szCs w:val="20"/>
                    </w:rPr>
                    <w:t>5</w:t>
                  </w:r>
                  <w:r w:rsidRPr="00473813">
                    <w:rPr>
                      <w:rFonts w:ascii="Trebuchet MS" w:hAnsi="Trebuchet MS"/>
                      <w:sz w:val="20"/>
                      <w:szCs w:val="20"/>
                    </w:rPr>
                    <w:t>-Yr small savings instrument eligible for section 80C tax benefit.  The interest accrued every year is liable to tax (i.e., to be included in your taxable income) but the interest is also deemed to be reinvested and thus eligible for section 80C deduction.</w:t>
                  </w:r>
                </w:p>
                <w:p w:rsidR="00473813" w:rsidRPr="004B541D" w:rsidRDefault="00473813" w:rsidP="00473813">
                  <w:pPr>
                    <w:spacing w:before="100" w:beforeAutospacing="1" w:after="100" w:afterAutospacing="1" w:line="240" w:lineRule="auto"/>
                    <w:rPr>
                      <w:rFonts w:ascii="Trebuchet MS" w:eastAsia="Times New Roman" w:hAnsi="Trebuchet MS" w:cs="Times New Roman"/>
                      <w:b/>
                      <w:bCs/>
                      <w:color w:val="00B050"/>
                      <w:sz w:val="20"/>
                      <w:szCs w:val="20"/>
                    </w:rPr>
                  </w:pPr>
                  <w:r w:rsidRPr="004B541D">
                    <w:rPr>
                      <w:rFonts w:ascii="Trebuchet MS" w:eastAsia="Times New Roman" w:hAnsi="Trebuchet MS" w:cs="Times New Roman"/>
                      <w:b/>
                      <w:bCs/>
                      <w:color w:val="00B050"/>
                      <w:sz w:val="20"/>
                      <w:szCs w:val="20"/>
                    </w:rPr>
                    <w:t>Tenure of investment</w:t>
                  </w:r>
                </w:p>
                <w:p w:rsidR="00473813" w:rsidRPr="00473813" w:rsidRDefault="00473813" w:rsidP="00473813">
                  <w:pPr>
                    <w:spacing w:before="100" w:beforeAutospacing="1" w:after="100" w:afterAutospacing="1"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t xml:space="preserve">In the case of NSC, the certificate can be held for 5 or 10 years. After that it has to be </w:t>
                  </w:r>
                  <w:proofErr w:type="spellStart"/>
                  <w:r w:rsidRPr="00473813">
                    <w:rPr>
                      <w:rFonts w:ascii="Trebuchet MS" w:eastAsia="Times New Roman" w:hAnsi="Trebuchet MS" w:cs="Times New Roman"/>
                      <w:sz w:val="20"/>
                      <w:szCs w:val="20"/>
                    </w:rPr>
                    <w:t>encashed</w:t>
                  </w:r>
                  <w:proofErr w:type="spellEnd"/>
                  <w:r w:rsidRPr="00473813">
                    <w:rPr>
                      <w:rFonts w:ascii="Trebuchet MS" w:eastAsia="Times New Roman" w:hAnsi="Trebuchet MS" w:cs="Times New Roman"/>
                      <w:sz w:val="20"/>
                      <w:szCs w:val="20"/>
                    </w:rPr>
                    <w:t xml:space="preserve">. </w:t>
                  </w:r>
                  <w:r w:rsidRPr="00473813">
                    <w:rPr>
                      <w:rFonts w:ascii="Trebuchet MS" w:eastAsia="Times New Roman" w:hAnsi="Trebuchet MS" w:cs="Times New Roman"/>
                      <w:sz w:val="20"/>
                      <w:szCs w:val="20"/>
                    </w:rPr>
                    <w:br/>
                    <w:t>PPF accounts have to be held for 15 years. So, if you opened it in FY 2006-07, you will be able to withdraw it 15 years later, starting March 31, 2007 (end of that financial year). That is April 1, 2022. So in totality, it goes up to 16 years. Once the 15-year tenure has been completed, the account holder can extend it by a 5-year block.</w:t>
                  </w:r>
                </w:p>
                <w:p w:rsidR="00473813" w:rsidRPr="004B541D" w:rsidRDefault="00473813" w:rsidP="00473813">
                  <w:pPr>
                    <w:spacing w:before="100" w:beforeAutospacing="1" w:after="100" w:afterAutospacing="1" w:line="240" w:lineRule="auto"/>
                    <w:rPr>
                      <w:rFonts w:ascii="Trebuchet MS" w:eastAsia="Times New Roman" w:hAnsi="Trebuchet MS" w:cs="Times New Roman"/>
                      <w:b/>
                      <w:bCs/>
                      <w:color w:val="00B050"/>
                      <w:sz w:val="20"/>
                      <w:szCs w:val="20"/>
                    </w:rPr>
                  </w:pPr>
                  <w:r w:rsidRPr="004B541D">
                    <w:rPr>
                      <w:rFonts w:ascii="Trebuchet MS" w:eastAsia="Times New Roman" w:hAnsi="Trebuchet MS" w:cs="Times New Roman"/>
                      <w:b/>
                      <w:bCs/>
                      <w:color w:val="00B050"/>
                      <w:sz w:val="20"/>
                      <w:szCs w:val="20"/>
                    </w:rPr>
                    <w:t>Liquidity</w:t>
                  </w:r>
                </w:p>
                <w:p w:rsidR="00473813" w:rsidRPr="00473813" w:rsidRDefault="00473813" w:rsidP="00473813">
                  <w:pPr>
                    <w:spacing w:before="100" w:beforeAutospacing="1" w:after="100" w:afterAutospacing="1"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t>Though NSC has a much shorter tenure, the PPF does have some options in case the individual is in dire need of cash. A loan facility is available from the third financial year up to the fifth financial year. Withdrawals are permitted from the sixth financial year onwards.</w:t>
                  </w:r>
                </w:p>
                <w:p w:rsidR="00473813" w:rsidRPr="004B541D" w:rsidRDefault="00473813" w:rsidP="00473813">
                  <w:pPr>
                    <w:spacing w:before="100" w:beforeAutospacing="1" w:after="100" w:afterAutospacing="1" w:line="240" w:lineRule="auto"/>
                    <w:rPr>
                      <w:rFonts w:ascii="Trebuchet MS" w:eastAsia="Times New Roman" w:hAnsi="Trebuchet MS" w:cs="Times New Roman"/>
                      <w:b/>
                      <w:bCs/>
                      <w:color w:val="00B050"/>
                      <w:sz w:val="20"/>
                      <w:szCs w:val="20"/>
                    </w:rPr>
                  </w:pPr>
                  <w:r w:rsidRPr="004B541D">
                    <w:rPr>
                      <w:rFonts w:ascii="Trebuchet MS" w:eastAsia="Times New Roman" w:hAnsi="Trebuchet MS" w:cs="Times New Roman"/>
                      <w:b/>
                      <w:bCs/>
                      <w:color w:val="00B050"/>
                      <w:sz w:val="20"/>
                      <w:szCs w:val="20"/>
                    </w:rPr>
                    <w:t>Safety</w:t>
                  </w:r>
                </w:p>
                <w:p w:rsidR="00473813" w:rsidRPr="00473813" w:rsidRDefault="00473813" w:rsidP="00987184">
                  <w:pPr>
                    <w:spacing w:before="100" w:beforeAutospacing="1" w:after="100" w:afterAutospacing="1" w:line="240" w:lineRule="auto"/>
                    <w:rPr>
                      <w:rFonts w:ascii="Trebuchet MS" w:eastAsia="Times New Roman" w:hAnsi="Trebuchet MS" w:cs="Times New Roman"/>
                      <w:sz w:val="20"/>
                      <w:szCs w:val="20"/>
                    </w:rPr>
                  </w:pPr>
                  <w:r w:rsidRPr="00473813">
                    <w:rPr>
                      <w:rFonts w:ascii="Trebuchet MS" w:eastAsia="Times New Roman" w:hAnsi="Trebuchet MS" w:cs="Times New Roman"/>
                      <w:sz w:val="20"/>
                      <w:szCs w:val="20"/>
                    </w:rPr>
                    <w:t>Since both instruments are backed by the government, safety is not an issue with either of them.</w:t>
                  </w:r>
                </w:p>
              </w:tc>
            </w:tr>
          </w:tbl>
          <w:p w:rsidR="00473813" w:rsidRPr="00473813" w:rsidRDefault="00473813" w:rsidP="00473813">
            <w:pPr>
              <w:spacing w:after="0" w:line="240" w:lineRule="auto"/>
              <w:rPr>
                <w:rFonts w:ascii="Trebuchet MS" w:eastAsia="Times New Roman" w:hAnsi="Trebuchet MS" w:cs="Times New Roman"/>
                <w:sz w:val="20"/>
                <w:szCs w:val="20"/>
              </w:rPr>
            </w:pPr>
          </w:p>
        </w:tc>
      </w:tr>
    </w:tbl>
    <w:p w:rsidR="006178A4" w:rsidRDefault="006178A4" w:rsidP="00987184"/>
    <w:sectPr w:rsidR="006178A4" w:rsidSect="003C6052">
      <w:pgSz w:w="12240" w:h="15840"/>
      <w:pgMar w:top="432" w:right="720" w:bottom="288"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Britannic Bold">
    <w:panose1 w:val="020B0903060703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3813"/>
    <w:rsid w:val="00393BCF"/>
    <w:rsid w:val="003C6052"/>
    <w:rsid w:val="00473813"/>
    <w:rsid w:val="004B541D"/>
    <w:rsid w:val="0052447F"/>
    <w:rsid w:val="005B6BE0"/>
    <w:rsid w:val="006178A4"/>
    <w:rsid w:val="00987184"/>
    <w:rsid w:val="00C26F0B"/>
    <w:rsid w:val="00C46970"/>
    <w:rsid w:val="00D00E7F"/>
    <w:rsid w:val="00D5266C"/>
    <w:rsid w:val="00E20C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8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38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3813"/>
    <w:rPr>
      <w:b/>
      <w:bCs/>
    </w:rPr>
  </w:style>
</w:styles>
</file>

<file path=word/webSettings.xml><?xml version="1.0" encoding="utf-8"?>
<w:webSettings xmlns:r="http://schemas.openxmlformats.org/officeDocument/2006/relationships" xmlns:w="http://schemas.openxmlformats.org/wordprocessingml/2006/main">
  <w:divs>
    <w:div w:id="49842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AB&amp;D</dc:creator>
  <cp:keywords/>
  <dc:description/>
  <cp:lastModifiedBy>AB&amp;D</cp:lastModifiedBy>
  <cp:revision>13</cp:revision>
  <dcterms:created xsi:type="dcterms:W3CDTF">2013-02-24T10:36:00Z</dcterms:created>
  <dcterms:modified xsi:type="dcterms:W3CDTF">2013-02-24T10:49:00Z</dcterms:modified>
</cp:coreProperties>
</file>