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3FD" w:rsidRPr="006663FD" w:rsidRDefault="006663FD" w:rsidP="006663FD">
      <w:pPr>
        <w:pStyle w:val="NormalWeb"/>
        <w:shd w:val="clear" w:color="auto" w:fill="FFFFFF"/>
        <w:spacing w:before="0" w:beforeAutospacing="0" w:after="0" w:afterAutospacing="0" w:line="300" w:lineRule="atLeast"/>
        <w:jc w:val="both"/>
        <w:rPr>
          <w:rFonts w:ascii="Arial" w:hAnsi="Arial" w:cs="Arial"/>
          <w:color w:val="5E5E5E"/>
          <w:sz w:val="32"/>
          <w:szCs w:val="32"/>
        </w:rPr>
      </w:pPr>
      <w:r w:rsidRPr="006663FD">
        <w:rPr>
          <w:rFonts w:ascii="Arial" w:hAnsi="Arial" w:cs="Arial"/>
          <w:color w:val="5E5E5E"/>
          <w:sz w:val="32"/>
          <w:szCs w:val="32"/>
        </w:rPr>
        <w:t>Since, there is no transfer or delivery of the underlying asset in case of futures, the income or loss from it cannot be taxed under the head “capital gains. Therefore, depending upon the fact whether the assessee is a trader or an investor, the head of income — that is, income from business and profession or income from other sources (IFOS) — will be determined, but in either case the income will be taxed on net basis at the</w:t>
      </w:r>
      <w:r w:rsidRPr="006663FD">
        <w:rPr>
          <w:rStyle w:val="ilad"/>
          <w:rFonts w:ascii="Arial" w:hAnsi="Arial" w:cs="Arial"/>
          <w:color w:val="5E5E5E"/>
          <w:sz w:val="32"/>
          <w:szCs w:val="32"/>
        </w:rPr>
        <w:t>rates of</w:t>
      </w:r>
      <w:r w:rsidRPr="006663FD">
        <w:rPr>
          <w:rStyle w:val="apple-converted-space"/>
          <w:rFonts w:ascii="Arial" w:hAnsi="Arial" w:cs="Arial"/>
          <w:color w:val="5E5E5E"/>
          <w:sz w:val="32"/>
          <w:szCs w:val="32"/>
        </w:rPr>
        <w:t> </w:t>
      </w:r>
      <w:r w:rsidRPr="006663FD">
        <w:rPr>
          <w:rFonts w:ascii="Arial" w:hAnsi="Arial" w:cs="Arial"/>
          <w:color w:val="5E5E5E"/>
          <w:sz w:val="32"/>
          <w:szCs w:val="32"/>
        </w:rPr>
        <w:t>tax applicable to the assessee.</w:t>
      </w:r>
    </w:p>
    <w:p w:rsidR="006663FD" w:rsidRPr="006663FD" w:rsidRDefault="006663FD" w:rsidP="006663FD">
      <w:pPr>
        <w:pStyle w:val="NormalWeb"/>
        <w:shd w:val="clear" w:color="auto" w:fill="FFFFFF"/>
        <w:spacing w:before="0" w:beforeAutospacing="0" w:after="0" w:afterAutospacing="0" w:line="300" w:lineRule="atLeast"/>
        <w:jc w:val="both"/>
        <w:rPr>
          <w:rFonts w:ascii="Arial" w:hAnsi="Arial" w:cs="Arial"/>
          <w:color w:val="5E5E5E"/>
          <w:sz w:val="32"/>
          <w:szCs w:val="32"/>
        </w:rPr>
      </w:pPr>
      <w:r w:rsidRPr="006663FD">
        <w:rPr>
          <w:rFonts w:ascii="Arial" w:hAnsi="Arial" w:cs="Arial"/>
          <w:color w:val="5E5E5E"/>
          <w:sz w:val="32"/>
          <w:szCs w:val="32"/>
        </w:rPr>
        <w:t>The</w:t>
      </w:r>
      <w:r w:rsidRPr="006663FD">
        <w:rPr>
          <w:rStyle w:val="apple-converted-space"/>
          <w:rFonts w:ascii="Arial" w:hAnsi="Arial" w:cs="Arial"/>
          <w:color w:val="5E5E5E"/>
          <w:sz w:val="32"/>
          <w:szCs w:val="32"/>
        </w:rPr>
        <w:t> </w:t>
      </w:r>
      <w:r w:rsidRPr="006663FD">
        <w:rPr>
          <w:rStyle w:val="ilad"/>
          <w:rFonts w:ascii="Arial" w:hAnsi="Arial" w:cs="Arial"/>
          <w:color w:val="5E5E5E"/>
          <w:sz w:val="32"/>
          <w:szCs w:val="32"/>
        </w:rPr>
        <w:t>option premium</w:t>
      </w:r>
      <w:r w:rsidRPr="006663FD">
        <w:rPr>
          <w:rStyle w:val="apple-converted-space"/>
          <w:rFonts w:ascii="Arial" w:hAnsi="Arial" w:cs="Arial"/>
          <w:color w:val="5E5E5E"/>
          <w:sz w:val="32"/>
          <w:szCs w:val="32"/>
        </w:rPr>
        <w:t> </w:t>
      </w:r>
      <w:r w:rsidRPr="006663FD">
        <w:rPr>
          <w:rFonts w:ascii="Arial" w:hAnsi="Arial" w:cs="Arial"/>
          <w:color w:val="5E5E5E"/>
          <w:sz w:val="32"/>
          <w:szCs w:val="32"/>
        </w:rPr>
        <w:t>is an income for the writer of the option and a tax-</w:t>
      </w:r>
      <w:r w:rsidRPr="006663FD">
        <w:rPr>
          <w:rStyle w:val="ilad"/>
          <w:rFonts w:ascii="Arial" w:hAnsi="Arial" w:cs="Arial"/>
          <w:color w:val="5E5E5E"/>
          <w:sz w:val="32"/>
          <w:szCs w:val="32"/>
        </w:rPr>
        <w:t>deductible expense</w:t>
      </w:r>
      <w:r w:rsidRPr="006663FD">
        <w:rPr>
          <w:rStyle w:val="apple-converted-space"/>
          <w:rFonts w:ascii="Arial" w:hAnsi="Arial" w:cs="Arial"/>
          <w:color w:val="5E5E5E"/>
          <w:sz w:val="32"/>
          <w:szCs w:val="32"/>
        </w:rPr>
        <w:t> </w:t>
      </w:r>
      <w:r w:rsidRPr="006663FD">
        <w:rPr>
          <w:rFonts w:ascii="Arial" w:hAnsi="Arial" w:cs="Arial"/>
          <w:color w:val="5E5E5E"/>
          <w:sz w:val="32"/>
          <w:szCs w:val="32"/>
        </w:rPr>
        <w:t>in the hands of the buyer of the option. In case of a trader, the taxability of the gains on exercise of the option is akin to that in the case of</w:t>
      </w:r>
      <w:r w:rsidRPr="006663FD">
        <w:rPr>
          <w:rStyle w:val="apple-converted-space"/>
          <w:rFonts w:ascii="Arial" w:hAnsi="Arial" w:cs="Arial"/>
          <w:color w:val="5E5E5E"/>
          <w:sz w:val="32"/>
          <w:szCs w:val="32"/>
        </w:rPr>
        <w:t> </w:t>
      </w:r>
      <w:r w:rsidRPr="006663FD">
        <w:rPr>
          <w:rStyle w:val="ilad"/>
          <w:rFonts w:ascii="Arial" w:hAnsi="Arial" w:cs="Arial"/>
          <w:color w:val="5E5E5E"/>
          <w:sz w:val="32"/>
          <w:szCs w:val="32"/>
        </w:rPr>
        <w:t>futures trading</w:t>
      </w:r>
      <w:r w:rsidRPr="006663FD">
        <w:rPr>
          <w:rFonts w:ascii="Arial" w:hAnsi="Arial" w:cs="Arial"/>
          <w:color w:val="5E5E5E"/>
          <w:sz w:val="32"/>
          <w:szCs w:val="32"/>
        </w:rPr>
        <w:t>.</w:t>
      </w:r>
    </w:p>
    <w:p w:rsidR="006663FD" w:rsidRPr="006663FD" w:rsidRDefault="006663FD" w:rsidP="006663FD">
      <w:pPr>
        <w:pStyle w:val="NormalWeb"/>
        <w:shd w:val="clear" w:color="auto" w:fill="FFFFFF"/>
        <w:spacing w:before="0" w:beforeAutospacing="0" w:after="0" w:afterAutospacing="0" w:line="300" w:lineRule="atLeast"/>
        <w:jc w:val="both"/>
        <w:rPr>
          <w:rFonts w:ascii="Arial" w:hAnsi="Arial" w:cs="Arial"/>
          <w:color w:val="5E5E5E"/>
          <w:sz w:val="32"/>
          <w:szCs w:val="32"/>
        </w:rPr>
      </w:pPr>
      <w:r w:rsidRPr="006663FD">
        <w:rPr>
          <w:rFonts w:ascii="Arial" w:hAnsi="Arial" w:cs="Arial"/>
          <w:color w:val="5E5E5E"/>
          <w:sz w:val="32"/>
          <w:szCs w:val="32"/>
        </w:rPr>
        <w:t>However, in case of an investor, since there is an extinguishment of a right, ”the gain therefrom will be treated as a</w:t>
      </w:r>
      <w:r w:rsidRPr="006663FD">
        <w:rPr>
          <w:rStyle w:val="apple-converted-space"/>
          <w:rFonts w:ascii="Arial" w:hAnsi="Arial" w:cs="Arial"/>
          <w:color w:val="5E5E5E"/>
          <w:sz w:val="32"/>
          <w:szCs w:val="32"/>
        </w:rPr>
        <w:t> </w:t>
      </w:r>
      <w:r w:rsidRPr="006663FD">
        <w:rPr>
          <w:rStyle w:val="ilad"/>
          <w:rFonts w:ascii="Arial" w:hAnsi="Arial" w:cs="Arial"/>
          <w:color w:val="5E5E5E"/>
          <w:sz w:val="32"/>
          <w:szCs w:val="32"/>
        </w:rPr>
        <w:t>capital gain</w:t>
      </w:r>
      <w:r w:rsidRPr="006663FD">
        <w:rPr>
          <w:rFonts w:ascii="Arial" w:hAnsi="Arial" w:cs="Arial"/>
          <w:color w:val="5E5E5E"/>
          <w:sz w:val="32"/>
          <w:szCs w:val="32"/>
        </w:rPr>
        <w:t>, rather than an IFOS, and the premium will be allowed as the cost of acquisition.</w:t>
      </w:r>
    </w:p>
    <w:p w:rsidR="006663FD" w:rsidRDefault="006663FD" w:rsidP="006663FD">
      <w:pPr>
        <w:pStyle w:val="NormalWeb"/>
        <w:shd w:val="clear" w:color="auto" w:fill="FFFFFF"/>
        <w:spacing w:before="0" w:beforeAutospacing="0" w:after="0" w:afterAutospacing="0" w:line="300" w:lineRule="atLeast"/>
        <w:jc w:val="both"/>
        <w:rPr>
          <w:rFonts w:ascii="Arial" w:hAnsi="Arial" w:cs="Arial"/>
          <w:color w:val="5E5E5E"/>
          <w:sz w:val="32"/>
          <w:szCs w:val="32"/>
        </w:rPr>
      </w:pPr>
      <w:r w:rsidRPr="006663FD">
        <w:rPr>
          <w:rStyle w:val="ilad"/>
          <w:rFonts w:ascii="Arial" w:hAnsi="Arial" w:cs="Arial"/>
          <w:color w:val="5E5E5E"/>
          <w:sz w:val="32"/>
          <w:szCs w:val="32"/>
        </w:rPr>
        <w:t>Open interest</w:t>
      </w:r>
      <w:r w:rsidRPr="006663FD">
        <w:rPr>
          <w:rStyle w:val="apple-converted-space"/>
          <w:rFonts w:ascii="Arial" w:hAnsi="Arial" w:cs="Arial"/>
          <w:color w:val="5E5E5E"/>
          <w:sz w:val="32"/>
          <w:szCs w:val="32"/>
        </w:rPr>
        <w:t> </w:t>
      </w:r>
      <w:r w:rsidRPr="006663FD">
        <w:rPr>
          <w:rFonts w:ascii="Arial" w:hAnsi="Arial" w:cs="Arial"/>
          <w:color w:val="5E5E5E"/>
          <w:sz w:val="32"/>
          <w:szCs w:val="32"/>
        </w:rPr>
        <w:t>refers to a situation, wherein on the date of the</w:t>
      </w:r>
      <w:r w:rsidRPr="006663FD">
        <w:rPr>
          <w:rStyle w:val="apple-converted-space"/>
          <w:rFonts w:ascii="Arial" w:hAnsi="Arial" w:cs="Arial"/>
          <w:color w:val="5E5E5E"/>
          <w:sz w:val="32"/>
          <w:szCs w:val="32"/>
        </w:rPr>
        <w:t> </w:t>
      </w:r>
      <w:r w:rsidRPr="006663FD">
        <w:rPr>
          <w:rStyle w:val="ilad"/>
          <w:rFonts w:ascii="Arial" w:hAnsi="Arial" w:cs="Arial"/>
          <w:color w:val="5E5E5E"/>
          <w:sz w:val="32"/>
          <w:szCs w:val="32"/>
        </w:rPr>
        <w:t>financial year end</w:t>
      </w:r>
      <w:r w:rsidRPr="006663FD">
        <w:rPr>
          <w:rFonts w:ascii="Arial" w:hAnsi="Arial" w:cs="Arial"/>
          <w:color w:val="5E5E5E"/>
          <w:sz w:val="32"/>
          <w:szCs w:val="32"/>
        </w:rPr>
        <w:t>, there are outstanding</w:t>
      </w:r>
      <w:r w:rsidRPr="006663FD">
        <w:rPr>
          <w:rStyle w:val="apple-converted-space"/>
          <w:rFonts w:ascii="Arial" w:hAnsi="Arial" w:cs="Arial"/>
          <w:color w:val="5E5E5E"/>
          <w:sz w:val="32"/>
          <w:szCs w:val="32"/>
        </w:rPr>
        <w:t> </w:t>
      </w:r>
      <w:r w:rsidRPr="006663FD">
        <w:rPr>
          <w:rStyle w:val="ilad"/>
          <w:rFonts w:ascii="Arial" w:hAnsi="Arial" w:cs="Arial"/>
          <w:color w:val="5E5E5E"/>
          <w:sz w:val="32"/>
          <w:szCs w:val="32"/>
        </w:rPr>
        <w:t>derivatives contracts</w:t>
      </w:r>
      <w:r w:rsidRPr="006663FD">
        <w:rPr>
          <w:rStyle w:val="apple-converted-space"/>
          <w:rFonts w:ascii="Arial" w:hAnsi="Arial" w:cs="Arial"/>
          <w:color w:val="5E5E5E"/>
          <w:sz w:val="32"/>
          <w:szCs w:val="32"/>
        </w:rPr>
        <w:t> </w:t>
      </w:r>
      <w:r w:rsidRPr="006663FD">
        <w:rPr>
          <w:rFonts w:ascii="Arial" w:hAnsi="Arial" w:cs="Arial"/>
          <w:color w:val="5E5E5E"/>
          <w:sz w:val="32"/>
          <w:szCs w:val="32"/>
        </w:rPr>
        <w:t>in the hands of</w:t>
      </w:r>
      <w:r w:rsidRPr="006663FD">
        <w:rPr>
          <w:rStyle w:val="apple-converted-space"/>
          <w:rFonts w:ascii="Arial" w:hAnsi="Arial" w:cs="Arial"/>
          <w:color w:val="5E5E5E"/>
          <w:sz w:val="32"/>
          <w:szCs w:val="32"/>
        </w:rPr>
        <w:t> </w:t>
      </w:r>
      <w:r w:rsidRPr="006663FD">
        <w:rPr>
          <w:rStyle w:val="ilad"/>
          <w:rFonts w:ascii="Arial" w:hAnsi="Arial" w:cs="Arial"/>
          <w:color w:val="5E5E5E"/>
          <w:sz w:val="32"/>
          <w:szCs w:val="32"/>
        </w:rPr>
        <w:t>the market</w:t>
      </w:r>
      <w:r w:rsidRPr="006663FD">
        <w:rPr>
          <w:rStyle w:val="apple-converted-space"/>
          <w:rFonts w:ascii="Arial" w:hAnsi="Arial" w:cs="Arial"/>
          <w:color w:val="5E5E5E"/>
          <w:sz w:val="32"/>
          <w:szCs w:val="32"/>
        </w:rPr>
        <w:t> </w:t>
      </w:r>
      <w:r w:rsidRPr="006663FD">
        <w:rPr>
          <w:rFonts w:ascii="Arial" w:hAnsi="Arial" w:cs="Arial"/>
          <w:color w:val="5E5E5E"/>
          <w:sz w:val="32"/>
          <w:szCs w:val="32"/>
        </w:rPr>
        <w:t>participants. Since, under the prudent accounting principles,</w:t>
      </w:r>
      <w:r w:rsidRPr="006663FD">
        <w:rPr>
          <w:rStyle w:val="apple-converted-space"/>
          <w:rFonts w:ascii="Arial" w:hAnsi="Arial" w:cs="Arial"/>
          <w:color w:val="5E5E5E"/>
          <w:sz w:val="32"/>
          <w:szCs w:val="32"/>
        </w:rPr>
        <w:t> </w:t>
      </w:r>
      <w:r w:rsidRPr="006663FD">
        <w:rPr>
          <w:rFonts w:ascii="Arial" w:hAnsi="Arial" w:cs="Arial"/>
          <w:color w:val="5E5E5E"/>
          <w:sz w:val="32"/>
          <w:szCs w:val="32"/>
        </w:rPr>
        <w:t>derivatives contracts</w:t>
      </w:r>
      <w:r w:rsidRPr="006663FD">
        <w:rPr>
          <w:rStyle w:val="apple-converted-space"/>
          <w:rFonts w:ascii="Arial" w:hAnsi="Arial" w:cs="Arial"/>
          <w:color w:val="5E5E5E"/>
          <w:sz w:val="32"/>
          <w:szCs w:val="32"/>
        </w:rPr>
        <w:t> </w:t>
      </w:r>
      <w:r w:rsidRPr="006663FD">
        <w:rPr>
          <w:rFonts w:ascii="Arial" w:hAnsi="Arial" w:cs="Arial"/>
          <w:color w:val="5E5E5E"/>
          <w:sz w:val="32"/>
          <w:szCs w:val="32"/>
        </w:rPr>
        <w:t>are marked-to-market (MTM), there can be unrealised MTM gains or losses prevailing as on March 31.</w:t>
      </w:r>
    </w:p>
    <w:p w:rsidR="006663FD" w:rsidRDefault="006663FD" w:rsidP="006663FD">
      <w:pPr>
        <w:pStyle w:val="NormalWeb"/>
        <w:shd w:val="clear" w:color="auto" w:fill="FFFFFF"/>
        <w:spacing w:before="0" w:beforeAutospacing="0" w:after="0" w:afterAutospacing="0" w:line="300" w:lineRule="atLeast"/>
        <w:jc w:val="both"/>
        <w:rPr>
          <w:rFonts w:ascii="Arial" w:hAnsi="Arial" w:cs="Arial"/>
          <w:color w:val="5E5E5E"/>
          <w:sz w:val="32"/>
          <w:szCs w:val="32"/>
        </w:rPr>
      </w:pPr>
      <w:r w:rsidRPr="006663FD">
        <w:rPr>
          <w:rFonts w:ascii="Arial" w:hAnsi="Arial" w:cs="Arial"/>
          <w:color w:val="5E5E5E"/>
          <w:sz w:val="32"/>
          <w:szCs w:val="32"/>
        </w:rPr>
        <w:t xml:space="preserve"> Whether the assessee will be liable to tax on the gains or take the benefit of the losses in such a case.</w:t>
      </w:r>
    </w:p>
    <w:p w:rsidR="006663FD" w:rsidRPr="006663FD" w:rsidRDefault="006663FD" w:rsidP="006663FD">
      <w:pPr>
        <w:pStyle w:val="NormalWeb"/>
        <w:shd w:val="clear" w:color="auto" w:fill="FFFFFF"/>
        <w:spacing w:before="0" w:beforeAutospacing="0" w:after="0" w:afterAutospacing="0" w:line="300" w:lineRule="atLeast"/>
        <w:jc w:val="both"/>
        <w:rPr>
          <w:rFonts w:ascii="Arial" w:hAnsi="Arial" w:cs="Arial"/>
          <w:color w:val="5E5E5E"/>
          <w:sz w:val="32"/>
          <w:szCs w:val="32"/>
        </w:rPr>
      </w:pPr>
    </w:p>
    <w:p w:rsidR="006663FD" w:rsidRPr="006663FD" w:rsidRDefault="006663FD" w:rsidP="006663FD">
      <w:pPr>
        <w:pStyle w:val="NormalWeb"/>
        <w:shd w:val="clear" w:color="auto" w:fill="FFFFFF"/>
        <w:spacing w:before="0" w:beforeAutospacing="0" w:after="0" w:afterAutospacing="0" w:line="300" w:lineRule="atLeast"/>
        <w:jc w:val="both"/>
        <w:rPr>
          <w:rFonts w:ascii="Arial" w:hAnsi="Arial" w:cs="Arial"/>
          <w:color w:val="5E5E5E"/>
          <w:sz w:val="32"/>
          <w:szCs w:val="32"/>
        </w:rPr>
      </w:pPr>
      <w:r w:rsidRPr="006663FD">
        <w:rPr>
          <w:rFonts w:ascii="Arial" w:hAnsi="Arial" w:cs="Arial"/>
          <w:color w:val="5E5E5E"/>
          <w:sz w:val="32"/>
          <w:szCs w:val="32"/>
        </w:rPr>
        <w:t>Only</w:t>
      </w:r>
      <w:r w:rsidRPr="006663FD">
        <w:rPr>
          <w:rStyle w:val="apple-converted-space"/>
          <w:rFonts w:ascii="Arial" w:hAnsi="Arial" w:cs="Arial"/>
          <w:color w:val="5E5E5E"/>
          <w:sz w:val="32"/>
          <w:szCs w:val="32"/>
        </w:rPr>
        <w:t> </w:t>
      </w:r>
      <w:r w:rsidRPr="006663FD">
        <w:rPr>
          <w:rStyle w:val="ilad"/>
          <w:rFonts w:ascii="Arial" w:hAnsi="Arial" w:cs="Arial"/>
          <w:color w:val="5E5E5E"/>
          <w:sz w:val="32"/>
          <w:szCs w:val="32"/>
        </w:rPr>
        <w:t>real income</w:t>
      </w:r>
      <w:r w:rsidRPr="006663FD">
        <w:rPr>
          <w:rFonts w:ascii="Arial" w:hAnsi="Arial" w:cs="Arial"/>
          <w:color w:val="5E5E5E"/>
          <w:sz w:val="32"/>
          <w:szCs w:val="32"/>
        </w:rPr>
        <w:t>/loss attracts tax provisions and not the notional gains/losses. However, in certain judicial decisions notional losses have also been allowed as a</w:t>
      </w:r>
      <w:r w:rsidRPr="006663FD">
        <w:rPr>
          <w:rStyle w:val="apple-converted-space"/>
          <w:rFonts w:ascii="Arial" w:hAnsi="Arial" w:cs="Arial"/>
          <w:color w:val="5E5E5E"/>
          <w:sz w:val="32"/>
          <w:szCs w:val="32"/>
        </w:rPr>
        <w:t> </w:t>
      </w:r>
      <w:r w:rsidRPr="006663FD">
        <w:rPr>
          <w:rFonts w:ascii="Arial" w:hAnsi="Arial" w:cs="Arial"/>
          <w:color w:val="5E5E5E"/>
          <w:sz w:val="32"/>
          <w:szCs w:val="32"/>
        </w:rPr>
        <w:t>deductible expense. Nevertheless, this is one area which can attract litigative exercise.</w:t>
      </w:r>
    </w:p>
    <w:p w:rsidR="006663FD" w:rsidRPr="006663FD" w:rsidRDefault="006663FD" w:rsidP="006663FD">
      <w:pPr>
        <w:pStyle w:val="NormalWeb"/>
        <w:shd w:val="clear" w:color="auto" w:fill="FFFFFF"/>
        <w:spacing w:before="0" w:beforeAutospacing="0" w:after="0" w:afterAutospacing="0" w:line="300" w:lineRule="atLeast"/>
        <w:jc w:val="both"/>
        <w:rPr>
          <w:rFonts w:ascii="Arial" w:hAnsi="Arial" w:cs="Arial"/>
          <w:color w:val="5E5E5E"/>
          <w:sz w:val="32"/>
          <w:szCs w:val="32"/>
        </w:rPr>
      </w:pPr>
      <w:r w:rsidRPr="006663FD">
        <w:rPr>
          <w:rFonts w:ascii="Arial" w:hAnsi="Arial" w:cs="Arial"/>
          <w:color w:val="5E5E5E"/>
          <w:sz w:val="32"/>
          <w:szCs w:val="32"/>
        </w:rPr>
        <w:t>With the insertion of Section 43(5)(d), eligible transactions on notified stock exchanges have been rendered non-speculative in nature. So far only BSE, NSE and MCX-SX have been notified for this purpose. Therefore,</w:t>
      </w:r>
      <w:r w:rsidRPr="006663FD">
        <w:rPr>
          <w:rStyle w:val="apple-converted-space"/>
          <w:rFonts w:ascii="Arial" w:hAnsi="Arial" w:cs="Arial"/>
          <w:color w:val="5E5E5E"/>
          <w:sz w:val="32"/>
          <w:szCs w:val="32"/>
        </w:rPr>
        <w:t> </w:t>
      </w:r>
      <w:r w:rsidRPr="006663FD">
        <w:rPr>
          <w:rStyle w:val="ilad"/>
          <w:rFonts w:ascii="Arial" w:hAnsi="Arial" w:cs="Arial"/>
          <w:color w:val="5E5E5E"/>
          <w:sz w:val="32"/>
          <w:szCs w:val="32"/>
        </w:rPr>
        <w:t>trading in commodity</w:t>
      </w:r>
      <w:r w:rsidRPr="006663FD">
        <w:rPr>
          <w:rStyle w:val="apple-converted-space"/>
          <w:rFonts w:ascii="Arial" w:hAnsi="Arial" w:cs="Arial"/>
          <w:color w:val="5E5E5E"/>
          <w:sz w:val="32"/>
          <w:szCs w:val="32"/>
        </w:rPr>
        <w:t> </w:t>
      </w:r>
      <w:r w:rsidRPr="006663FD">
        <w:rPr>
          <w:rFonts w:ascii="Arial" w:hAnsi="Arial" w:cs="Arial"/>
          <w:color w:val="5E5E5E"/>
          <w:sz w:val="32"/>
          <w:szCs w:val="32"/>
        </w:rPr>
        <w:t>and</w:t>
      </w:r>
      <w:r w:rsidRPr="006663FD">
        <w:rPr>
          <w:rStyle w:val="apple-converted-space"/>
          <w:rFonts w:ascii="Arial" w:hAnsi="Arial" w:cs="Arial"/>
          <w:color w:val="5E5E5E"/>
          <w:sz w:val="32"/>
          <w:szCs w:val="32"/>
        </w:rPr>
        <w:t> </w:t>
      </w:r>
      <w:r w:rsidRPr="006663FD">
        <w:rPr>
          <w:rStyle w:val="ilad"/>
          <w:rFonts w:ascii="Arial" w:hAnsi="Arial" w:cs="Arial"/>
          <w:color w:val="5E5E5E"/>
          <w:sz w:val="32"/>
          <w:szCs w:val="32"/>
        </w:rPr>
        <w:t>equity derivatives</w:t>
      </w:r>
      <w:r w:rsidRPr="006663FD">
        <w:rPr>
          <w:rStyle w:val="apple-converted-space"/>
          <w:rFonts w:ascii="Arial" w:hAnsi="Arial" w:cs="Arial"/>
          <w:color w:val="5E5E5E"/>
          <w:sz w:val="32"/>
          <w:szCs w:val="32"/>
        </w:rPr>
        <w:t> </w:t>
      </w:r>
      <w:r w:rsidRPr="006663FD">
        <w:rPr>
          <w:rFonts w:ascii="Arial" w:hAnsi="Arial" w:cs="Arial"/>
          <w:color w:val="5E5E5E"/>
          <w:sz w:val="32"/>
          <w:szCs w:val="32"/>
        </w:rPr>
        <w:t xml:space="preserve">traded on stock exchanges other than those mentioned above, is still treated as speculative, the loss </w:t>
      </w:r>
      <w:r w:rsidRPr="006663FD">
        <w:rPr>
          <w:rFonts w:ascii="Arial" w:hAnsi="Arial" w:cs="Arial"/>
          <w:color w:val="5E5E5E"/>
          <w:sz w:val="32"/>
          <w:szCs w:val="32"/>
        </w:rPr>
        <w:lastRenderedPageBreak/>
        <w:t>wherefrom cannot be adjusted against any other sources of income.Losses from derivatives are eligible to be carried forward for a period of four years.</w:t>
      </w:r>
    </w:p>
    <w:p w:rsidR="009A065F" w:rsidRPr="006663FD" w:rsidRDefault="009A065F">
      <w:pPr>
        <w:rPr>
          <w:sz w:val="32"/>
          <w:szCs w:val="32"/>
        </w:rPr>
      </w:pPr>
    </w:p>
    <w:sectPr w:rsidR="009A065F" w:rsidRPr="006663FD" w:rsidSect="006663FD">
      <w:headerReference w:type="default" r:id="rId6"/>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065F" w:rsidRDefault="009A065F" w:rsidP="006663FD">
      <w:pPr>
        <w:spacing w:after="0" w:line="240" w:lineRule="auto"/>
      </w:pPr>
      <w:r>
        <w:separator/>
      </w:r>
    </w:p>
  </w:endnote>
  <w:endnote w:type="continuationSeparator" w:id="1">
    <w:p w:rsidR="009A065F" w:rsidRDefault="009A065F" w:rsidP="006663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065F" w:rsidRDefault="009A065F" w:rsidP="006663FD">
      <w:pPr>
        <w:spacing w:after="0" w:line="240" w:lineRule="auto"/>
      </w:pPr>
      <w:r>
        <w:separator/>
      </w:r>
    </w:p>
  </w:footnote>
  <w:footnote w:type="continuationSeparator" w:id="1">
    <w:p w:rsidR="009A065F" w:rsidRDefault="009A065F" w:rsidP="006663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82F5966DDC6E4F149AEE1ECBE9A97058"/>
      </w:placeholder>
      <w:dataBinding w:prefixMappings="xmlns:ns0='http://schemas.openxmlformats.org/package/2006/metadata/core-properties' xmlns:ns1='http://purl.org/dc/elements/1.1/'" w:xpath="/ns0:coreProperties[1]/ns1:title[1]" w:storeItemID="{6C3C8BC8-F283-45AE-878A-BAB7291924A1}"/>
      <w:text/>
    </w:sdtPr>
    <w:sdtContent>
      <w:p w:rsidR="006663FD" w:rsidRDefault="006663FD">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TAXATION  ON DERIVATIVES </w:t>
        </w:r>
      </w:p>
    </w:sdtContent>
  </w:sdt>
  <w:p w:rsidR="006663FD" w:rsidRDefault="006663F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6663FD"/>
    <w:rsid w:val="006663FD"/>
    <w:rsid w:val="009A06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63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
    <w:name w:val="il_ad"/>
    <w:basedOn w:val="DefaultParagraphFont"/>
    <w:rsid w:val="006663FD"/>
  </w:style>
  <w:style w:type="character" w:customStyle="1" w:styleId="apple-converted-space">
    <w:name w:val="apple-converted-space"/>
    <w:basedOn w:val="DefaultParagraphFont"/>
    <w:rsid w:val="006663FD"/>
  </w:style>
  <w:style w:type="paragraph" w:styleId="Header">
    <w:name w:val="header"/>
    <w:basedOn w:val="Normal"/>
    <w:link w:val="HeaderChar"/>
    <w:uiPriority w:val="99"/>
    <w:unhideWhenUsed/>
    <w:rsid w:val="006663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3FD"/>
  </w:style>
  <w:style w:type="paragraph" w:styleId="Footer">
    <w:name w:val="footer"/>
    <w:basedOn w:val="Normal"/>
    <w:link w:val="FooterChar"/>
    <w:uiPriority w:val="99"/>
    <w:semiHidden/>
    <w:unhideWhenUsed/>
    <w:rsid w:val="006663F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663FD"/>
  </w:style>
  <w:style w:type="paragraph" w:styleId="BalloonText">
    <w:name w:val="Balloon Text"/>
    <w:basedOn w:val="Normal"/>
    <w:link w:val="BalloonTextChar"/>
    <w:uiPriority w:val="99"/>
    <w:semiHidden/>
    <w:unhideWhenUsed/>
    <w:rsid w:val="006663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3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896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2F5966DDC6E4F149AEE1ECBE9A97058"/>
        <w:category>
          <w:name w:val="General"/>
          <w:gallery w:val="placeholder"/>
        </w:category>
        <w:types>
          <w:type w:val="bbPlcHdr"/>
        </w:types>
        <w:behaviors>
          <w:behavior w:val="content"/>
        </w:behaviors>
        <w:guid w:val="{B3805A52-D678-4C9E-BDA6-AAF1B6B5F0DE}"/>
      </w:docPartPr>
      <w:docPartBody>
        <w:p w:rsidR="00000000" w:rsidRDefault="00CF222D" w:rsidP="00CF222D">
          <w:pPr>
            <w:pStyle w:val="82F5966DDC6E4F149AEE1ECBE9A97058"/>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F222D"/>
    <w:rsid w:val="003E4EF4"/>
    <w:rsid w:val="00CF22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F5966DDC6E4F149AEE1ECBE9A97058">
    <w:name w:val="82F5966DDC6E4F149AEE1ECBE9A97058"/>
    <w:rsid w:val="00CF222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321</Words>
  <Characters>1832</Characters>
  <Application>Microsoft Office Word</Application>
  <DocSecurity>0</DocSecurity>
  <Lines>15</Lines>
  <Paragraphs>4</Paragraphs>
  <ScaleCrop>false</ScaleCrop>
  <Company>The Institute Of Computer Accountants</Company>
  <LinksUpToDate>false</LinksUpToDate>
  <CharactersWithSpaces>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TAXATION  ON DERIVATIVES </dc:title>
  <dc:subject/>
  <dc:creator>ICA</dc:creator>
  <cp:keywords/>
  <dc:description/>
  <cp:lastModifiedBy>ICA</cp:lastModifiedBy>
  <cp:revision>2</cp:revision>
  <dcterms:created xsi:type="dcterms:W3CDTF">2013-02-22T05:10:00Z</dcterms:created>
  <dcterms:modified xsi:type="dcterms:W3CDTF">2013-02-22T05:12:00Z</dcterms:modified>
</cp:coreProperties>
</file>