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1C2" w:rsidRPr="007061C2" w:rsidRDefault="001A634B" w:rsidP="007061C2">
      <w:pPr>
        <w:spacing w:after="0"/>
        <w:jc w:val="center"/>
        <w:rPr>
          <w:rFonts w:ascii="Times New Roman" w:hAnsi="Times New Roman" w:cs="Times New Roman"/>
          <w:b/>
          <w:sz w:val="44"/>
          <w:szCs w:val="24"/>
          <w:highlight w:val="yellow"/>
        </w:rPr>
      </w:pPr>
      <w:r w:rsidRPr="007061C2">
        <w:rPr>
          <w:rFonts w:ascii="Times New Roman" w:hAnsi="Times New Roman" w:cs="Times New Roman"/>
          <w:b/>
          <w:sz w:val="44"/>
          <w:szCs w:val="24"/>
          <w:highlight w:val="yellow"/>
          <w:u w:val="single"/>
        </w:rPr>
        <w:t>SECTION 50-B</w:t>
      </w:r>
    </w:p>
    <w:p w:rsidR="00EA07E0" w:rsidRPr="007061C2" w:rsidRDefault="001A634B" w:rsidP="007061C2">
      <w:pPr>
        <w:jc w:val="center"/>
        <w:rPr>
          <w:rFonts w:ascii="Times New Roman" w:hAnsi="Times New Roman" w:cs="Times New Roman"/>
          <w:b/>
          <w:sz w:val="44"/>
          <w:szCs w:val="24"/>
        </w:rPr>
      </w:pPr>
      <w:r w:rsidRPr="007061C2">
        <w:rPr>
          <w:rFonts w:ascii="Times New Roman" w:hAnsi="Times New Roman" w:cs="Times New Roman"/>
          <w:b/>
          <w:sz w:val="44"/>
          <w:szCs w:val="24"/>
          <w:highlight w:val="yellow"/>
          <w:u w:val="single"/>
        </w:rPr>
        <w:t>CALCULATION OF CAPITAL GAIN IN</w:t>
      </w:r>
      <w:r w:rsidR="002E71FB" w:rsidRPr="007061C2">
        <w:rPr>
          <w:rFonts w:ascii="Times New Roman" w:hAnsi="Times New Roman" w:cs="Times New Roman"/>
          <w:b/>
          <w:sz w:val="44"/>
          <w:szCs w:val="24"/>
          <w:highlight w:val="yellow"/>
          <w:u w:val="single"/>
        </w:rPr>
        <w:t xml:space="preserve"> </w:t>
      </w:r>
      <w:r w:rsidRPr="007061C2">
        <w:rPr>
          <w:rFonts w:ascii="Times New Roman" w:hAnsi="Times New Roman" w:cs="Times New Roman"/>
          <w:b/>
          <w:sz w:val="44"/>
          <w:szCs w:val="24"/>
          <w:highlight w:val="yellow"/>
          <w:u w:val="single"/>
        </w:rPr>
        <w:t>CASE OF SLUMPSALE</w:t>
      </w:r>
      <w:r w:rsidRPr="007061C2">
        <w:rPr>
          <w:rFonts w:ascii="Times New Roman" w:hAnsi="Times New Roman" w:cs="Times New Roman"/>
          <w:b/>
          <w:sz w:val="44"/>
          <w:szCs w:val="24"/>
          <w:highlight w:val="yellow"/>
        </w:rPr>
        <w:t>: (</w:t>
      </w:r>
      <w:proofErr w:type="spellStart"/>
      <w:r w:rsidRPr="007061C2">
        <w:rPr>
          <w:rFonts w:ascii="Times New Roman" w:hAnsi="Times New Roman" w:cs="Times New Roman"/>
          <w:b/>
          <w:sz w:val="44"/>
          <w:szCs w:val="24"/>
          <w:highlight w:val="yellow"/>
        </w:rPr>
        <w:t>w.e.f</w:t>
      </w:r>
      <w:proofErr w:type="spellEnd"/>
      <w:r w:rsidRPr="007061C2">
        <w:rPr>
          <w:rFonts w:ascii="Times New Roman" w:hAnsi="Times New Roman" w:cs="Times New Roman"/>
          <w:b/>
          <w:sz w:val="44"/>
          <w:szCs w:val="24"/>
          <w:highlight w:val="yellow"/>
        </w:rPr>
        <w:t>. A.Y.  2000-01)</w:t>
      </w:r>
    </w:p>
    <w:p w:rsidR="001A634B" w:rsidRDefault="002E71FB" w:rsidP="00F1157E">
      <w:pPr>
        <w:spacing w:after="0" w:line="240" w:lineRule="auto"/>
        <w:rPr>
          <w:sz w:val="18"/>
          <w:szCs w:val="18"/>
        </w:rPr>
      </w:pPr>
      <w:r>
        <w:rPr>
          <w:sz w:val="18"/>
          <w:szCs w:val="18"/>
        </w:rPr>
        <w:t xml:space="preserve">        Slump Sale means a situation where taxpayer sells or transfers the entire Unit/Undertaking/Division for a lump sum amount, without assigning the value or selling price to each individual asset. </w:t>
      </w:r>
    </w:p>
    <w:p w:rsidR="002E71FB" w:rsidRDefault="002E71FB">
      <w:pPr>
        <w:rPr>
          <w:sz w:val="18"/>
          <w:szCs w:val="18"/>
        </w:rPr>
      </w:pPr>
      <w:r>
        <w:rPr>
          <w:sz w:val="18"/>
          <w:szCs w:val="18"/>
        </w:rPr>
        <w:t xml:space="preserve">      According to section 2(42C),  “Slump Sale” means ‘Transfer of one or more Undertakings as a result of the sale for a </w:t>
      </w:r>
      <w:proofErr w:type="spellStart"/>
      <w:r>
        <w:rPr>
          <w:sz w:val="18"/>
          <w:szCs w:val="18"/>
        </w:rPr>
        <w:t>lumpsum</w:t>
      </w:r>
      <w:proofErr w:type="spellEnd"/>
      <w:r>
        <w:rPr>
          <w:sz w:val="18"/>
          <w:szCs w:val="18"/>
        </w:rPr>
        <w:t xml:space="preserve"> consideration without values being assigned to the individual assets and liabilities.</w:t>
      </w:r>
    </w:p>
    <w:p w:rsidR="002E71FB" w:rsidRDefault="002E71FB">
      <w:pPr>
        <w:rPr>
          <w:sz w:val="18"/>
          <w:szCs w:val="18"/>
        </w:rPr>
      </w:pPr>
      <w:r>
        <w:rPr>
          <w:sz w:val="18"/>
          <w:szCs w:val="18"/>
        </w:rPr>
        <w:t xml:space="preserve">    The Capital Gain / Loss in case of slump sale will be computed as follows:</w:t>
      </w:r>
    </w:p>
    <w:p w:rsidR="002E71FB" w:rsidRDefault="002E71FB" w:rsidP="00F1157E">
      <w:pPr>
        <w:spacing w:after="0" w:line="240" w:lineRule="auto"/>
        <w:rPr>
          <w:sz w:val="18"/>
          <w:szCs w:val="18"/>
        </w:rPr>
      </w:pPr>
      <w:r>
        <w:rPr>
          <w:sz w:val="18"/>
          <w:szCs w:val="18"/>
        </w:rPr>
        <w:t>(1.)</w:t>
      </w:r>
      <w:r w:rsidR="00F1157E">
        <w:rPr>
          <w:sz w:val="18"/>
          <w:szCs w:val="18"/>
        </w:rPr>
        <w:t>Whether the capital gain / loss is short term or long term will depend upon the period of holding of the undertaking which is being sold and not on the period of holding of each individual asset.</w:t>
      </w:r>
    </w:p>
    <w:p w:rsidR="00F1157E" w:rsidRPr="00F1157E" w:rsidRDefault="00F1157E" w:rsidP="00F1157E">
      <w:pPr>
        <w:pStyle w:val="ListParagraph"/>
        <w:numPr>
          <w:ilvl w:val="0"/>
          <w:numId w:val="1"/>
        </w:numPr>
        <w:spacing w:after="0" w:line="240" w:lineRule="auto"/>
        <w:rPr>
          <w:sz w:val="18"/>
          <w:szCs w:val="18"/>
        </w:rPr>
      </w:pPr>
      <w:r>
        <w:rPr>
          <w:sz w:val="18"/>
          <w:szCs w:val="18"/>
        </w:rPr>
        <w:t xml:space="preserve">If the period of holding of the undertaking is </w:t>
      </w:r>
      <w:r w:rsidRPr="00F1157E">
        <w:rPr>
          <w:b/>
          <w:sz w:val="18"/>
          <w:szCs w:val="18"/>
        </w:rPr>
        <w:t>more than 36 months</w:t>
      </w:r>
      <w:r>
        <w:rPr>
          <w:sz w:val="18"/>
          <w:szCs w:val="18"/>
        </w:rPr>
        <w:t xml:space="preserve"> </w:t>
      </w:r>
      <w:r w:rsidRPr="00F1157E">
        <w:rPr>
          <w:sz w:val="18"/>
          <w:szCs w:val="18"/>
        </w:rPr>
        <w:sym w:font="Wingdings" w:char="F0E0"/>
      </w:r>
      <w:r>
        <w:rPr>
          <w:sz w:val="18"/>
          <w:szCs w:val="18"/>
        </w:rPr>
        <w:t xml:space="preserve"> then gain/loss will be </w:t>
      </w:r>
      <w:r w:rsidRPr="00F1157E">
        <w:rPr>
          <w:b/>
          <w:sz w:val="18"/>
          <w:szCs w:val="18"/>
        </w:rPr>
        <w:t>Long term</w:t>
      </w:r>
    </w:p>
    <w:p w:rsidR="00F1157E" w:rsidRPr="00F1157E" w:rsidRDefault="00F1157E" w:rsidP="00F1157E">
      <w:pPr>
        <w:pStyle w:val="ListParagraph"/>
        <w:numPr>
          <w:ilvl w:val="0"/>
          <w:numId w:val="1"/>
        </w:numPr>
        <w:spacing w:after="0" w:line="240" w:lineRule="auto"/>
        <w:rPr>
          <w:sz w:val="18"/>
          <w:szCs w:val="18"/>
        </w:rPr>
      </w:pPr>
      <w:r>
        <w:rPr>
          <w:sz w:val="18"/>
          <w:szCs w:val="18"/>
        </w:rPr>
        <w:t xml:space="preserve">If the period of holding of the undertaking is </w:t>
      </w:r>
      <w:proofErr w:type="spellStart"/>
      <w:r>
        <w:rPr>
          <w:sz w:val="18"/>
          <w:szCs w:val="18"/>
        </w:rPr>
        <w:t>upto</w:t>
      </w:r>
      <w:proofErr w:type="spellEnd"/>
      <w:r>
        <w:rPr>
          <w:sz w:val="18"/>
          <w:szCs w:val="18"/>
        </w:rPr>
        <w:t xml:space="preserve"> </w:t>
      </w:r>
      <w:r w:rsidRPr="00F1157E">
        <w:rPr>
          <w:b/>
          <w:sz w:val="18"/>
          <w:szCs w:val="18"/>
        </w:rPr>
        <w:t>36 months</w:t>
      </w:r>
      <w:r>
        <w:rPr>
          <w:sz w:val="18"/>
          <w:szCs w:val="18"/>
        </w:rPr>
        <w:t xml:space="preserve"> </w:t>
      </w:r>
      <w:r w:rsidRPr="00F1157E">
        <w:rPr>
          <w:sz w:val="18"/>
          <w:szCs w:val="18"/>
        </w:rPr>
        <w:sym w:font="Wingdings" w:char="F0E0"/>
      </w:r>
      <w:r>
        <w:rPr>
          <w:sz w:val="18"/>
          <w:szCs w:val="18"/>
        </w:rPr>
        <w:t xml:space="preserve"> then gain/loss will be </w:t>
      </w:r>
      <w:r>
        <w:rPr>
          <w:b/>
          <w:sz w:val="18"/>
          <w:szCs w:val="18"/>
        </w:rPr>
        <w:t>Short</w:t>
      </w:r>
      <w:r w:rsidRPr="00F1157E">
        <w:rPr>
          <w:b/>
          <w:sz w:val="18"/>
          <w:szCs w:val="18"/>
        </w:rPr>
        <w:t xml:space="preserve"> term</w:t>
      </w:r>
    </w:p>
    <w:p w:rsidR="00D41437" w:rsidRDefault="00D41437" w:rsidP="00F1157E">
      <w:pPr>
        <w:spacing w:after="0" w:line="240" w:lineRule="auto"/>
        <w:rPr>
          <w:sz w:val="18"/>
          <w:szCs w:val="18"/>
        </w:rPr>
      </w:pPr>
      <w:r>
        <w:rPr>
          <w:sz w:val="18"/>
          <w:szCs w:val="18"/>
        </w:rPr>
        <w:t xml:space="preserve">       Simply, the period of holding of each individual asset is not to be taken into account. Some of the Asset may be short term and some of them may be long term</w:t>
      </w:r>
    </w:p>
    <w:p w:rsidR="00F1157E" w:rsidRDefault="00F1157E" w:rsidP="00F1157E">
      <w:pPr>
        <w:spacing w:after="0" w:line="240" w:lineRule="auto"/>
        <w:rPr>
          <w:sz w:val="18"/>
          <w:szCs w:val="18"/>
        </w:rPr>
      </w:pPr>
      <w:r>
        <w:rPr>
          <w:sz w:val="18"/>
          <w:szCs w:val="18"/>
        </w:rPr>
        <w:t xml:space="preserve">(2.) </w:t>
      </w:r>
      <w:r w:rsidR="00D41437">
        <w:rPr>
          <w:sz w:val="18"/>
          <w:szCs w:val="18"/>
        </w:rPr>
        <w:t>The benefit of Indexation will not be allowed.</w:t>
      </w:r>
    </w:p>
    <w:p w:rsidR="00D41437" w:rsidRDefault="00D41437" w:rsidP="00F1157E">
      <w:pPr>
        <w:spacing w:after="0" w:line="240" w:lineRule="auto"/>
        <w:rPr>
          <w:sz w:val="18"/>
          <w:szCs w:val="18"/>
        </w:rPr>
      </w:pPr>
      <w:r>
        <w:rPr>
          <w:sz w:val="18"/>
          <w:szCs w:val="18"/>
        </w:rPr>
        <w:t>(3.) The Cost of Acquisition (</w:t>
      </w:r>
      <w:proofErr w:type="spellStart"/>
      <w:r>
        <w:rPr>
          <w:sz w:val="18"/>
          <w:szCs w:val="18"/>
        </w:rPr>
        <w:t>CoA</w:t>
      </w:r>
      <w:proofErr w:type="spellEnd"/>
      <w:r>
        <w:rPr>
          <w:sz w:val="18"/>
          <w:szCs w:val="18"/>
        </w:rPr>
        <w:t>) and Cost of Improvement (</w:t>
      </w:r>
      <w:proofErr w:type="spellStart"/>
      <w:r>
        <w:rPr>
          <w:sz w:val="18"/>
          <w:szCs w:val="18"/>
        </w:rPr>
        <w:t>CoI</w:t>
      </w:r>
      <w:proofErr w:type="spellEnd"/>
      <w:r>
        <w:rPr>
          <w:sz w:val="18"/>
          <w:szCs w:val="18"/>
        </w:rPr>
        <w:t xml:space="preserve">) will not be the actual </w:t>
      </w:r>
      <w:proofErr w:type="spellStart"/>
      <w:r>
        <w:rPr>
          <w:sz w:val="18"/>
          <w:szCs w:val="18"/>
        </w:rPr>
        <w:t>CoA</w:t>
      </w:r>
      <w:proofErr w:type="spellEnd"/>
      <w:r>
        <w:rPr>
          <w:sz w:val="18"/>
          <w:szCs w:val="18"/>
        </w:rPr>
        <w:t xml:space="preserve"> + </w:t>
      </w:r>
      <w:proofErr w:type="spellStart"/>
      <w:r>
        <w:rPr>
          <w:sz w:val="18"/>
          <w:szCs w:val="18"/>
        </w:rPr>
        <w:t>CoI</w:t>
      </w:r>
      <w:proofErr w:type="spellEnd"/>
      <w:r>
        <w:rPr>
          <w:sz w:val="18"/>
          <w:szCs w:val="18"/>
        </w:rPr>
        <w:t xml:space="preserve"> of each asset, but will be the ‘Net </w:t>
      </w:r>
      <w:proofErr w:type="gramStart"/>
      <w:r>
        <w:rPr>
          <w:sz w:val="18"/>
          <w:szCs w:val="18"/>
        </w:rPr>
        <w:t>Worth</w:t>
      </w:r>
      <w:proofErr w:type="gramEnd"/>
      <w:r>
        <w:rPr>
          <w:sz w:val="18"/>
          <w:szCs w:val="18"/>
        </w:rPr>
        <w:t xml:space="preserve"> (NW)’ of the Undertaking.</w:t>
      </w:r>
    </w:p>
    <w:p w:rsidR="00D41437" w:rsidRDefault="00D41437" w:rsidP="00F1157E">
      <w:pPr>
        <w:spacing w:after="0" w:line="240" w:lineRule="auto"/>
        <w:rPr>
          <w:sz w:val="18"/>
          <w:szCs w:val="18"/>
        </w:rPr>
      </w:pPr>
      <w:r>
        <w:rPr>
          <w:sz w:val="18"/>
          <w:szCs w:val="18"/>
        </w:rPr>
        <w:t>(4.) Capital Gain/Loss will be calculated as follows:</w:t>
      </w:r>
    </w:p>
    <w:p w:rsidR="003147D7" w:rsidRPr="003147D7" w:rsidRDefault="003147D7" w:rsidP="00F1157E">
      <w:pPr>
        <w:spacing w:after="0" w:line="240" w:lineRule="auto"/>
        <w:rPr>
          <w:b/>
          <w:sz w:val="18"/>
          <w:szCs w:val="18"/>
        </w:rPr>
      </w:pPr>
    </w:p>
    <w:tbl>
      <w:tblPr>
        <w:tblStyle w:val="TableGrid"/>
        <w:tblW w:w="0" w:type="auto"/>
        <w:tblInd w:w="817"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tblPr>
      <w:tblGrid>
        <w:gridCol w:w="5954"/>
        <w:gridCol w:w="1417"/>
      </w:tblGrid>
      <w:tr w:rsidR="00D41437" w:rsidRPr="003147D7" w:rsidTr="003147D7">
        <w:tc>
          <w:tcPr>
            <w:tcW w:w="5954" w:type="dxa"/>
          </w:tcPr>
          <w:p w:rsidR="00D41437" w:rsidRPr="003147D7" w:rsidRDefault="003147D7" w:rsidP="003147D7">
            <w:pPr>
              <w:jc w:val="center"/>
              <w:rPr>
                <w:b/>
                <w:sz w:val="18"/>
                <w:szCs w:val="18"/>
              </w:rPr>
            </w:pPr>
            <w:r w:rsidRPr="003147D7">
              <w:rPr>
                <w:b/>
                <w:sz w:val="18"/>
                <w:szCs w:val="18"/>
              </w:rPr>
              <w:t>Particulars</w:t>
            </w:r>
          </w:p>
        </w:tc>
        <w:tc>
          <w:tcPr>
            <w:tcW w:w="1417" w:type="dxa"/>
          </w:tcPr>
          <w:p w:rsidR="00D41437" w:rsidRPr="003147D7" w:rsidRDefault="003147D7" w:rsidP="003147D7">
            <w:pPr>
              <w:jc w:val="center"/>
              <w:rPr>
                <w:b/>
                <w:sz w:val="18"/>
                <w:szCs w:val="18"/>
              </w:rPr>
            </w:pPr>
            <w:r>
              <w:rPr>
                <w:b/>
                <w:sz w:val="18"/>
                <w:szCs w:val="18"/>
              </w:rPr>
              <w:t>Amount</w:t>
            </w:r>
          </w:p>
        </w:tc>
      </w:tr>
      <w:tr w:rsidR="00D41437" w:rsidTr="003147D7">
        <w:tc>
          <w:tcPr>
            <w:tcW w:w="5954" w:type="dxa"/>
          </w:tcPr>
          <w:p w:rsidR="00D41437" w:rsidRDefault="003147D7" w:rsidP="00F1157E">
            <w:pPr>
              <w:rPr>
                <w:sz w:val="18"/>
                <w:szCs w:val="18"/>
              </w:rPr>
            </w:pPr>
            <w:r>
              <w:rPr>
                <w:sz w:val="18"/>
                <w:szCs w:val="18"/>
              </w:rPr>
              <w:t>Sale Consideration of the entire Undertaking</w:t>
            </w:r>
          </w:p>
        </w:tc>
        <w:tc>
          <w:tcPr>
            <w:tcW w:w="1417" w:type="dxa"/>
          </w:tcPr>
          <w:p w:rsidR="00D41437" w:rsidRDefault="003147D7" w:rsidP="003147D7">
            <w:pPr>
              <w:jc w:val="center"/>
              <w:rPr>
                <w:sz w:val="18"/>
                <w:szCs w:val="18"/>
              </w:rPr>
            </w:pPr>
            <w:r>
              <w:rPr>
                <w:sz w:val="18"/>
                <w:szCs w:val="18"/>
              </w:rPr>
              <w:t>XXX</w:t>
            </w:r>
          </w:p>
        </w:tc>
      </w:tr>
      <w:tr w:rsidR="00D41437" w:rsidTr="003147D7">
        <w:tc>
          <w:tcPr>
            <w:tcW w:w="5954" w:type="dxa"/>
          </w:tcPr>
          <w:p w:rsidR="00D41437" w:rsidRDefault="003147D7" w:rsidP="00F1157E">
            <w:pPr>
              <w:rPr>
                <w:sz w:val="18"/>
                <w:szCs w:val="18"/>
              </w:rPr>
            </w:pPr>
            <w:r w:rsidRPr="003147D7">
              <w:rPr>
                <w:sz w:val="18"/>
                <w:szCs w:val="18"/>
                <w:u w:val="single"/>
              </w:rPr>
              <w:t>Less</w:t>
            </w:r>
            <w:r>
              <w:rPr>
                <w:sz w:val="18"/>
                <w:szCs w:val="18"/>
              </w:rPr>
              <w:t>: Expenses incurred wholly and exclusively on transfer of undertaking</w:t>
            </w:r>
          </w:p>
        </w:tc>
        <w:tc>
          <w:tcPr>
            <w:tcW w:w="1417" w:type="dxa"/>
          </w:tcPr>
          <w:p w:rsidR="00D41437" w:rsidRPr="003147D7" w:rsidRDefault="003147D7" w:rsidP="003147D7">
            <w:pPr>
              <w:jc w:val="center"/>
              <w:rPr>
                <w:sz w:val="18"/>
                <w:szCs w:val="18"/>
                <w:u w:val="single"/>
              </w:rPr>
            </w:pPr>
            <w:r w:rsidRPr="003147D7">
              <w:rPr>
                <w:sz w:val="18"/>
                <w:szCs w:val="18"/>
                <w:u w:val="single"/>
              </w:rPr>
              <w:t>(XXX)</w:t>
            </w:r>
          </w:p>
        </w:tc>
      </w:tr>
      <w:tr w:rsidR="00D41437" w:rsidTr="003147D7">
        <w:tc>
          <w:tcPr>
            <w:tcW w:w="5954" w:type="dxa"/>
          </w:tcPr>
          <w:p w:rsidR="00D41437" w:rsidRDefault="003147D7" w:rsidP="00F1157E">
            <w:pPr>
              <w:rPr>
                <w:sz w:val="18"/>
                <w:szCs w:val="18"/>
              </w:rPr>
            </w:pPr>
            <w:r>
              <w:rPr>
                <w:sz w:val="18"/>
                <w:szCs w:val="18"/>
              </w:rPr>
              <w:t>Net Sale Consideration</w:t>
            </w:r>
          </w:p>
        </w:tc>
        <w:tc>
          <w:tcPr>
            <w:tcW w:w="1417" w:type="dxa"/>
          </w:tcPr>
          <w:p w:rsidR="00D41437" w:rsidRDefault="003147D7" w:rsidP="003147D7">
            <w:pPr>
              <w:jc w:val="center"/>
              <w:rPr>
                <w:sz w:val="18"/>
                <w:szCs w:val="18"/>
              </w:rPr>
            </w:pPr>
            <w:r>
              <w:rPr>
                <w:sz w:val="18"/>
                <w:szCs w:val="18"/>
              </w:rPr>
              <w:t>XXX</w:t>
            </w:r>
          </w:p>
        </w:tc>
      </w:tr>
      <w:tr w:rsidR="00D41437" w:rsidTr="003147D7">
        <w:tc>
          <w:tcPr>
            <w:tcW w:w="5954" w:type="dxa"/>
          </w:tcPr>
          <w:p w:rsidR="00D41437" w:rsidRDefault="003147D7" w:rsidP="00F1157E">
            <w:pPr>
              <w:rPr>
                <w:sz w:val="18"/>
                <w:szCs w:val="18"/>
              </w:rPr>
            </w:pPr>
            <w:r w:rsidRPr="003147D7">
              <w:rPr>
                <w:sz w:val="18"/>
                <w:szCs w:val="18"/>
                <w:u w:val="single"/>
              </w:rPr>
              <w:t>Less</w:t>
            </w:r>
            <w:r>
              <w:rPr>
                <w:sz w:val="18"/>
                <w:szCs w:val="18"/>
              </w:rPr>
              <w:t>: Net Worth of the Undertaking (No Indexation)</w:t>
            </w:r>
          </w:p>
        </w:tc>
        <w:tc>
          <w:tcPr>
            <w:tcW w:w="1417" w:type="dxa"/>
          </w:tcPr>
          <w:p w:rsidR="00D41437" w:rsidRPr="003147D7" w:rsidRDefault="003147D7" w:rsidP="003147D7">
            <w:pPr>
              <w:jc w:val="center"/>
              <w:rPr>
                <w:sz w:val="18"/>
                <w:szCs w:val="18"/>
                <w:u w:val="single"/>
              </w:rPr>
            </w:pPr>
            <w:r w:rsidRPr="003147D7">
              <w:rPr>
                <w:sz w:val="18"/>
                <w:szCs w:val="18"/>
                <w:u w:val="single"/>
              </w:rPr>
              <w:t>(XXX)</w:t>
            </w:r>
          </w:p>
        </w:tc>
      </w:tr>
      <w:tr w:rsidR="003147D7" w:rsidTr="003147D7">
        <w:tc>
          <w:tcPr>
            <w:tcW w:w="5954" w:type="dxa"/>
          </w:tcPr>
          <w:p w:rsidR="003147D7" w:rsidRPr="003147D7" w:rsidRDefault="003147D7" w:rsidP="00F1157E">
            <w:pPr>
              <w:rPr>
                <w:b/>
                <w:sz w:val="18"/>
                <w:szCs w:val="18"/>
              </w:rPr>
            </w:pPr>
            <w:r w:rsidRPr="003147D7">
              <w:rPr>
                <w:b/>
                <w:sz w:val="18"/>
                <w:szCs w:val="18"/>
              </w:rPr>
              <w:t>Long Term / Short Term Capital Gain/Loss</w:t>
            </w:r>
          </w:p>
        </w:tc>
        <w:tc>
          <w:tcPr>
            <w:tcW w:w="1417" w:type="dxa"/>
          </w:tcPr>
          <w:p w:rsidR="003147D7" w:rsidRPr="003147D7" w:rsidRDefault="003147D7" w:rsidP="003147D7">
            <w:pPr>
              <w:jc w:val="center"/>
              <w:rPr>
                <w:b/>
                <w:sz w:val="18"/>
                <w:szCs w:val="18"/>
                <w:u w:val="double"/>
              </w:rPr>
            </w:pPr>
            <w:r w:rsidRPr="003147D7">
              <w:rPr>
                <w:b/>
                <w:sz w:val="18"/>
                <w:szCs w:val="18"/>
                <w:u w:val="double"/>
              </w:rPr>
              <w:t>XXX</w:t>
            </w:r>
          </w:p>
        </w:tc>
      </w:tr>
    </w:tbl>
    <w:p w:rsidR="00D41437" w:rsidRDefault="00D41437" w:rsidP="00F1157E">
      <w:pPr>
        <w:spacing w:after="0" w:line="240" w:lineRule="auto"/>
        <w:rPr>
          <w:sz w:val="18"/>
          <w:szCs w:val="18"/>
        </w:rPr>
      </w:pPr>
      <w:r>
        <w:rPr>
          <w:sz w:val="18"/>
          <w:szCs w:val="18"/>
        </w:rPr>
        <w:t xml:space="preserve"> </w:t>
      </w:r>
    </w:p>
    <w:p w:rsidR="003147D7" w:rsidRDefault="00576548" w:rsidP="00F1157E">
      <w:pPr>
        <w:spacing w:after="0" w:line="240" w:lineRule="auto"/>
        <w:rPr>
          <w:sz w:val="18"/>
          <w:szCs w:val="18"/>
        </w:rPr>
      </w:pPr>
      <w:r w:rsidRPr="00576548">
        <w:rPr>
          <w:noProof/>
          <w:sz w:val="18"/>
          <w:szCs w:val="18"/>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margin-left:84.05pt;margin-top:3.7pt;width:167.6pt;height:51.3pt;z-index:251659264" strokeweight="1.25pt">
            <v:textbox>
              <w:txbxContent>
                <w:p w:rsidR="003147D7" w:rsidRPr="0063109B" w:rsidRDefault="00A4078F" w:rsidP="00A4078F">
                  <w:pPr>
                    <w:jc w:val="center"/>
                    <w:rPr>
                      <w:sz w:val="18"/>
                      <w:szCs w:val="18"/>
                    </w:rPr>
                  </w:pPr>
                  <w:r w:rsidRPr="0063109B">
                    <w:rPr>
                      <w:sz w:val="18"/>
                      <w:szCs w:val="18"/>
                    </w:rPr>
                    <w:t xml:space="preserve">Aggregate value of all the </w:t>
                  </w:r>
                  <w:r w:rsidRPr="0063109B">
                    <w:rPr>
                      <w:b/>
                      <w:sz w:val="18"/>
                      <w:szCs w:val="18"/>
                      <w:u w:val="single"/>
                    </w:rPr>
                    <w:t>Assets</w:t>
                  </w:r>
                  <w:r w:rsidRPr="0063109B">
                    <w:rPr>
                      <w:sz w:val="18"/>
                      <w:szCs w:val="18"/>
                    </w:rPr>
                    <w:t xml:space="preserve"> of the Undertaking (to be computed as per Income Tax </w:t>
                  </w:r>
                  <w:r w:rsidR="0063109B">
                    <w:rPr>
                      <w:sz w:val="18"/>
                      <w:szCs w:val="18"/>
                    </w:rPr>
                    <w:t xml:space="preserve">Act </w:t>
                  </w:r>
                  <w:r w:rsidRPr="0063109B">
                    <w:rPr>
                      <w:sz w:val="18"/>
                      <w:szCs w:val="18"/>
                    </w:rPr>
                    <w:t>provisions)</w:t>
                  </w:r>
                </w:p>
              </w:txbxContent>
            </v:textbox>
          </v:shape>
        </w:pict>
      </w:r>
      <w:r w:rsidRPr="00576548">
        <w:rPr>
          <w:noProof/>
          <w:sz w:val="18"/>
          <w:szCs w:val="18"/>
        </w:rPr>
        <w:pict>
          <v:shape id="_x0000_s1026" type="#_x0000_t185" style="position:absolute;margin-left:19.3pt;margin-top:9.25pt;width:47.1pt;height:47.55pt;z-index:251658240" strokeweight="1.25pt">
            <v:textbox>
              <w:txbxContent>
                <w:p w:rsidR="003147D7" w:rsidRPr="0063109B" w:rsidRDefault="003147D7" w:rsidP="003147D7">
                  <w:pPr>
                    <w:jc w:val="center"/>
                    <w:rPr>
                      <w:sz w:val="18"/>
                      <w:szCs w:val="18"/>
                    </w:rPr>
                  </w:pPr>
                  <w:r w:rsidRPr="0063109B">
                    <w:rPr>
                      <w:sz w:val="18"/>
                      <w:szCs w:val="18"/>
                    </w:rPr>
                    <w:t xml:space="preserve">Net </w:t>
                  </w:r>
                  <w:proofErr w:type="gramStart"/>
                  <w:r w:rsidRPr="0063109B">
                    <w:rPr>
                      <w:sz w:val="18"/>
                      <w:szCs w:val="18"/>
                    </w:rPr>
                    <w:t>Worth</w:t>
                  </w:r>
                  <w:proofErr w:type="gramEnd"/>
                  <w:r w:rsidRPr="0063109B">
                    <w:rPr>
                      <w:sz w:val="18"/>
                      <w:szCs w:val="18"/>
                    </w:rPr>
                    <w:t xml:space="preserve"> (N.W.)</w:t>
                  </w:r>
                </w:p>
              </w:txbxContent>
            </v:textbox>
          </v:shape>
        </w:pict>
      </w:r>
      <w:r w:rsidRPr="00576548">
        <w:rPr>
          <w:noProof/>
          <w:sz w:val="18"/>
          <w:szCs w:val="18"/>
        </w:rPr>
        <w:pict>
          <v:shape id="_x0000_s1029" type="#_x0000_t185" style="position:absolute;margin-left:292.4pt;margin-top:7.2pt;width:235.75pt;height:48.8pt;z-index:251661312" strokeweight="1.25pt">
            <v:textbox>
              <w:txbxContent>
                <w:p w:rsidR="00A4078F" w:rsidRPr="0063109B" w:rsidRDefault="00A4078F" w:rsidP="00A4078F">
                  <w:pPr>
                    <w:jc w:val="center"/>
                    <w:rPr>
                      <w:sz w:val="18"/>
                      <w:szCs w:val="18"/>
                    </w:rPr>
                  </w:pPr>
                  <w:r w:rsidRPr="0063109B">
                    <w:rPr>
                      <w:sz w:val="18"/>
                      <w:szCs w:val="18"/>
                    </w:rPr>
                    <w:t xml:space="preserve">Aggregate value of all </w:t>
                  </w:r>
                  <w:r w:rsidRPr="0063109B">
                    <w:rPr>
                      <w:b/>
                      <w:sz w:val="18"/>
                      <w:szCs w:val="18"/>
                      <w:u w:val="single"/>
                    </w:rPr>
                    <w:t>Liabilities</w:t>
                  </w:r>
                  <w:r w:rsidRPr="0063109B">
                    <w:rPr>
                      <w:sz w:val="18"/>
                      <w:szCs w:val="18"/>
                    </w:rPr>
                    <w:t xml:space="preserve"> of such Undertaking as appearing in the Books of Accounts (and not as per Income Tax Act unlike value of Assets)</w:t>
                  </w:r>
                </w:p>
              </w:txbxContent>
            </v:textbox>
          </v:shape>
        </w:pict>
      </w:r>
      <w:r w:rsidR="003147D7">
        <w:rPr>
          <w:sz w:val="18"/>
          <w:szCs w:val="18"/>
        </w:rPr>
        <w:t>(5.)</w:t>
      </w:r>
    </w:p>
    <w:p w:rsidR="003147D7" w:rsidRDefault="00576548" w:rsidP="00F1157E">
      <w:pPr>
        <w:spacing w:after="0" w:line="240" w:lineRule="auto"/>
        <w:rPr>
          <w:sz w:val="18"/>
          <w:szCs w:val="18"/>
        </w:rPr>
      </w:pPr>
      <w:r w:rsidRPr="00576548">
        <w:rPr>
          <w:noProof/>
          <w:sz w:val="18"/>
          <w:szCs w:val="18"/>
        </w:rPr>
        <w:pict>
          <v:shape id="_x0000_s1028" type="#_x0000_t185" style="position:absolute;margin-left:255.45pt;margin-top:8.5pt;width:32pt;height:22.3pt;z-index:251660288" strokeweight="1.25pt">
            <v:textbox>
              <w:txbxContent>
                <w:p w:rsidR="00A4078F" w:rsidRPr="0063109B" w:rsidRDefault="00A4078F">
                  <w:pPr>
                    <w:rPr>
                      <w:sz w:val="18"/>
                      <w:szCs w:val="18"/>
                    </w:rPr>
                  </w:pPr>
                  <w:proofErr w:type="gramStart"/>
                  <w:r w:rsidRPr="0063109B">
                    <w:rPr>
                      <w:sz w:val="18"/>
                      <w:szCs w:val="18"/>
                    </w:rPr>
                    <w:t>less</w:t>
                  </w:r>
                  <w:proofErr w:type="gramEnd"/>
                </w:p>
              </w:txbxContent>
            </v:textbox>
          </v:shape>
        </w:pict>
      </w:r>
    </w:p>
    <w:p w:rsidR="003147D7" w:rsidRPr="0063109B" w:rsidRDefault="0063109B" w:rsidP="00F1157E">
      <w:pPr>
        <w:spacing w:after="0" w:line="240" w:lineRule="auto"/>
        <w:rPr>
          <w:b/>
          <w:sz w:val="18"/>
          <w:szCs w:val="18"/>
        </w:rPr>
      </w:pPr>
      <w:r>
        <w:rPr>
          <w:sz w:val="18"/>
          <w:szCs w:val="18"/>
        </w:rPr>
        <w:t xml:space="preserve">                                   </w:t>
      </w:r>
      <w:r w:rsidRPr="0063109B">
        <w:rPr>
          <w:b/>
          <w:sz w:val="28"/>
          <w:szCs w:val="18"/>
        </w:rPr>
        <w:t>=</w:t>
      </w:r>
    </w:p>
    <w:p w:rsidR="003147D7" w:rsidRPr="00A4078F" w:rsidRDefault="00A4078F" w:rsidP="00F1157E">
      <w:pPr>
        <w:spacing w:after="0" w:line="240" w:lineRule="auto"/>
        <w:rPr>
          <w:b/>
          <w:sz w:val="18"/>
          <w:szCs w:val="18"/>
        </w:rPr>
      </w:pPr>
      <w:r>
        <w:rPr>
          <w:sz w:val="18"/>
          <w:szCs w:val="18"/>
        </w:rPr>
        <w:t xml:space="preserve">    </w:t>
      </w:r>
      <w:r w:rsidR="0063109B">
        <w:rPr>
          <w:sz w:val="18"/>
          <w:szCs w:val="18"/>
        </w:rPr>
        <w:t xml:space="preserve">                               </w:t>
      </w:r>
      <w:r>
        <w:rPr>
          <w:sz w:val="18"/>
          <w:szCs w:val="18"/>
        </w:rPr>
        <w:t xml:space="preserve"> </w:t>
      </w:r>
    </w:p>
    <w:p w:rsidR="003147D7" w:rsidRPr="00A4078F" w:rsidRDefault="00A4078F" w:rsidP="00F1157E">
      <w:pPr>
        <w:spacing w:after="0" w:line="240" w:lineRule="auto"/>
        <w:rPr>
          <w:b/>
          <w:sz w:val="18"/>
          <w:szCs w:val="18"/>
        </w:rPr>
      </w:pPr>
      <w:r>
        <w:rPr>
          <w:sz w:val="18"/>
          <w:szCs w:val="18"/>
        </w:rPr>
        <w:t xml:space="preserve">                                              </w:t>
      </w:r>
    </w:p>
    <w:p w:rsidR="003147D7" w:rsidRDefault="003147D7" w:rsidP="00F1157E">
      <w:pPr>
        <w:spacing w:after="0" w:line="240" w:lineRule="auto"/>
        <w:rPr>
          <w:sz w:val="18"/>
          <w:szCs w:val="18"/>
        </w:rPr>
      </w:pPr>
      <w:r>
        <w:rPr>
          <w:sz w:val="18"/>
          <w:szCs w:val="18"/>
        </w:rPr>
        <w:t xml:space="preserve">                                              </w:t>
      </w:r>
    </w:p>
    <w:p w:rsidR="00A4078F" w:rsidRDefault="00A4078F" w:rsidP="00F1157E">
      <w:pPr>
        <w:spacing w:after="0" w:line="240" w:lineRule="auto"/>
        <w:rPr>
          <w:sz w:val="18"/>
          <w:szCs w:val="18"/>
        </w:rPr>
      </w:pPr>
    </w:p>
    <w:p w:rsidR="00A4078F" w:rsidRDefault="00A4078F" w:rsidP="00F1157E">
      <w:pPr>
        <w:spacing w:after="0" w:line="240" w:lineRule="auto"/>
        <w:rPr>
          <w:sz w:val="18"/>
          <w:szCs w:val="18"/>
        </w:rPr>
      </w:pPr>
      <w:r>
        <w:rPr>
          <w:sz w:val="18"/>
          <w:szCs w:val="18"/>
        </w:rPr>
        <w:t>(6.)</w:t>
      </w:r>
      <w:r w:rsidR="00417BDD">
        <w:rPr>
          <w:sz w:val="18"/>
          <w:szCs w:val="18"/>
        </w:rPr>
        <w:t xml:space="preserve"> Any </w:t>
      </w:r>
      <w:r w:rsidR="00417BDD" w:rsidRPr="00417BDD">
        <w:rPr>
          <w:b/>
          <w:sz w:val="18"/>
          <w:szCs w:val="18"/>
        </w:rPr>
        <w:t>‘Revaluation’</w:t>
      </w:r>
      <w:r w:rsidR="00417BDD">
        <w:rPr>
          <w:sz w:val="18"/>
          <w:szCs w:val="18"/>
        </w:rPr>
        <w:t xml:space="preserve"> (whether upward or downward) in the value of any asset carried out during the current previous year or any earlier previous year shall be </w:t>
      </w:r>
      <w:r w:rsidR="00417BDD" w:rsidRPr="00417BDD">
        <w:rPr>
          <w:b/>
          <w:sz w:val="18"/>
          <w:szCs w:val="18"/>
        </w:rPr>
        <w:t>ignored</w:t>
      </w:r>
      <w:r w:rsidR="00417BDD">
        <w:rPr>
          <w:sz w:val="18"/>
          <w:szCs w:val="18"/>
        </w:rPr>
        <w:t xml:space="preserve"> for the purpose of section 50B.</w:t>
      </w:r>
    </w:p>
    <w:p w:rsidR="00417BDD" w:rsidRDefault="00417BDD" w:rsidP="00F1157E">
      <w:pPr>
        <w:spacing w:after="0" w:line="240" w:lineRule="auto"/>
        <w:rPr>
          <w:sz w:val="18"/>
          <w:szCs w:val="18"/>
        </w:rPr>
      </w:pPr>
      <w:r>
        <w:rPr>
          <w:sz w:val="18"/>
          <w:szCs w:val="18"/>
        </w:rPr>
        <w:t>(7.) While</w:t>
      </w:r>
      <w:r w:rsidR="0063109B">
        <w:rPr>
          <w:sz w:val="18"/>
          <w:szCs w:val="18"/>
        </w:rPr>
        <w:t xml:space="preserve"> computing the Net </w:t>
      </w:r>
      <w:r>
        <w:rPr>
          <w:sz w:val="18"/>
          <w:szCs w:val="18"/>
        </w:rPr>
        <w:t>W</w:t>
      </w:r>
      <w:r w:rsidR="0063109B">
        <w:rPr>
          <w:sz w:val="18"/>
          <w:szCs w:val="18"/>
        </w:rPr>
        <w:t>orth</w:t>
      </w:r>
      <w:r>
        <w:rPr>
          <w:sz w:val="18"/>
          <w:szCs w:val="18"/>
        </w:rPr>
        <w:t xml:space="preserve"> of the Undertaking</w:t>
      </w:r>
      <w:r w:rsidR="0063109B">
        <w:rPr>
          <w:sz w:val="18"/>
          <w:szCs w:val="18"/>
        </w:rPr>
        <w:t>, the value of the assets shall be computed as follows:</w:t>
      </w:r>
    </w:p>
    <w:p w:rsidR="000323DE" w:rsidRDefault="000323DE" w:rsidP="00F1157E">
      <w:pPr>
        <w:spacing w:after="0" w:line="240" w:lineRule="auto"/>
        <w:rPr>
          <w:sz w:val="18"/>
          <w:szCs w:val="18"/>
        </w:rPr>
      </w:pPr>
    </w:p>
    <w:tbl>
      <w:tblPr>
        <w:tblStyle w:val="TableGrid"/>
        <w:tblW w:w="0" w:type="auto"/>
        <w:tblInd w:w="39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tblPr>
      <w:tblGrid>
        <w:gridCol w:w="4819"/>
        <w:gridCol w:w="4820"/>
      </w:tblGrid>
      <w:tr w:rsidR="000323DE" w:rsidTr="0003368F">
        <w:tc>
          <w:tcPr>
            <w:tcW w:w="4819" w:type="dxa"/>
          </w:tcPr>
          <w:p w:rsidR="000323DE" w:rsidRPr="000323DE" w:rsidRDefault="000323DE" w:rsidP="000323DE">
            <w:pPr>
              <w:rPr>
                <w:sz w:val="18"/>
                <w:szCs w:val="18"/>
              </w:rPr>
            </w:pPr>
            <w:r w:rsidRPr="000323DE">
              <w:rPr>
                <w:sz w:val="18"/>
                <w:szCs w:val="18"/>
              </w:rPr>
              <w:sym w:font="Wingdings" w:char="F0E0"/>
            </w:r>
            <w:r>
              <w:rPr>
                <w:sz w:val="18"/>
                <w:szCs w:val="18"/>
              </w:rPr>
              <w:t xml:space="preserve">  </w:t>
            </w:r>
            <w:r w:rsidRPr="000323DE">
              <w:rPr>
                <w:sz w:val="18"/>
                <w:szCs w:val="18"/>
              </w:rPr>
              <w:t xml:space="preserve">For Depreciable Assets </w:t>
            </w:r>
          </w:p>
        </w:tc>
        <w:tc>
          <w:tcPr>
            <w:tcW w:w="4820" w:type="dxa"/>
          </w:tcPr>
          <w:p w:rsidR="000323DE" w:rsidRDefault="000323DE" w:rsidP="00F1157E">
            <w:pPr>
              <w:rPr>
                <w:sz w:val="18"/>
                <w:szCs w:val="18"/>
              </w:rPr>
            </w:pPr>
            <w:r>
              <w:rPr>
                <w:sz w:val="18"/>
                <w:szCs w:val="18"/>
              </w:rPr>
              <w:t>The WDV of the Block of Assets, to be determined as per section 43(6)(c) of the Income Tax Act, 1961</w:t>
            </w:r>
          </w:p>
        </w:tc>
      </w:tr>
      <w:tr w:rsidR="000323DE" w:rsidTr="0003368F">
        <w:tc>
          <w:tcPr>
            <w:tcW w:w="4819" w:type="dxa"/>
          </w:tcPr>
          <w:p w:rsidR="000323DE" w:rsidRPr="000323DE" w:rsidRDefault="000323DE" w:rsidP="000323DE">
            <w:pPr>
              <w:rPr>
                <w:sz w:val="18"/>
                <w:szCs w:val="18"/>
              </w:rPr>
            </w:pPr>
            <w:r w:rsidRPr="000323DE">
              <w:rPr>
                <w:sz w:val="18"/>
                <w:szCs w:val="18"/>
              </w:rPr>
              <w:sym w:font="Wingdings" w:char="F0E0"/>
            </w:r>
            <w:r>
              <w:rPr>
                <w:sz w:val="18"/>
                <w:szCs w:val="18"/>
              </w:rPr>
              <w:t xml:space="preserve"> </w:t>
            </w:r>
            <w:r w:rsidRPr="000323DE">
              <w:rPr>
                <w:sz w:val="18"/>
                <w:szCs w:val="18"/>
              </w:rPr>
              <w:t>For those Capital Assets, whose entire has been allowed or is allowable as a deduction u/s 35AD</w:t>
            </w:r>
          </w:p>
        </w:tc>
        <w:tc>
          <w:tcPr>
            <w:tcW w:w="4820" w:type="dxa"/>
          </w:tcPr>
          <w:p w:rsidR="0003368F" w:rsidRDefault="0003368F" w:rsidP="00F1157E">
            <w:pPr>
              <w:rPr>
                <w:sz w:val="18"/>
                <w:szCs w:val="18"/>
              </w:rPr>
            </w:pPr>
          </w:p>
          <w:p w:rsidR="000323DE" w:rsidRDefault="0003368F" w:rsidP="00F1157E">
            <w:pPr>
              <w:rPr>
                <w:sz w:val="18"/>
                <w:szCs w:val="18"/>
              </w:rPr>
            </w:pPr>
            <w:r>
              <w:rPr>
                <w:sz w:val="18"/>
                <w:szCs w:val="18"/>
              </w:rPr>
              <w:t>NIL</w:t>
            </w:r>
          </w:p>
        </w:tc>
      </w:tr>
      <w:tr w:rsidR="000323DE" w:rsidTr="0003368F">
        <w:tc>
          <w:tcPr>
            <w:tcW w:w="4819" w:type="dxa"/>
          </w:tcPr>
          <w:p w:rsidR="000323DE" w:rsidRPr="000323DE" w:rsidRDefault="000323DE" w:rsidP="000323DE">
            <w:pPr>
              <w:rPr>
                <w:sz w:val="18"/>
                <w:szCs w:val="18"/>
              </w:rPr>
            </w:pPr>
            <w:r w:rsidRPr="000323DE">
              <w:rPr>
                <w:sz w:val="18"/>
                <w:szCs w:val="18"/>
              </w:rPr>
              <w:sym w:font="Wingdings" w:char="F0E0"/>
            </w:r>
            <w:r>
              <w:rPr>
                <w:sz w:val="18"/>
                <w:szCs w:val="18"/>
              </w:rPr>
              <w:t xml:space="preserve"> </w:t>
            </w:r>
            <w:r w:rsidRPr="000323DE">
              <w:rPr>
                <w:sz w:val="18"/>
                <w:szCs w:val="18"/>
              </w:rPr>
              <w:t>For Other Assets</w:t>
            </w:r>
          </w:p>
        </w:tc>
        <w:tc>
          <w:tcPr>
            <w:tcW w:w="4820" w:type="dxa"/>
          </w:tcPr>
          <w:p w:rsidR="000323DE" w:rsidRDefault="0003368F" w:rsidP="00F1157E">
            <w:pPr>
              <w:rPr>
                <w:sz w:val="18"/>
                <w:szCs w:val="18"/>
              </w:rPr>
            </w:pPr>
            <w:r>
              <w:rPr>
                <w:sz w:val="18"/>
                <w:szCs w:val="18"/>
              </w:rPr>
              <w:t>Book Value of such Assets</w:t>
            </w:r>
          </w:p>
        </w:tc>
      </w:tr>
    </w:tbl>
    <w:p w:rsidR="0063109B" w:rsidRDefault="0063109B" w:rsidP="00F1157E">
      <w:pPr>
        <w:spacing w:after="0" w:line="240" w:lineRule="auto"/>
        <w:rPr>
          <w:sz w:val="18"/>
          <w:szCs w:val="18"/>
        </w:rPr>
      </w:pPr>
    </w:p>
    <w:p w:rsidR="00FC638D" w:rsidRDefault="00FC638D" w:rsidP="00F1157E">
      <w:pPr>
        <w:spacing w:after="0" w:line="240" w:lineRule="auto"/>
        <w:rPr>
          <w:sz w:val="18"/>
          <w:szCs w:val="18"/>
        </w:rPr>
      </w:pPr>
      <w:r>
        <w:rPr>
          <w:sz w:val="18"/>
          <w:szCs w:val="18"/>
        </w:rPr>
        <w:t xml:space="preserve">(8.) </w:t>
      </w:r>
      <w:r w:rsidRPr="00FC638D">
        <w:rPr>
          <w:sz w:val="18"/>
          <w:szCs w:val="18"/>
          <w:u w:val="single"/>
        </w:rPr>
        <w:t>Other points to be noted about ‘Slump Sale</w:t>
      </w:r>
      <w:r>
        <w:rPr>
          <w:sz w:val="18"/>
          <w:szCs w:val="18"/>
        </w:rPr>
        <w:t>’:</w:t>
      </w:r>
    </w:p>
    <w:p w:rsidR="00FC638D" w:rsidRDefault="00FC638D" w:rsidP="00FC638D">
      <w:pPr>
        <w:pStyle w:val="ListParagraph"/>
        <w:numPr>
          <w:ilvl w:val="0"/>
          <w:numId w:val="5"/>
        </w:numPr>
        <w:spacing w:after="0" w:line="240" w:lineRule="auto"/>
        <w:rPr>
          <w:sz w:val="18"/>
          <w:szCs w:val="18"/>
        </w:rPr>
      </w:pPr>
      <w:r>
        <w:rPr>
          <w:sz w:val="18"/>
          <w:szCs w:val="18"/>
        </w:rPr>
        <w:t>If NW of the Undertaking is ‘Negative’, then it shall be taken as ‘Zero’ and not at its negative value.</w:t>
      </w:r>
    </w:p>
    <w:p w:rsidR="00FC638D" w:rsidRDefault="00FC638D" w:rsidP="00FC638D">
      <w:pPr>
        <w:pStyle w:val="ListParagraph"/>
        <w:numPr>
          <w:ilvl w:val="0"/>
          <w:numId w:val="5"/>
        </w:numPr>
        <w:spacing w:after="0" w:line="240" w:lineRule="auto"/>
        <w:rPr>
          <w:sz w:val="18"/>
          <w:szCs w:val="18"/>
        </w:rPr>
      </w:pPr>
      <w:r>
        <w:rPr>
          <w:sz w:val="18"/>
          <w:szCs w:val="18"/>
        </w:rPr>
        <w:t xml:space="preserve">A Report of a CA in Form No. 3CEA certifying the correct computation of NW and Cap. Gain/Loss will have to be furnished by </w:t>
      </w:r>
      <w:proofErr w:type="spellStart"/>
      <w:r>
        <w:rPr>
          <w:sz w:val="18"/>
          <w:szCs w:val="18"/>
        </w:rPr>
        <w:t>assessee</w:t>
      </w:r>
      <w:proofErr w:type="spellEnd"/>
      <w:r>
        <w:rPr>
          <w:sz w:val="18"/>
          <w:szCs w:val="18"/>
        </w:rPr>
        <w:t>.</w:t>
      </w:r>
    </w:p>
    <w:p w:rsidR="00FC638D" w:rsidRDefault="00FC638D" w:rsidP="00FC638D">
      <w:pPr>
        <w:pStyle w:val="ListParagraph"/>
        <w:numPr>
          <w:ilvl w:val="0"/>
          <w:numId w:val="5"/>
        </w:numPr>
        <w:spacing w:after="0" w:line="240" w:lineRule="auto"/>
        <w:rPr>
          <w:sz w:val="18"/>
          <w:szCs w:val="18"/>
        </w:rPr>
      </w:pPr>
      <w:r>
        <w:rPr>
          <w:sz w:val="18"/>
          <w:szCs w:val="18"/>
        </w:rPr>
        <w:t>‘Contingent Liabilities’, which do not appear in the Balance Sheet, cannot be subtracted while computing Net Worth of the undertaking.</w:t>
      </w:r>
    </w:p>
    <w:p w:rsidR="00FC638D" w:rsidRDefault="00FC638D" w:rsidP="00FC638D">
      <w:pPr>
        <w:pStyle w:val="ListParagraph"/>
        <w:numPr>
          <w:ilvl w:val="0"/>
          <w:numId w:val="5"/>
        </w:numPr>
        <w:spacing w:after="0" w:line="240" w:lineRule="auto"/>
        <w:rPr>
          <w:sz w:val="18"/>
          <w:szCs w:val="18"/>
        </w:rPr>
      </w:pPr>
      <w:r>
        <w:rPr>
          <w:sz w:val="18"/>
          <w:szCs w:val="18"/>
        </w:rPr>
        <w:t>A part of the undertaking cannot be considered to be an undertaking for the purpose of section 50B.</w:t>
      </w:r>
    </w:p>
    <w:p w:rsidR="00C51A1F" w:rsidRDefault="00C51A1F" w:rsidP="00C51A1F">
      <w:pPr>
        <w:pStyle w:val="ListParagraph"/>
        <w:numPr>
          <w:ilvl w:val="0"/>
          <w:numId w:val="5"/>
        </w:numPr>
        <w:spacing w:after="0" w:line="240" w:lineRule="auto"/>
        <w:rPr>
          <w:sz w:val="18"/>
          <w:szCs w:val="18"/>
        </w:rPr>
      </w:pPr>
      <w:r>
        <w:rPr>
          <w:sz w:val="18"/>
          <w:szCs w:val="18"/>
        </w:rPr>
        <w:t xml:space="preserve">One of the prerequisite conditions for the applicability of section 50B is that the sale consideration should be a lump sum amount and should not be bifurcated </w:t>
      </w:r>
      <w:proofErr w:type="spellStart"/>
      <w:r>
        <w:rPr>
          <w:sz w:val="18"/>
          <w:szCs w:val="18"/>
        </w:rPr>
        <w:t>assetwise</w:t>
      </w:r>
      <w:proofErr w:type="spellEnd"/>
      <w:r>
        <w:rPr>
          <w:sz w:val="18"/>
          <w:szCs w:val="18"/>
        </w:rPr>
        <w:t xml:space="preserve">. In simple words, values shall not be assigned to individual </w:t>
      </w:r>
      <w:proofErr w:type="gramStart"/>
      <w:r>
        <w:rPr>
          <w:sz w:val="18"/>
          <w:szCs w:val="18"/>
        </w:rPr>
        <w:t>assets,</w:t>
      </w:r>
      <w:proofErr w:type="gramEnd"/>
      <w:r>
        <w:rPr>
          <w:sz w:val="18"/>
          <w:szCs w:val="18"/>
        </w:rPr>
        <w:t xml:space="preserve"> otherwise section 50B cannot be applied.</w:t>
      </w:r>
    </w:p>
    <w:p w:rsidR="00C51A1F" w:rsidRDefault="00C51A1F" w:rsidP="00C51A1F">
      <w:pPr>
        <w:pStyle w:val="ListParagraph"/>
        <w:spacing w:after="0" w:line="240" w:lineRule="auto"/>
        <w:rPr>
          <w:sz w:val="18"/>
          <w:szCs w:val="18"/>
        </w:rPr>
      </w:pPr>
      <w:r>
        <w:rPr>
          <w:sz w:val="18"/>
          <w:szCs w:val="18"/>
        </w:rPr>
        <w:t>However, if sale consideration / values are assigned to each individual asset only for the purpose of payment of Stamp Duty or Registration Charges, then it shall not be regarded as assignment of values to each asset.</w:t>
      </w:r>
    </w:p>
    <w:p w:rsidR="00C51A1F" w:rsidRDefault="00C51A1F" w:rsidP="00FC638D">
      <w:pPr>
        <w:pStyle w:val="ListParagraph"/>
        <w:numPr>
          <w:ilvl w:val="0"/>
          <w:numId w:val="5"/>
        </w:numPr>
        <w:spacing w:after="0" w:line="240" w:lineRule="auto"/>
        <w:rPr>
          <w:sz w:val="18"/>
          <w:szCs w:val="18"/>
        </w:rPr>
      </w:pPr>
      <w:r w:rsidRPr="00C51A1F">
        <w:rPr>
          <w:sz w:val="18"/>
          <w:szCs w:val="18"/>
          <w:u w:val="single"/>
        </w:rPr>
        <w:t>Is the concept of Slump Sale given in section 50B mandatory to follow</w:t>
      </w:r>
      <w:r>
        <w:rPr>
          <w:sz w:val="18"/>
          <w:szCs w:val="18"/>
        </w:rPr>
        <w:t xml:space="preserve">? : Answer: No, </w:t>
      </w:r>
      <w:proofErr w:type="spellStart"/>
      <w:proofErr w:type="gramStart"/>
      <w:r>
        <w:rPr>
          <w:sz w:val="18"/>
          <w:szCs w:val="18"/>
        </w:rPr>
        <w:t>its</w:t>
      </w:r>
      <w:proofErr w:type="spellEnd"/>
      <w:proofErr w:type="gramEnd"/>
      <w:r>
        <w:rPr>
          <w:sz w:val="18"/>
          <w:szCs w:val="18"/>
        </w:rPr>
        <w:t xml:space="preserve"> not compulsory to follow the provisions of section 50B. If other provisions of the Act are found more beneficial, then </w:t>
      </w:r>
      <w:proofErr w:type="spellStart"/>
      <w:r>
        <w:rPr>
          <w:sz w:val="18"/>
          <w:szCs w:val="18"/>
        </w:rPr>
        <w:t>assessee</w:t>
      </w:r>
      <w:proofErr w:type="spellEnd"/>
      <w:r>
        <w:rPr>
          <w:sz w:val="18"/>
          <w:szCs w:val="18"/>
        </w:rPr>
        <w:t xml:space="preserve"> can assign the sale consideration to each individual asset or may go for itemised sale to avoid applicability of section 50B.</w:t>
      </w:r>
    </w:p>
    <w:p w:rsidR="00C51A1F" w:rsidRDefault="00C51A1F" w:rsidP="00FC638D">
      <w:pPr>
        <w:pStyle w:val="ListParagraph"/>
        <w:numPr>
          <w:ilvl w:val="0"/>
          <w:numId w:val="5"/>
        </w:numPr>
        <w:spacing w:after="0" w:line="240" w:lineRule="auto"/>
        <w:rPr>
          <w:sz w:val="18"/>
          <w:szCs w:val="18"/>
        </w:rPr>
      </w:pPr>
      <w:r>
        <w:rPr>
          <w:sz w:val="18"/>
          <w:szCs w:val="18"/>
        </w:rPr>
        <w:t>One of the prerequisite conditions for the applicability of section 50B is that the sale consideration should be a lump sum amount and should not be bifurcated asset</w:t>
      </w:r>
      <w:r w:rsidR="00B67FDF">
        <w:rPr>
          <w:sz w:val="18"/>
          <w:szCs w:val="18"/>
        </w:rPr>
        <w:t xml:space="preserve"> </w:t>
      </w:r>
      <w:r>
        <w:rPr>
          <w:sz w:val="18"/>
          <w:szCs w:val="18"/>
        </w:rPr>
        <w:t xml:space="preserve">wise. In simple words, values shall not be assigned to individual </w:t>
      </w:r>
      <w:proofErr w:type="gramStart"/>
      <w:r>
        <w:rPr>
          <w:sz w:val="18"/>
          <w:szCs w:val="18"/>
        </w:rPr>
        <w:t>assets,</w:t>
      </w:r>
      <w:proofErr w:type="gramEnd"/>
      <w:r>
        <w:rPr>
          <w:sz w:val="18"/>
          <w:szCs w:val="18"/>
        </w:rPr>
        <w:t xml:space="preserve"> otherwise section 50B cannot be applied.</w:t>
      </w:r>
    </w:p>
    <w:p w:rsidR="00C51A1F" w:rsidRDefault="00C51A1F" w:rsidP="00C51A1F">
      <w:pPr>
        <w:pStyle w:val="ListParagraph"/>
        <w:spacing w:after="0" w:line="240" w:lineRule="auto"/>
        <w:rPr>
          <w:sz w:val="18"/>
          <w:szCs w:val="18"/>
        </w:rPr>
      </w:pPr>
      <w:r>
        <w:rPr>
          <w:sz w:val="18"/>
          <w:szCs w:val="18"/>
        </w:rPr>
        <w:t>However, if sale consideration / values are assigned to each individual asset only for the purpose of payment of Stamp Duty or Registration Charges, then it shall not be regarded as assignment of values to each asset.</w:t>
      </w:r>
    </w:p>
    <w:p w:rsidR="00C51A1F" w:rsidRDefault="00C51A1F" w:rsidP="00C51A1F">
      <w:pPr>
        <w:spacing w:after="0" w:line="240" w:lineRule="auto"/>
        <w:rPr>
          <w:sz w:val="18"/>
          <w:szCs w:val="18"/>
        </w:rPr>
      </w:pPr>
    </w:p>
    <w:p w:rsidR="00D81314" w:rsidRDefault="00D81314" w:rsidP="00C51A1F">
      <w:pPr>
        <w:spacing w:after="0" w:line="240" w:lineRule="auto"/>
        <w:rPr>
          <w:sz w:val="18"/>
          <w:szCs w:val="18"/>
        </w:rPr>
      </w:pPr>
    </w:p>
    <w:p w:rsidR="00D81314" w:rsidRDefault="00D81314" w:rsidP="00C51A1F">
      <w:pPr>
        <w:spacing w:after="0" w:line="240" w:lineRule="auto"/>
        <w:rPr>
          <w:sz w:val="18"/>
          <w:szCs w:val="18"/>
        </w:rPr>
      </w:pPr>
    </w:p>
    <w:p w:rsidR="00D81314" w:rsidRDefault="00D81314" w:rsidP="00D81314">
      <w:r>
        <w:rPr>
          <w:b/>
          <w:u w:val="single"/>
        </w:rPr>
        <w:lastRenderedPageBreak/>
        <w:t>What is the difference between ‘Slump Sale’ and ‘Demerger / Amalgamation</w:t>
      </w:r>
      <w:r>
        <w:t>’?</w:t>
      </w:r>
    </w:p>
    <w:p w:rsidR="00D81314" w:rsidRDefault="00D81314" w:rsidP="00D81314"/>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538"/>
        <w:gridCol w:w="5241"/>
        <w:gridCol w:w="568"/>
        <w:gridCol w:w="5208"/>
      </w:tblGrid>
      <w:tr w:rsidR="00D81314" w:rsidTr="00D81314">
        <w:tc>
          <w:tcPr>
            <w:tcW w:w="534"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jc w:val="center"/>
              <w:rPr>
                <w:b/>
              </w:rPr>
            </w:pPr>
            <w:r>
              <w:rPr>
                <w:b/>
              </w:rPr>
              <w:t>Sr. No.</w:t>
            </w:r>
          </w:p>
        </w:tc>
        <w:tc>
          <w:tcPr>
            <w:tcW w:w="524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jc w:val="center"/>
              <w:rPr>
                <w:b/>
              </w:rPr>
            </w:pPr>
            <w:r>
              <w:rPr>
                <w:b/>
              </w:rPr>
              <w:t>Slump Sale</w:t>
            </w:r>
          </w:p>
        </w:tc>
        <w:tc>
          <w:tcPr>
            <w:tcW w:w="56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jc w:val="center"/>
              <w:rPr>
                <w:b/>
              </w:rPr>
            </w:pPr>
            <w:r>
              <w:rPr>
                <w:b/>
              </w:rPr>
              <w:t>Sr. No.</w:t>
            </w:r>
          </w:p>
        </w:tc>
        <w:tc>
          <w:tcPr>
            <w:tcW w:w="521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jc w:val="center"/>
              <w:rPr>
                <w:b/>
              </w:rPr>
            </w:pPr>
            <w:r>
              <w:rPr>
                <w:b/>
              </w:rPr>
              <w:t>Amalgamation / Demerger</w:t>
            </w:r>
          </w:p>
        </w:tc>
      </w:tr>
      <w:tr w:rsidR="00D81314" w:rsidTr="00D81314">
        <w:tc>
          <w:tcPr>
            <w:tcW w:w="534"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(1.)</w:t>
            </w:r>
          </w:p>
        </w:tc>
        <w:tc>
          <w:tcPr>
            <w:tcW w:w="524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Transfer of Assets under ‘Slump Sale’ is considered as ‘</w:t>
            </w:r>
            <w:r>
              <w:rPr>
                <w:i/>
                <w:sz w:val="18"/>
                <w:szCs w:val="18"/>
              </w:rPr>
              <w:t>Transfer</w:t>
            </w:r>
            <w:r>
              <w:rPr>
                <w:sz w:val="18"/>
                <w:szCs w:val="18"/>
              </w:rPr>
              <w:t xml:space="preserve">’ and attracts Capital Gains Tax liability, to be computed in accordance with the provisions of section 50B of the Income Tax Act, 1961. </w:t>
            </w:r>
          </w:p>
        </w:tc>
        <w:tc>
          <w:tcPr>
            <w:tcW w:w="56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(1.)</w:t>
            </w:r>
          </w:p>
        </w:tc>
        <w:tc>
          <w:tcPr>
            <w:tcW w:w="521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Transfer of Assets by Amalgamating Company to Amalgamated Company or by Demerged Company to Resulting Company s not regarded as ‘</w:t>
            </w:r>
            <w:r>
              <w:rPr>
                <w:i/>
                <w:sz w:val="18"/>
                <w:szCs w:val="18"/>
              </w:rPr>
              <w:t>transfer</w:t>
            </w:r>
            <w:r>
              <w:rPr>
                <w:sz w:val="18"/>
                <w:szCs w:val="18"/>
              </w:rPr>
              <w:t>’ if some conditions are fulfilled and hence, such transactions are outside the purview of Capital Gains Tax.</w:t>
            </w:r>
          </w:p>
        </w:tc>
      </w:tr>
      <w:tr w:rsidR="00D81314" w:rsidTr="00D81314">
        <w:tc>
          <w:tcPr>
            <w:tcW w:w="534"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(2.)</w:t>
            </w:r>
          </w:p>
        </w:tc>
        <w:tc>
          <w:tcPr>
            <w:tcW w:w="524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 xml:space="preserve">The provisions of section </w:t>
            </w:r>
            <w:proofErr w:type="gramStart"/>
            <w:r>
              <w:rPr>
                <w:sz w:val="18"/>
                <w:szCs w:val="18"/>
              </w:rPr>
              <w:t>50B,</w:t>
            </w:r>
            <w:proofErr w:type="gramEnd"/>
            <w:r>
              <w:rPr>
                <w:sz w:val="18"/>
                <w:szCs w:val="18"/>
              </w:rPr>
              <w:t xml:space="preserve"> apply to all </w:t>
            </w:r>
            <w:proofErr w:type="spellStart"/>
            <w:r>
              <w:rPr>
                <w:sz w:val="18"/>
                <w:szCs w:val="18"/>
              </w:rPr>
              <w:t>assessee</w:t>
            </w:r>
            <w:proofErr w:type="spellEnd"/>
            <w:r>
              <w:rPr>
                <w:sz w:val="18"/>
                <w:szCs w:val="18"/>
              </w:rPr>
              <w:t xml:space="preserve"> and is not restricted to ‘Companies’.</w:t>
            </w:r>
          </w:p>
        </w:tc>
        <w:tc>
          <w:tcPr>
            <w:tcW w:w="56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(2.)</w:t>
            </w:r>
          </w:p>
        </w:tc>
        <w:tc>
          <w:tcPr>
            <w:tcW w:w="521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 xml:space="preserve">The concept of ‘Amalgamation’ or ’Demerger’ is applicable only to ‘Companies’ and not to any other </w:t>
            </w:r>
            <w:proofErr w:type="spellStart"/>
            <w:r>
              <w:rPr>
                <w:sz w:val="18"/>
                <w:szCs w:val="18"/>
              </w:rPr>
              <w:t>assesssee</w:t>
            </w:r>
            <w:proofErr w:type="spellEnd"/>
            <w:r>
              <w:rPr>
                <w:sz w:val="18"/>
                <w:szCs w:val="18"/>
              </w:rPr>
              <w:t>.</w:t>
            </w:r>
          </w:p>
        </w:tc>
      </w:tr>
      <w:tr w:rsidR="00D81314" w:rsidTr="00D81314">
        <w:tc>
          <w:tcPr>
            <w:tcW w:w="534"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(3.)</w:t>
            </w:r>
          </w:p>
        </w:tc>
        <w:tc>
          <w:tcPr>
            <w:tcW w:w="524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 xml:space="preserve">‘Payment’ of Sale consideration is required to be made in case of Slump Sale. </w:t>
            </w:r>
          </w:p>
        </w:tc>
        <w:tc>
          <w:tcPr>
            <w:tcW w:w="568"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(3.)</w:t>
            </w:r>
          </w:p>
        </w:tc>
        <w:tc>
          <w:tcPr>
            <w:tcW w:w="5210"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 xml:space="preserve">Sale Consideration is discharged by way of “issue of shares” by transferee to transferor, i.e. by Amalgamated Company to Amalgamating Company or by Resulting Company to Demerged Company (and not by way of making any “payment”). </w:t>
            </w:r>
          </w:p>
        </w:tc>
      </w:tr>
      <w:tr w:rsidR="00D81314" w:rsidTr="00D81314">
        <w:tc>
          <w:tcPr>
            <w:tcW w:w="534"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(4.)</w:t>
            </w:r>
          </w:p>
        </w:tc>
        <w:tc>
          <w:tcPr>
            <w:tcW w:w="524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rsidR="00D81314" w:rsidRDefault="00D81314">
            <w:pPr>
              <w:rPr>
                <w:sz w:val="18"/>
                <w:szCs w:val="18"/>
              </w:rPr>
            </w:pPr>
            <w:r>
              <w:rPr>
                <w:sz w:val="18"/>
                <w:szCs w:val="18"/>
              </w:rPr>
              <w:t xml:space="preserve">Values are not assigned to each individual </w:t>
            </w:r>
            <w:proofErr w:type="gramStart"/>
            <w:r>
              <w:rPr>
                <w:sz w:val="18"/>
                <w:szCs w:val="18"/>
              </w:rPr>
              <w:t>assets</w:t>
            </w:r>
            <w:proofErr w:type="gramEnd"/>
            <w:r>
              <w:rPr>
                <w:sz w:val="18"/>
                <w:szCs w:val="18"/>
              </w:rPr>
              <w:t>.</w:t>
            </w:r>
          </w:p>
        </w:tc>
        <w:tc>
          <w:tcPr>
            <w:tcW w:w="5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D81314" w:rsidRDefault="00D81314">
            <w:pPr>
              <w:rPr>
                <w:sz w:val="18"/>
                <w:szCs w:val="18"/>
              </w:rPr>
            </w:pPr>
          </w:p>
        </w:tc>
        <w:tc>
          <w:tcPr>
            <w:tcW w:w="5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D81314" w:rsidRDefault="00D81314">
            <w:pPr>
              <w:rPr>
                <w:sz w:val="18"/>
                <w:szCs w:val="18"/>
              </w:rPr>
            </w:pPr>
          </w:p>
        </w:tc>
      </w:tr>
    </w:tbl>
    <w:p w:rsidR="00D81314" w:rsidRDefault="00D81314" w:rsidP="00D81314">
      <w:pPr>
        <w:rPr>
          <w:sz w:val="18"/>
          <w:szCs w:val="18"/>
        </w:rPr>
      </w:pPr>
    </w:p>
    <w:p w:rsidR="00D81314" w:rsidRDefault="00D81314" w:rsidP="00D81314">
      <w:pPr>
        <w:rPr>
          <w:sz w:val="18"/>
          <w:szCs w:val="18"/>
        </w:rPr>
      </w:pPr>
    </w:p>
    <w:p w:rsidR="00D81314" w:rsidRDefault="00D81314" w:rsidP="00D81314">
      <w:pPr>
        <w:rPr>
          <w:b/>
        </w:rPr>
      </w:pPr>
      <w:r>
        <w:rPr>
          <w:b/>
          <w:u w:val="single"/>
        </w:rPr>
        <w:t>SECTION 50C</w:t>
      </w:r>
      <w:r>
        <w:rPr>
          <w:b/>
        </w:rPr>
        <w:t xml:space="preserve">: </w:t>
      </w:r>
      <w:r>
        <w:rPr>
          <w:b/>
          <w:u w:val="single"/>
        </w:rPr>
        <w:t>CAPITAL GAIN IN CASE OF TRANSFER OF LAND / BUILDING / BOTH</w:t>
      </w:r>
      <w:r>
        <w:rPr>
          <w:b/>
        </w:rPr>
        <w:t>:</w:t>
      </w:r>
    </w:p>
    <w:p w:rsidR="00D81314" w:rsidRDefault="00D81314" w:rsidP="00D81314">
      <w:pPr>
        <w:pStyle w:val="ListParagraph"/>
        <w:numPr>
          <w:ilvl w:val="0"/>
          <w:numId w:val="6"/>
        </w:numPr>
        <w:jc w:val="both"/>
        <w:rPr>
          <w:sz w:val="18"/>
          <w:szCs w:val="18"/>
        </w:rPr>
      </w:pPr>
      <w:r>
        <w:rPr>
          <w:sz w:val="18"/>
          <w:szCs w:val="18"/>
        </w:rPr>
        <w:t xml:space="preserve">The provisions of section 50C are applicable to all </w:t>
      </w:r>
      <w:proofErr w:type="spellStart"/>
      <w:r>
        <w:rPr>
          <w:sz w:val="18"/>
          <w:szCs w:val="18"/>
        </w:rPr>
        <w:t>assessee</w:t>
      </w:r>
      <w:proofErr w:type="spellEnd"/>
      <w:r>
        <w:rPr>
          <w:sz w:val="18"/>
          <w:szCs w:val="18"/>
        </w:rPr>
        <w:t xml:space="preserve">, whether Individual / HUF / </w:t>
      </w:r>
      <w:proofErr w:type="spellStart"/>
      <w:r>
        <w:rPr>
          <w:sz w:val="18"/>
          <w:szCs w:val="18"/>
        </w:rPr>
        <w:t>AoP</w:t>
      </w:r>
      <w:proofErr w:type="spellEnd"/>
      <w:r>
        <w:rPr>
          <w:sz w:val="18"/>
          <w:szCs w:val="18"/>
        </w:rPr>
        <w:t xml:space="preserve"> / </w:t>
      </w:r>
      <w:proofErr w:type="spellStart"/>
      <w:r>
        <w:rPr>
          <w:sz w:val="18"/>
          <w:szCs w:val="18"/>
        </w:rPr>
        <w:t>BoI</w:t>
      </w:r>
      <w:proofErr w:type="spellEnd"/>
      <w:r>
        <w:rPr>
          <w:sz w:val="18"/>
          <w:szCs w:val="18"/>
        </w:rPr>
        <w:t xml:space="preserve"> / Company / Firm / LLP.</w:t>
      </w:r>
    </w:p>
    <w:p w:rsidR="00D81314" w:rsidRDefault="00D81314" w:rsidP="00D81314">
      <w:pPr>
        <w:pStyle w:val="ListParagraph"/>
        <w:numPr>
          <w:ilvl w:val="0"/>
          <w:numId w:val="6"/>
        </w:numPr>
        <w:jc w:val="both"/>
        <w:rPr>
          <w:sz w:val="18"/>
          <w:szCs w:val="18"/>
        </w:rPr>
      </w:pPr>
      <w:r>
        <w:rPr>
          <w:sz w:val="18"/>
          <w:szCs w:val="18"/>
        </w:rPr>
        <w:t>But the provisions of section 50C are applicable to only on transfer of the following assets and not on transfer of any other asset:</w:t>
      </w:r>
    </w:p>
    <w:p w:rsidR="00D81314" w:rsidRDefault="00D81314" w:rsidP="00D81314">
      <w:pPr>
        <w:pStyle w:val="ListParagraph"/>
        <w:numPr>
          <w:ilvl w:val="0"/>
          <w:numId w:val="7"/>
        </w:numPr>
        <w:spacing w:after="0" w:line="240" w:lineRule="auto"/>
        <w:jc w:val="both"/>
        <w:rPr>
          <w:sz w:val="18"/>
          <w:szCs w:val="18"/>
        </w:rPr>
      </w:pPr>
      <w:r>
        <w:rPr>
          <w:sz w:val="18"/>
          <w:szCs w:val="18"/>
        </w:rPr>
        <w:t xml:space="preserve">Land, (b.) </w:t>
      </w:r>
      <w:proofErr w:type="gramStart"/>
      <w:r>
        <w:rPr>
          <w:sz w:val="18"/>
          <w:szCs w:val="18"/>
        </w:rPr>
        <w:t>Building  and</w:t>
      </w:r>
      <w:proofErr w:type="gramEnd"/>
      <w:r>
        <w:rPr>
          <w:sz w:val="18"/>
          <w:szCs w:val="18"/>
        </w:rPr>
        <w:t xml:space="preserve"> (c.) Land and Building both.</w:t>
      </w:r>
    </w:p>
    <w:p w:rsidR="00D81314" w:rsidRDefault="00D81314" w:rsidP="00D81314">
      <w:pPr>
        <w:pStyle w:val="ListParagraph"/>
        <w:numPr>
          <w:ilvl w:val="0"/>
          <w:numId w:val="6"/>
        </w:numPr>
        <w:spacing w:after="0" w:line="240" w:lineRule="auto"/>
        <w:jc w:val="both"/>
        <w:rPr>
          <w:sz w:val="18"/>
          <w:szCs w:val="18"/>
        </w:rPr>
      </w:pPr>
      <w:r>
        <w:rPr>
          <w:sz w:val="18"/>
          <w:szCs w:val="18"/>
        </w:rPr>
        <w:t>It makes no difference, whether the above mentioned assets are Depreciable or Non-Depreciable or whether Short Term or Long Term.</w:t>
      </w:r>
    </w:p>
    <w:p w:rsidR="00D81314" w:rsidRDefault="00D81314" w:rsidP="00D81314">
      <w:pPr>
        <w:pStyle w:val="ListParagraph"/>
        <w:numPr>
          <w:ilvl w:val="0"/>
          <w:numId w:val="6"/>
        </w:numPr>
        <w:spacing w:after="0" w:line="240" w:lineRule="auto"/>
        <w:jc w:val="both"/>
        <w:rPr>
          <w:sz w:val="18"/>
          <w:szCs w:val="18"/>
        </w:rPr>
      </w:pPr>
      <w:r>
        <w:rPr>
          <w:sz w:val="18"/>
          <w:szCs w:val="18"/>
        </w:rPr>
        <w:t xml:space="preserve"> Section 50C is basically a deeming provision, whereby the sale consideration of the above mentioned asset/s will be deemed to be either:</w:t>
      </w:r>
    </w:p>
    <w:p w:rsidR="00D81314" w:rsidRDefault="00D81314" w:rsidP="00D81314">
      <w:pPr>
        <w:pStyle w:val="ListParagraph"/>
        <w:numPr>
          <w:ilvl w:val="0"/>
          <w:numId w:val="8"/>
        </w:numPr>
        <w:spacing w:after="0" w:line="240" w:lineRule="auto"/>
        <w:jc w:val="both"/>
        <w:rPr>
          <w:sz w:val="18"/>
          <w:szCs w:val="18"/>
        </w:rPr>
      </w:pPr>
      <w:r>
        <w:rPr>
          <w:sz w:val="18"/>
          <w:szCs w:val="18"/>
        </w:rPr>
        <w:t xml:space="preserve">The </w:t>
      </w:r>
      <w:r>
        <w:rPr>
          <w:b/>
          <w:sz w:val="18"/>
          <w:szCs w:val="18"/>
        </w:rPr>
        <w:t>Actual Sale Consideration</w:t>
      </w:r>
      <w:r>
        <w:rPr>
          <w:sz w:val="18"/>
          <w:szCs w:val="18"/>
        </w:rPr>
        <w:t xml:space="preserve"> of such asset</w:t>
      </w:r>
    </w:p>
    <w:p w:rsidR="00D81314" w:rsidRDefault="00D81314" w:rsidP="00D81314">
      <w:pPr>
        <w:pStyle w:val="ListParagraph"/>
        <w:spacing w:after="0" w:line="240" w:lineRule="auto"/>
        <w:ind w:left="1080"/>
        <w:jc w:val="both"/>
        <w:rPr>
          <w:sz w:val="18"/>
          <w:szCs w:val="18"/>
        </w:rPr>
      </w:pPr>
      <w:r>
        <w:rPr>
          <w:sz w:val="18"/>
          <w:szCs w:val="18"/>
        </w:rPr>
        <w:t xml:space="preserve">                           </w:t>
      </w:r>
      <w:r>
        <w:rPr>
          <w:i/>
          <w:sz w:val="18"/>
          <w:szCs w:val="18"/>
          <w:u w:val="single"/>
        </w:rPr>
        <w:t>Or</w:t>
      </w:r>
    </w:p>
    <w:p w:rsidR="00D81314" w:rsidRDefault="00D81314" w:rsidP="00D81314">
      <w:pPr>
        <w:pStyle w:val="ListParagraph"/>
        <w:numPr>
          <w:ilvl w:val="0"/>
          <w:numId w:val="8"/>
        </w:numPr>
        <w:spacing w:after="0" w:line="240" w:lineRule="auto"/>
        <w:jc w:val="both"/>
        <w:rPr>
          <w:sz w:val="18"/>
          <w:szCs w:val="18"/>
        </w:rPr>
      </w:pPr>
      <w:r>
        <w:rPr>
          <w:b/>
          <w:sz w:val="18"/>
          <w:szCs w:val="18"/>
        </w:rPr>
        <w:t>Stamp Duty Value (SDV)</w:t>
      </w:r>
      <w:r>
        <w:rPr>
          <w:sz w:val="18"/>
          <w:szCs w:val="18"/>
        </w:rPr>
        <w:t xml:space="preserve"> adopted by Stamp Duty Valuation Officer of the State Government</w:t>
      </w:r>
    </w:p>
    <w:p w:rsidR="00D81314" w:rsidRDefault="00D81314" w:rsidP="00D81314">
      <w:pPr>
        <w:pStyle w:val="ListParagraph"/>
        <w:numPr>
          <w:ilvl w:val="0"/>
          <w:numId w:val="9"/>
        </w:numPr>
        <w:spacing w:after="0" w:line="240" w:lineRule="auto"/>
        <w:jc w:val="both"/>
        <w:rPr>
          <w:sz w:val="18"/>
          <w:szCs w:val="18"/>
        </w:rPr>
      </w:pPr>
      <w:proofErr w:type="gramStart"/>
      <w:r>
        <w:rPr>
          <w:sz w:val="18"/>
          <w:szCs w:val="18"/>
        </w:rPr>
        <w:t>or  (</w:t>
      </w:r>
      <w:proofErr w:type="gramEnd"/>
      <w:r>
        <w:rPr>
          <w:sz w:val="18"/>
          <w:szCs w:val="18"/>
        </w:rPr>
        <w:t xml:space="preserve">b.), whichever is </w:t>
      </w:r>
      <w:r>
        <w:rPr>
          <w:b/>
          <w:i/>
          <w:sz w:val="18"/>
          <w:szCs w:val="18"/>
          <w:u w:val="single"/>
        </w:rPr>
        <w:t>higher</w:t>
      </w:r>
      <w:r>
        <w:rPr>
          <w:sz w:val="18"/>
          <w:szCs w:val="18"/>
        </w:rPr>
        <w:t>.</w:t>
      </w:r>
    </w:p>
    <w:p w:rsidR="00D81314" w:rsidRDefault="00D81314" w:rsidP="00D81314">
      <w:pPr>
        <w:pStyle w:val="ListParagraph"/>
        <w:numPr>
          <w:ilvl w:val="0"/>
          <w:numId w:val="6"/>
        </w:numPr>
        <w:spacing w:after="0" w:line="240" w:lineRule="auto"/>
        <w:jc w:val="both"/>
        <w:rPr>
          <w:sz w:val="18"/>
          <w:szCs w:val="18"/>
        </w:rPr>
      </w:pPr>
      <w:r>
        <w:rPr>
          <w:sz w:val="18"/>
          <w:szCs w:val="18"/>
        </w:rPr>
        <w:t>The provisions of section 50C are applicable only to the ‘Transferor’ i.e. to the ‘Seller’ of Land / Bldg. / Both and not to the ‘Buyer’ or ‘Transferee’.</w:t>
      </w:r>
    </w:p>
    <w:p w:rsidR="00D81314" w:rsidRDefault="00D81314" w:rsidP="00D81314">
      <w:pPr>
        <w:pStyle w:val="ListParagraph"/>
        <w:spacing w:after="0" w:line="240" w:lineRule="auto"/>
        <w:jc w:val="both"/>
        <w:rPr>
          <w:sz w:val="18"/>
          <w:szCs w:val="18"/>
        </w:rPr>
      </w:pPr>
      <w:r>
        <w:rPr>
          <w:sz w:val="18"/>
          <w:szCs w:val="18"/>
        </w:rPr>
        <w:t xml:space="preserve">In simple language, section 50C does not apply to the buyer. When buyer sells Land / Bldg. / Both acquired by him, the cost of acquisition of the same for him will be the actual purchase price paid by him to acquire the asset and not the amount which was deemed as sale consideration as per section 50C, as discussed in point no. (4.) </w:t>
      </w:r>
      <w:proofErr w:type="gramStart"/>
      <w:r>
        <w:rPr>
          <w:sz w:val="18"/>
          <w:szCs w:val="18"/>
        </w:rPr>
        <w:t>above</w:t>
      </w:r>
      <w:proofErr w:type="gramEnd"/>
      <w:r>
        <w:rPr>
          <w:sz w:val="18"/>
          <w:szCs w:val="18"/>
        </w:rPr>
        <w:t>.</w:t>
      </w:r>
    </w:p>
    <w:p w:rsidR="00D81314" w:rsidRDefault="00D81314" w:rsidP="00D81314">
      <w:pPr>
        <w:pStyle w:val="ListParagraph"/>
        <w:numPr>
          <w:ilvl w:val="0"/>
          <w:numId w:val="6"/>
        </w:numPr>
        <w:spacing w:after="0" w:line="240" w:lineRule="auto"/>
        <w:jc w:val="both"/>
        <w:rPr>
          <w:sz w:val="18"/>
          <w:szCs w:val="18"/>
        </w:rPr>
      </w:pPr>
      <w:r>
        <w:rPr>
          <w:sz w:val="18"/>
          <w:szCs w:val="18"/>
        </w:rPr>
        <w:t>Sec. 50C can be applied only for the purpose of calculating income under the head ‘Capital Gains’ and not for the purpose of  calculating income under the head ‘Profits and Gains of Business and Profession’.</w:t>
      </w:r>
    </w:p>
    <w:p w:rsidR="00D81314" w:rsidRDefault="00D81314" w:rsidP="00D81314">
      <w:pPr>
        <w:pStyle w:val="ListParagraph"/>
        <w:spacing w:after="0" w:line="240" w:lineRule="auto"/>
        <w:jc w:val="both"/>
        <w:rPr>
          <w:sz w:val="18"/>
          <w:szCs w:val="18"/>
        </w:rPr>
      </w:pPr>
      <w:r>
        <w:rPr>
          <w:sz w:val="18"/>
          <w:szCs w:val="18"/>
        </w:rPr>
        <w:t>In simple words, sec. 50C cannot be applied in a case where Land / Building is ’</w:t>
      </w:r>
      <w:r>
        <w:rPr>
          <w:i/>
          <w:sz w:val="18"/>
          <w:szCs w:val="18"/>
        </w:rPr>
        <w:t>Stock-in-Trade</w:t>
      </w:r>
      <w:r>
        <w:rPr>
          <w:sz w:val="18"/>
          <w:szCs w:val="18"/>
        </w:rPr>
        <w:t xml:space="preserve">’ of the business of the </w:t>
      </w:r>
      <w:proofErr w:type="spellStart"/>
      <w:r>
        <w:rPr>
          <w:sz w:val="18"/>
          <w:szCs w:val="18"/>
        </w:rPr>
        <w:t>assessee</w:t>
      </w:r>
      <w:proofErr w:type="spellEnd"/>
      <w:r>
        <w:rPr>
          <w:sz w:val="18"/>
          <w:szCs w:val="18"/>
        </w:rPr>
        <w:t xml:space="preserve">. </w:t>
      </w:r>
    </w:p>
    <w:p w:rsidR="00D81314" w:rsidRDefault="00D81314" w:rsidP="00D81314">
      <w:pPr>
        <w:rPr>
          <w:sz w:val="18"/>
          <w:szCs w:val="18"/>
        </w:rPr>
      </w:pPr>
    </w:p>
    <w:p w:rsidR="00D81314" w:rsidRPr="00C51A1F" w:rsidRDefault="00D81314" w:rsidP="00C51A1F">
      <w:pPr>
        <w:spacing w:after="0" w:line="240" w:lineRule="auto"/>
        <w:rPr>
          <w:sz w:val="18"/>
          <w:szCs w:val="18"/>
        </w:rPr>
      </w:pPr>
    </w:p>
    <w:sectPr w:rsidR="00D81314" w:rsidRPr="00C51A1F" w:rsidSect="00297D30">
      <w:pgSz w:w="11906" w:h="16838"/>
      <w:pgMar w:top="567" w:right="227" w:bottom="170" w:left="3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3957"/>
    <w:multiLevelType w:val="hybridMultilevel"/>
    <w:tmpl w:val="17D00CEC"/>
    <w:lvl w:ilvl="0" w:tplc="83F6F9DC">
      <w:start w:val="7"/>
      <w:numFmt w:val="bullet"/>
      <w:lvlText w:val=""/>
      <w:lvlJc w:val="left"/>
      <w:pPr>
        <w:ind w:left="720" w:hanging="360"/>
      </w:pPr>
      <w:rPr>
        <w:rFonts w:ascii="Wingdings" w:eastAsiaTheme="minorEastAsia" w:hAnsi="Wingding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1343A5E"/>
    <w:multiLevelType w:val="hybridMultilevel"/>
    <w:tmpl w:val="194600B8"/>
    <w:lvl w:ilvl="0" w:tplc="C958C020">
      <w:start w:val="1"/>
      <w:numFmt w:val="decimal"/>
      <w:lvlText w:val="(%1.)"/>
      <w:lvlJc w:val="left"/>
      <w:pPr>
        <w:ind w:left="720"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2">
    <w:nsid w:val="1E54213A"/>
    <w:multiLevelType w:val="hybridMultilevel"/>
    <w:tmpl w:val="8F88F0DE"/>
    <w:lvl w:ilvl="0" w:tplc="687A8966">
      <w:start w:val="7"/>
      <w:numFmt w:val="bullet"/>
      <w:lvlText w:val=""/>
      <w:lvlJc w:val="left"/>
      <w:pPr>
        <w:ind w:left="720" w:hanging="360"/>
      </w:pPr>
      <w:rPr>
        <w:rFonts w:ascii="Wingdings" w:eastAsiaTheme="minorEastAsia" w:hAnsi="Wingding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6FF42C5"/>
    <w:multiLevelType w:val="hybridMultilevel"/>
    <w:tmpl w:val="607AA366"/>
    <w:lvl w:ilvl="0" w:tplc="521C67E0">
      <w:start w:val="1"/>
      <w:numFmt w:val="lowerLetter"/>
      <w:lvlText w:val="(%1.)"/>
      <w:lvlJc w:val="left"/>
      <w:pPr>
        <w:ind w:left="1080"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4">
    <w:nsid w:val="4C157924"/>
    <w:multiLevelType w:val="hybridMultilevel"/>
    <w:tmpl w:val="EB1AFBA2"/>
    <w:lvl w:ilvl="0" w:tplc="AD204516">
      <w:start w:val="7"/>
      <w:numFmt w:val="bullet"/>
      <w:lvlText w:val=""/>
      <w:lvlJc w:val="left"/>
      <w:pPr>
        <w:ind w:left="720" w:hanging="360"/>
      </w:pPr>
      <w:rPr>
        <w:rFonts w:ascii="Wingdings" w:eastAsiaTheme="minorEastAsia" w:hAnsi="Wingding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1100C32"/>
    <w:multiLevelType w:val="hybridMultilevel"/>
    <w:tmpl w:val="091A82A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5B0F21C1"/>
    <w:multiLevelType w:val="hybridMultilevel"/>
    <w:tmpl w:val="FD1CD012"/>
    <w:lvl w:ilvl="0" w:tplc="2DFA4296">
      <w:start w:val="1"/>
      <w:numFmt w:val="lowerLetter"/>
      <w:lvlText w:val="(%1.)"/>
      <w:lvlJc w:val="left"/>
      <w:pPr>
        <w:ind w:left="1605"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7">
    <w:nsid w:val="65386E91"/>
    <w:multiLevelType w:val="hybridMultilevel"/>
    <w:tmpl w:val="058C1A7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79EB7DD1"/>
    <w:multiLevelType w:val="hybridMultilevel"/>
    <w:tmpl w:val="180E3C90"/>
    <w:lvl w:ilvl="0" w:tplc="017EBDBA">
      <w:start w:val="1"/>
      <w:numFmt w:val="lowerLetter"/>
      <w:lvlText w:val="(%1.)"/>
      <w:lvlJc w:val="left"/>
      <w:pPr>
        <w:ind w:left="1080"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num w:numId="1">
    <w:abstractNumId w:val="7"/>
  </w:num>
  <w:num w:numId="2">
    <w:abstractNumId w:val="2"/>
  </w:num>
  <w:num w:numId="3">
    <w:abstractNumId w:val="4"/>
  </w:num>
  <w:num w:numId="4">
    <w:abstractNumId w:val="0"/>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seFELayout/>
  </w:compat>
  <w:rsids>
    <w:rsidRoot w:val="001A634B"/>
    <w:rsid w:val="000323DE"/>
    <w:rsid w:val="0003368F"/>
    <w:rsid w:val="001A634B"/>
    <w:rsid w:val="00297D30"/>
    <w:rsid w:val="002E71FB"/>
    <w:rsid w:val="003147D7"/>
    <w:rsid w:val="003D7DC5"/>
    <w:rsid w:val="00417BDD"/>
    <w:rsid w:val="00576548"/>
    <w:rsid w:val="0063109B"/>
    <w:rsid w:val="007061C2"/>
    <w:rsid w:val="00A4078F"/>
    <w:rsid w:val="00B67FDF"/>
    <w:rsid w:val="00BB6928"/>
    <w:rsid w:val="00BE630C"/>
    <w:rsid w:val="00C51A1F"/>
    <w:rsid w:val="00D41437"/>
    <w:rsid w:val="00D81314"/>
    <w:rsid w:val="00EA07E0"/>
    <w:rsid w:val="00F1157E"/>
    <w:rsid w:val="00FC638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7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57E"/>
    <w:pPr>
      <w:ind w:left="720"/>
      <w:contextualSpacing/>
    </w:pPr>
  </w:style>
  <w:style w:type="table" w:styleId="TableGrid">
    <w:name w:val="Table Grid"/>
    <w:basedOn w:val="TableNormal"/>
    <w:uiPriority w:val="59"/>
    <w:rsid w:val="00D4143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477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1074</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CHANGE_ME1</cp:lastModifiedBy>
  <cp:revision>12</cp:revision>
  <dcterms:created xsi:type="dcterms:W3CDTF">2012-03-16T08:41:00Z</dcterms:created>
  <dcterms:modified xsi:type="dcterms:W3CDTF">2012-04-26T17:47:00Z</dcterms:modified>
</cp:coreProperties>
</file>