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854" w:rsidRDefault="00AF6854" w:rsidP="00AF6854">
      <w:pPr>
        <w:pStyle w:val="NormalWeb"/>
        <w:jc w:val="both"/>
        <w:rPr>
          <w:rFonts w:ascii="Calibri" w:hAnsi="Calibri" w:cs="Calibri"/>
          <w:b/>
          <w:bCs/>
          <w:sz w:val="28"/>
          <w:szCs w:val="28"/>
          <w:u w:val="single"/>
        </w:rPr>
      </w:pPr>
      <w:r>
        <w:rPr>
          <w:rFonts w:ascii="Calibri" w:hAnsi="Calibri" w:cs="Calibri"/>
          <w:b/>
          <w:bCs/>
          <w:sz w:val="28"/>
          <w:szCs w:val="28"/>
          <w:u w:val="single"/>
        </w:rPr>
        <w:t>Controversial judgment in case of Taxability of payment for subscription fees as Royalty</w:t>
      </w:r>
    </w:p>
    <w:p w:rsidR="00AF6854" w:rsidRDefault="00AF6854" w:rsidP="00AF6854">
      <w:pPr>
        <w:pStyle w:val="NormalWeb"/>
        <w:jc w:val="both"/>
        <w:rPr>
          <w:rFonts w:ascii="Calibri" w:hAnsi="Calibri" w:cs="Calibri"/>
        </w:rPr>
      </w:pPr>
      <w:r>
        <w:rPr>
          <w:rFonts w:ascii="Calibri" w:hAnsi="Calibri" w:cs="Calibri"/>
        </w:rPr>
        <w:t>Different judicial authorities have delivered judgments on the contentious issue of characterization and Taxability of payment for subscription fees/ access fees to Non – resident not having Permanent Establishment in India. I have listed some of favorable and adverse decisions on the matter.</w:t>
      </w:r>
    </w:p>
    <w:p w:rsidR="00AF6854" w:rsidRDefault="00AF6854" w:rsidP="00AF6854">
      <w:pPr>
        <w:pStyle w:val="NormalWeb"/>
        <w:jc w:val="both"/>
        <w:rPr>
          <w:rFonts w:ascii="Calibri" w:hAnsi="Calibri" w:cs="Calibri"/>
        </w:rPr>
      </w:pPr>
      <w:r>
        <w:rPr>
          <w:rFonts w:ascii="Calibri" w:hAnsi="Calibri" w:cs="Calibri"/>
        </w:rPr>
        <w:t xml:space="preserve">AAR has favorably ruled in the case of </w:t>
      </w:r>
      <w:r>
        <w:rPr>
          <w:rFonts w:ascii="Calibri" w:hAnsi="Calibri" w:cs="Calibri"/>
          <w:b/>
          <w:bCs/>
        </w:rPr>
        <w:t>Dun and Bradstreet Espana S.A</w:t>
      </w:r>
      <w:r>
        <w:rPr>
          <w:rFonts w:ascii="Calibri" w:hAnsi="Calibri" w:cs="Calibri"/>
        </w:rPr>
        <w:t xml:space="preserve">., </w:t>
      </w:r>
      <w:r>
        <w:rPr>
          <w:rFonts w:ascii="Calibri" w:hAnsi="Calibri" w:cs="Calibri"/>
          <w:b/>
          <w:bCs/>
        </w:rPr>
        <w:t>In re [2005] 272 ITR 99 (AAR)</w:t>
      </w:r>
      <w:r>
        <w:rPr>
          <w:rFonts w:ascii="Calibri" w:hAnsi="Calibri" w:cs="Calibri"/>
        </w:rPr>
        <w:t xml:space="preserve"> that electronic purchase of Business information reports is not taxable as royalty. Also, similar view on identical fact is taken by Mumbai ITAT in the case of </w:t>
      </w:r>
      <w:r>
        <w:rPr>
          <w:rStyle w:val="Strong"/>
          <w:rFonts w:ascii="Calibri" w:hAnsi="Calibri" w:cs="Calibri"/>
        </w:rPr>
        <w:t> Dun &amp; Bradstreet Information Services India Pvt. Ltd. v. ADIT [2010-TII-59- ITAT-MUM-INTL]</w:t>
      </w:r>
      <w:r>
        <w:rPr>
          <w:rFonts w:ascii="Calibri" w:hAnsi="Calibri" w:cs="Calibri"/>
        </w:rPr>
        <w:t xml:space="preserve"> . </w:t>
      </w:r>
    </w:p>
    <w:p w:rsidR="00AF6854" w:rsidRDefault="00AF6854" w:rsidP="00AF6854">
      <w:pPr>
        <w:pStyle w:val="NormalWeb"/>
        <w:jc w:val="both"/>
        <w:rPr>
          <w:rFonts w:ascii="Calibri" w:hAnsi="Calibri" w:cs="Calibri"/>
        </w:rPr>
      </w:pPr>
      <w:r>
        <w:rPr>
          <w:rFonts w:ascii="Calibri" w:hAnsi="Calibri" w:cs="Calibri"/>
        </w:rPr>
        <w:t>AAR has again favorably ruled in the case of</w:t>
      </w:r>
      <w:r>
        <w:rPr>
          <w:rFonts w:ascii="Calibri" w:hAnsi="Calibri" w:cs="Calibri"/>
          <w:b/>
          <w:bCs/>
        </w:rPr>
        <w:t xml:space="preserve"> Factset Research Systems Inc</w:t>
      </w:r>
      <w:r>
        <w:rPr>
          <w:rFonts w:ascii="Calibri" w:hAnsi="Calibri" w:cs="Calibri"/>
        </w:rPr>
        <w:t xml:space="preserve">., </w:t>
      </w:r>
      <w:r>
        <w:rPr>
          <w:rFonts w:ascii="Calibri" w:hAnsi="Calibri" w:cs="Calibri"/>
          <w:b/>
          <w:bCs/>
        </w:rPr>
        <w:t xml:space="preserve">In Re </w:t>
      </w:r>
      <w:r>
        <w:rPr>
          <w:rFonts w:ascii="Verdana" w:hAnsi="Verdana"/>
          <w:b/>
          <w:bCs/>
          <w:color w:val="333333"/>
          <w:sz w:val="20"/>
          <w:szCs w:val="20"/>
        </w:rPr>
        <w:t>AAR No. 787 of 2008</w:t>
      </w:r>
      <w:r>
        <w:rPr>
          <w:rFonts w:ascii="Calibri" w:hAnsi="Calibri" w:cs="Calibri"/>
        </w:rPr>
        <w:t xml:space="preserve">  that payment of subscription Fees to electronic access to information is not taxable as royalty. After analysis of the license contract and definition of royalty as per Explanation 2 to section 9 (1) (vi) of the act ( more particularly clause v) and definition of copyright as per section 14 of </w:t>
      </w:r>
      <w:r>
        <w:rPr>
          <w:rFonts w:ascii="Verdana" w:hAnsi="Verdana"/>
          <w:color w:val="333333"/>
          <w:sz w:val="20"/>
          <w:szCs w:val="20"/>
        </w:rPr>
        <w:t>Copyright Act, 1957</w:t>
      </w:r>
      <w:r>
        <w:rPr>
          <w:rFonts w:ascii="Calibri" w:hAnsi="Calibri" w:cs="Calibri"/>
        </w:rPr>
        <w:t>, AAR has held that subscription fee is not taxable as royalty.</w:t>
      </w:r>
    </w:p>
    <w:p w:rsidR="00AF6854" w:rsidRDefault="00AF6854" w:rsidP="00AF6854">
      <w:pPr>
        <w:pStyle w:val="Default"/>
        <w:jc w:val="both"/>
        <w:rPr>
          <w:rFonts w:ascii="Calibri" w:hAnsi="Calibri" w:cs="Calibri"/>
          <w:color w:val="auto"/>
        </w:rPr>
      </w:pPr>
      <w:r>
        <w:rPr>
          <w:rFonts w:ascii="Calibri" w:hAnsi="Calibri" w:cs="Calibri"/>
          <w:color w:val="auto"/>
        </w:rPr>
        <w:t xml:space="preserve">Bangalore Tribunal in the case of </w:t>
      </w:r>
      <w:r>
        <w:rPr>
          <w:rFonts w:ascii="Calibri" w:hAnsi="Calibri" w:cs="Calibri"/>
          <w:b/>
          <w:bCs/>
          <w:color w:val="auto"/>
        </w:rPr>
        <w:t>Wipro Ltd. v. ITO [2004] 278 ITR 57 (Bang )</w:t>
      </w:r>
      <w:r>
        <w:rPr>
          <w:rFonts w:ascii="Calibri" w:hAnsi="Calibri" w:cs="Calibri"/>
          <w:color w:val="auto"/>
        </w:rPr>
        <w:t xml:space="preserve"> held that standard subscription fee to access market data is not taxable as Royalty as the same is paid for the use of copyrighted article and not for transfer of copyright. Relying on the above judgment, Mumbai ITAT in the case of </w:t>
      </w:r>
      <w:r>
        <w:rPr>
          <w:rStyle w:val="Strong"/>
          <w:rFonts w:ascii="Calibri" w:hAnsi="Calibri" w:cs="Calibri"/>
          <w:color w:val="auto"/>
        </w:rPr>
        <w:t xml:space="preserve">Gartner Ireland Ltd v. DDIT (ITA No. 1452/Mum/08) (Mum) </w:t>
      </w:r>
      <w:r>
        <w:rPr>
          <w:rStyle w:val="Strong"/>
          <w:rFonts w:ascii="Calibri" w:hAnsi="Calibri" w:cs="Calibri"/>
          <w:b w:val="0"/>
          <w:bCs w:val="0"/>
          <w:color w:val="auto"/>
        </w:rPr>
        <w:t>held that subscription fee to access research products like qualitative and quantitative information , statistical analysis and growth projection is business income and not royalty.</w:t>
      </w:r>
      <w:r>
        <w:rPr>
          <w:rStyle w:val="Strong"/>
          <w:rFonts w:ascii="Calibri" w:hAnsi="Calibri" w:cs="Calibri"/>
          <w:color w:val="auto"/>
        </w:rPr>
        <w:t xml:space="preserve"> </w:t>
      </w:r>
      <w:r>
        <w:rPr>
          <w:rStyle w:val="Strong"/>
          <w:rFonts w:ascii="Calibri" w:hAnsi="Calibri" w:cs="Calibri"/>
          <w:b w:val="0"/>
          <w:bCs w:val="0"/>
          <w:color w:val="auto"/>
        </w:rPr>
        <w:t>Karnataka High court overruled the above decision of Bangalore Tribunal in the case of</w:t>
      </w:r>
      <w:r>
        <w:rPr>
          <w:rStyle w:val="Strong"/>
          <w:rFonts w:ascii="Calibri" w:hAnsi="Calibri" w:cs="Calibri"/>
          <w:color w:val="auto"/>
        </w:rPr>
        <w:t xml:space="preserve"> ITO Vs. Wipro Limited (TS- 701-HC-2011) </w:t>
      </w:r>
      <w:r>
        <w:rPr>
          <w:rStyle w:val="Strong"/>
          <w:rFonts w:ascii="Calibri" w:hAnsi="Calibri" w:cs="Calibri"/>
          <w:b w:val="0"/>
          <w:bCs w:val="0"/>
          <w:color w:val="auto"/>
        </w:rPr>
        <w:t>and</w:t>
      </w:r>
      <w:r>
        <w:rPr>
          <w:rStyle w:val="Strong"/>
          <w:rFonts w:ascii="Calibri" w:hAnsi="Calibri" w:cs="Calibri"/>
          <w:color w:val="auto"/>
        </w:rPr>
        <w:t xml:space="preserve"> </w:t>
      </w:r>
      <w:r>
        <w:rPr>
          <w:rStyle w:val="Strong"/>
          <w:rFonts w:ascii="Calibri" w:hAnsi="Calibri" w:cs="Calibri"/>
          <w:b w:val="0"/>
          <w:bCs w:val="0"/>
          <w:color w:val="auto"/>
        </w:rPr>
        <w:t>held that</w:t>
      </w:r>
      <w:r>
        <w:rPr>
          <w:rStyle w:val="Strong"/>
          <w:rFonts w:ascii="Calibri" w:hAnsi="Calibri" w:cs="Calibri"/>
          <w:color w:val="auto"/>
        </w:rPr>
        <w:t xml:space="preserve"> </w:t>
      </w:r>
      <w:r>
        <w:rPr>
          <w:rFonts w:ascii="Calibri" w:hAnsi="Calibri" w:cs="Calibri"/>
          <w:color w:val="auto"/>
        </w:rPr>
        <w:t xml:space="preserve">transfer of right to access database is transfer of right to use copyright  and therefore, it is taxable as Royalty. Karnataka High court relied on its own judgment in the case of  </w:t>
      </w:r>
      <w:hyperlink r:id="rId5" w:tooltip="Permanent Link to CIT vs. Samsung Electronics Co Ltd (Karnataka High Court)" w:history="1">
        <w:r>
          <w:rPr>
            <w:rStyle w:val="Hyperlink"/>
            <w:rFonts w:ascii="Calibri" w:hAnsi="Calibri" w:cs="Calibri"/>
            <w:b/>
            <w:bCs/>
            <w:color w:val="auto"/>
            <w:u w:val="none"/>
          </w:rPr>
          <w:t>CIT vs. Samsung Electronics Co Ltd</w:t>
        </w:r>
        <w:r>
          <w:rPr>
            <w:rStyle w:val="Hyperlink"/>
            <w:rFonts w:ascii="Calibri" w:hAnsi="Calibri" w:cs="Calibri"/>
            <w:color w:val="auto"/>
          </w:rPr>
          <w:t xml:space="preserve"> </w:t>
        </w:r>
      </w:hyperlink>
      <w:r>
        <w:rPr>
          <w:rFonts w:ascii="Calibri" w:hAnsi="Calibri" w:cs="Calibri"/>
          <w:color w:val="auto"/>
        </w:rPr>
        <w:t xml:space="preserve">wherein it was held that payment for shrink wrapped software is taxable as royalty. On identical facts , Karnataka High court has in the case of </w:t>
      </w:r>
      <w:r>
        <w:rPr>
          <w:rFonts w:ascii="Calibri" w:hAnsi="Calibri" w:cs="Calibri"/>
          <w:b/>
          <w:bCs/>
          <w:color w:val="auto"/>
        </w:rPr>
        <w:t>CIT Vs. Infosys Technologies</w:t>
      </w:r>
      <w:r>
        <w:rPr>
          <w:rFonts w:ascii="Calibri" w:hAnsi="Calibri" w:cs="Calibri"/>
          <w:color w:val="auto"/>
        </w:rPr>
        <w:t xml:space="preserve"> (</w:t>
      </w:r>
      <w:r>
        <w:rPr>
          <w:rFonts w:ascii="Calibri" w:hAnsi="Calibri" w:cs="Calibri"/>
          <w:b/>
          <w:bCs/>
          <w:color w:val="auto"/>
        </w:rPr>
        <w:t>2012) 17 Taxman 115 (Kar)</w:t>
      </w:r>
      <w:r>
        <w:rPr>
          <w:rFonts w:ascii="Calibri" w:hAnsi="Calibri" w:cs="Calibri"/>
          <w:color w:val="auto"/>
        </w:rPr>
        <w:t xml:space="preserve"> held that payment to access online information amounts to payment for license to use database and hence taxable as royalty.</w:t>
      </w:r>
    </w:p>
    <w:p w:rsidR="00AF6854" w:rsidRDefault="00AF6854" w:rsidP="00AF6854">
      <w:pPr>
        <w:pStyle w:val="Default"/>
        <w:jc w:val="both"/>
        <w:rPr>
          <w:rFonts w:ascii="Calibri" w:hAnsi="Calibri" w:cs="Calibri"/>
          <w:color w:val="auto"/>
        </w:rPr>
      </w:pPr>
    </w:p>
    <w:p w:rsidR="00AF6854" w:rsidRDefault="00AF6854" w:rsidP="00AF6854">
      <w:pPr>
        <w:jc w:val="both"/>
        <w:rPr>
          <w:sz w:val="24"/>
          <w:szCs w:val="24"/>
        </w:rPr>
      </w:pPr>
      <w:r>
        <w:rPr>
          <w:sz w:val="24"/>
          <w:szCs w:val="24"/>
        </w:rPr>
        <w:t xml:space="preserve">Recent decision of Delhi ITAT in the case of </w:t>
      </w:r>
      <w:r>
        <w:rPr>
          <w:b/>
          <w:bCs/>
          <w:sz w:val="24"/>
          <w:szCs w:val="24"/>
        </w:rPr>
        <w:t>ONGC Videsh Limited  Vs. ITO  (ITA Nos.3179, 3180, 3181 &amp; 3182/Del./2009</w:t>
      </w:r>
      <w:r>
        <w:rPr>
          <w:sz w:val="24"/>
          <w:szCs w:val="24"/>
        </w:rPr>
        <w:t xml:space="preserve">  and </w:t>
      </w:r>
      <w:r>
        <w:rPr>
          <w:b/>
          <w:bCs/>
          <w:sz w:val="24"/>
          <w:szCs w:val="24"/>
        </w:rPr>
        <w:t>ITA No.3394/Del./2011</w:t>
      </w:r>
      <w:r>
        <w:rPr>
          <w:sz w:val="24"/>
          <w:szCs w:val="24"/>
        </w:rPr>
        <w:t xml:space="preserve"> ) adds to the controversy by holding that subscription fees paid to access information compiled in Oil and Gas Industry is Intellectual property/Propriety Information and cannot be considered as general information. Even though  right to copyright to the database has not been granted, the restricted access was considered as </w:t>
      </w:r>
      <w:r>
        <w:rPr>
          <w:sz w:val="24"/>
          <w:szCs w:val="24"/>
          <w:highlight w:val="yellow"/>
        </w:rPr>
        <w:t>“Trade secrets”</w:t>
      </w:r>
      <w:r>
        <w:rPr>
          <w:sz w:val="24"/>
          <w:szCs w:val="24"/>
        </w:rPr>
        <w:t xml:space="preserve"> and confidential information. Hence, Payment is held as taxable as Royalty as per section 9 (1) (VI) of The Income Tax Act and Article 13 (3) (a) of the Act. In my view, ITAT has not appreciated the distinction between delivery of copyrighted article and the granting of right to commercially exploit the intellectual property.</w:t>
      </w:r>
    </w:p>
    <w:p w:rsidR="00AF6854" w:rsidRDefault="00AF6854" w:rsidP="00AF6854">
      <w:pPr>
        <w:jc w:val="both"/>
        <w:rPr>
          <w:sz w:val="24"/>
          <w:szCs w:val="24"/>
        </w:rPr>
      </w:pPr>
      <w:r>
        <w:rPr>
          <w:sz w:val="24"/>
          <w:szCs w:val="24"/>
        </w:rPr>
        <w:t> </w:t>
      </w:r>
    </w:p>
    <w:p w:rsidR="00AF6854" w:rsidRDefault="00AF6854" w:rsidP="00AF6854">
      <w:pPr>
        <w:jc w:val="both"/>
        <w:rPr>
          <w:b/>
          <w:bCs/>
          <w:sz w:val="24"/>
          <w:szCs w:val="24"/>
        </w:rPr>
      </w:pPr>
      <w:r>
        <w:rPr>
          <w:b/>
          <w:bCs/>
          <w:sz w:val="24"/>
          <w:szCs w:val="24"/>
        </w:rPr>
        <w:lastRenderedPageBreak/>
        <w:t>Note :</w:t>
      </w:r>
    </w:p>
    <w:p w:rsidR="00AF6854" w:rsidRDefault="00AF6854" w:rsidP="00AF6854">
      <w:pPr>
        <w:jc w:val="both"/>
        <w:rPr>
          <w:sz w:val="24"/>
          <w:szCs w:val="24"/>
        </w:rPr>
      </w:pPr>
    </w:p>
    <w:p w:rsidR="00AF6854" w:rsidRDefault="00AF6854" w:rsidP="00AF6854">
      <w:pPr>
        <w:jc w:val="both"/>
        <w:rPr>
          <w:sz w:val="24"/>
          <w:szCs w:val="24"/>
        </w:rPr>
      </w:pPr>
      <w:r>
        <w:rPr>
          <w:b/>
          <w:bCs/>
          <w:sz w:val="24"/>
          <w:szCs w:val="24"/>
          <w:highlight w:val="yellow"/>
        </w:rPr>
        <w:t>“</w:t>
      </w:r>
      <w:r>
        <w:rPr>
          <w:sz w:val="24"/>
          <w:szCs w:val="24"/>
          <w:highlight w:val="yellow"/>
        </w:rPr>
        <w:t xml:space="preserve"> </w:t>
      </w:r>
      <w:r>
        <w:rPr>
          <w:b/>
          <w:bCs/>
          <w:sz w:val="24"/>
          <w:szCs w:val="24"/>
          <w:highlight w:val="yellow"/>
        </w:rPr>
        <w:t>Imparting of</w:t>
      </w:r>
      <w:r>
        <w:rPr>
          <w:sz w:val="24"/>
          <w:szCs w:val="24"/>
          <w:highlight w:val="yellow"/>
        </w:rPr>
        <w:t xml:space="preserve"> ”</w:t>
      </w:r>
      <w:r>
        <w:rPr>
          <w:sz w:val="24"/>
          <w:szCs w:val="24"/>
        </w:rPr>
        <w:t xml:space="preserve"> information concerning technical, industrial , commercial or scientific knowledge, experience or skill  is required in order to qualify as royalty under the clause (iv) of Explanation 2 to Section 9 (1) (vi) of the Act. Mere providing of information is not enough. In order to tax subscription fee under section 9 (1) (vi) as royalty,  more relevant clause is clause v which covers transfer of right in copyright. Definition of copyright has not been provided in the Income Tax Act and by applying the decision as per SC decision in the case of </w:t>
      </w:r>
      <w:r>
        <w:rPr>
          <w:rFonts w:ascii="Verdana" w:hAnsi="Verdana"/>
          <w:color w:val="333333"/>
          <w:sz w:val="20"/>
          <w:szCs w:val="20"/>
        </w:rPr>
        <w:t>State of Madras vs. Ganon Dunkrley &amp; Co., definition of copyright as provided in the copyright act, 1957 shall apply. AAR decision in the case of Factset research systems Inc has rightfully analysed definition of Copyright with respect to terms of the contract. In my view, other decisions failed to do so.</w:t>
      </w:r>
    </w:p>
    <w:p w:rsidR="00AF6854" w:rsidRDefault="00AF6854" w:rsidP="00AF6854">
      <w:pPr>
        <w:jc w:val="both"/>
        <w:rPr>
          <w:sz w:val="24"/>
          <w:szCs w:val="24"/>
        </w:rPr>
      </w:pPr>
    </w:p>
    <w:p w:rsidR="00AF6854" w:rsidRDefault="00AF6854" w:rsidP="00AF6854">
      <w:pPr>
        <w:jc w:val="both"/>
        <w:rPr>
          <w:sz w:val="24"/>
          <w:szCs w:val="24"/>
        </w:rPr>
      </w:pPr>
      <w:r>
        <w:rPr>
          <w:sz w:val="24"/>
          <w:szCs w:val="24"/>
        </w:rPr>
        <w:t xml:space="preserve">Imparting of information is not required in order to qualify as royalty as per definition of royalty provided in article 13 (3) (a) of the DTAA between India and UK. It covers, inter alia, payments of any kind received </w:t>
      </w:r>
      <w:r>
        <w:rPr>
          <w:sz w:val="24"/>
          <w:szCs w:val="24"/>
          <w:highlight w:val="yellow"/>
        </w:rPr>
        <w:t>as a consideration for information</w:t>
      </w:r>
      <w:r>
        <w:rPr>
          <w:sz w:val="24"/>
          <w:szCs w:val="24"/>
        </w:rPr>
        <w:t xml:space="preserve"> concerning industrial, commercial or scientific experience. </w:t>
      </w:r>
    </w:p>
    <w:p w:rsidR="00174A95" w:rsidRDefault="00174A95" w:rsidP="00AF6854">
      <w:pPr>
        <w:jc w:val="both"/>
        <w:rPr>
          <w:sz w:val="24"/>
          <w:szCs w:val="24"/>
        </w:rPr>
      </w:pPr>
    </w:p>
    <w:p w:rsidR="0064540D" w:rsidRDefault="0064540D" w:rsidP="00AF6854">
      <w:pPr>
        <w:jc w:val="both"/>
        <w:rPr>
          <w:sz w:val="24"/>
          <w:szCs w:val="24"/>
        </w:rPr>
      </w:pPr>
      <w:bookmarkStart w:id="0" w:name="_GoBack"/>
      <w:bookmarkEnd w:id="0"/>
    </w:p>
    <w:p w:rsidR="00174A95" w:rsidRDefault="0064540D" w:rsidP="00AF6854">
      <w:pPr>
        <w:jc w:val="both"/>
        <w:rPr>
          <w:sz w:val="24"/>
          <w:szCs w:val="24"/>
        </w:rPr>
      </w:pPr>
      <w:r>
        <w:rPr>
          <w:sz w:val="24"/>
          <w:szCs w:val="24"/>
        </w:rPr>
        <w:t>From,</w:t>
      </w:r>
    </w:p>
    <w:p w:rsidR="00174A95" w:rsidRDefault="00135ECD" w:rsidP="00AF6854">
      <w:pPr>
        <w:jc w:val="both"/>
        <w:rPr>
          <w:sz w:val="24"/>
          <w:szCs w:val="24"/>
        </w:rPr>
      </w:pPr>
      <w:r>
        <w:rPr>
          <w:sz w:val="24"/>
          <w:szCs w:val="24"/>
        </w:rPr>
        <w:t>KRUNAL H THAKKAR</w:t>
      </w:r>
      <w:r>
        <w:rPr>
          <w:sz w:val="24"/>
          <w:szCs w:val="24"/>
        </w:rPr>
        <w:tab/>
      </w:r>
    </w:p>
    <w:p w:rsidR="00135ECD" w:rsidRDefault="00135ECD" w:rsidP="00AF6854">
      <w:pPr>
        <w:jc w:val="both"/>
        <w:rPr>
          <w:sz w:val="24"/>
          <w:szCs w:val="24"/>
        </w:rPr>
      </w:pPr>
      <w:r>
        <w:rPr>
          <w:sz w:val="24"/>
          <w:szCs w:val="24"/>
        </w:rPr>
        <w:t>ACA, ACMA &amp; LCS</w:t>
      </w:r>
    </w:p>
    <w:p w:rsidR="000F7BEB" w:rsidRDefault="000F7BEB"/>
    <w:sectPr w:rsidR="000F7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854"/>
    <w:rsid w:val="000F7BEB"/>
    <w:rsid w:val="00135ECD"/>
    <w:rsid w:val="00174A95"/>
    <w:rsid w:val="0064540D"/>
    <w:rsid w:val="00AF6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85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6854"/>
    <w:rPr>
      <w:color w:val="0000FF"/>
      <w:u w:val="single"/>
    </w:rPr>
  </w:style>
  <w:style w:type="paragraph" w:styleId="NormalWeb">
    <w:name w:val="Normal (Web)"/>
    <w:basedOn w:val="Normal"/>
    <w:uiPriority w:val="99"/>
    <w:semiHidden/>
    <w:unhideWhenUsed/>
    <w:rsid w:val="00AF6854"/>
    <w:pPr>
      <w:spacing w:before="100" w:beforeAutospacing="1" w:after="100" w:afterAutospacing="1"/>
    </w:pPr>
    <w:rPr>
      <w:rFonts w:ascii="Times New Roman" w:hAnsi="Times New Roman" w:cs="Times New Roman"/>
      <w:sz w:val="24"/>
      <w:szCs w:val="24"/>
    </w:rPr>
  </w:style>
  <w:style w:type="paragraph" w:customStyle="1" w:styleId="Default">
    <w:name w:val="Default"/>
    <w:basedOn w:val="Normal"/>
    <w:uiPriority w:val="99"/>
    <w:semiHidden/>
    <w:rsid w:val="00AF6854"/>
    <w:pPr>
      <w:autoSpaceDE w:val="0"/>
      <w:autoSpaceDN w:val="0"/>
    </w:pPr>
    <w:rPr>
      <w:rFonts w:ascii="Arial" w:hAnsi="Arial" w:cs="Arial"/>
      <w:color w:val="000000"/>
      <w:sz w:val="24"/>
      <w:szCs w:val="24"/>
    </w:rPr>
  </w:style>
  <w:style w:type="character" w:styleId="Strong">
    <w:name w:val="Strong"/>
    <w:basedOn w:val="DefaultParagraphFont"/>
    <w:uiPriority w:val="22"/>
    <w:qFormat/>
    <w:rsid w:val="00AF68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85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6854"/>
    <w:rPr>
      <w:color w:val="0000FF"/>
      <w:u w:val="single"/>
    </w:rPr>
  </w:style>
  <w:style w:type="paragraph" w:styleId="NormalWeb">
    <w:name w:val="Normal (Web)"/>
    <w:basedOn w:val="Normal"/>
    <w:uiPriority w:val="99"/>
    <w:semiHidden/>
    <w:unhideWhenUsed/>
    <w:rsid w:val="00AF6854"/>
    <w:pPr>
      <w:spacing w:before="100" w:beforeAutospacing="1" w:after="100" w:afterAutospacing="1"/>
    </w:pPr>
    <w:rPr>
      <w:rFonts w:ascii="Times New Roman" w:hAnsi="Times New Roman" w:cs="Times New Roman"/>
      <w:sz w:val="24"/>
      <w:szCs w:val="24"/>
    </w:rPr>
  </w:style>
  <w:style w:type="paragraph" w:customStyle="1" w:styleId="Default">
    <w:name w:val="Default"/>
    <w:basedOn w:val="Normal"/>
    <w:uiPriority w:val="99"/>
    <w:semiHidden/>
    <w:rsid w:val="00AF6854"/>
    <w:pPr>
      <w:autoSpaceDE w:val="0"/>
      <w:autoSpaceDN w:val="0"/>
    </w:pPr>
    <w:rPr>
      <w:rFonts w:ascii="Arial" w:hAnsi="Arial" w:cs="Arial"/>
      <w:color w:val="000000"/>
      <w:sz w:val="24"/>
      <w:szCs w:val="24"/>
    </w:rPr>
  </w:style>
  <w:style w:type="character" w:styleId="Strong">
    <w:name w:val="Strong"/>
    <w:basedOn w:val="DefaultParagraphFont"/>
    <w:uiPriority w:val="22"/>
    <w:qFormat/>
    <w:rsid w:val="00AF68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72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tatonline.org/archives/index.php/cit-vs-samsung-electronics-co-ltd-karnataka-high-court-s-91vi-income-from-licence-of-software-assessable-as-royal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710</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oms</Company>
  <LinksUpToDate>false</LinksUpToDate>
  <CharactersWithSpaces>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2013-01-17T05:42:00Z</dcterms:created>
  <dcterms:modified xsi:type="dcterms:W3CDTF">2013-01-17T06:43:00Z</dcterms:modified>
</cp:coreProperties>
</file>