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45" w:rightFromText="45" w:vertAnchor="text" w:tblpXSpec="right" w:tblpYSpec="center"/>
        <w:tblW w:w="3015" w:type="dxa"/>
        <w:tblCellSpacing w:w="15" w:type="dxa"/>
        <w:tblCellMar>
          <w:top w:w="15" w:type="dxa"/>
          <w:left w:w="15" w:type="dxa"/>
          <w:bottom w:w="15" w:type="dxa"/>
          <w:right w:w="15" w:type="dxa"/>
        </w:tblCellMar>
        <w:tblLook w:val="04A0"/>
      </w:tblPr>
      <w:tblGrid>
        <w:gridCol w:w="3015"/>
      </w:tblGrid>
      <w:tr w:rsidR="00FC0F58" w:rsidRPr="00FC0F58" w:rsidTr="00D161D1">
        <w:trPr>
          <w:tblCellSpacing w:w="15" w:type="dxa"/>
        </w:trPr>
        <w:tc>
          <w:tcPr>
            <w:tcW w:w="0" w:type="auto"/>
            <w:vAlign w:val="center"/>
            <w:hideMark/>
          </w:tcPr>
          <w:tbl>
            <w:tblPr>
              <w:tblpPr w:leftFromText="45" w:rightFromText="45" w:vertAnchor="text" w:tblpXSpec="right" w:tblpYSpec="center"/>
              <w:tblW w:w="2925" w:type="dxa"/>
              <w:tblCellSpacing w:w="15" w:type="dxa"/>
              <w:tblCellMar>
                <w:top w:w="15" w:type="dxa"/>
                <w:left w:w="15" w:type="dxa"/>
                <w:bottom w:w="15" w:type="dxa"/>
                <w:right w:w="15" w:type="dxa"/>
              </w:tblCellMar>
              <w:tblLook w:val="04A0"/>
            </w:tblPr>
            <w:tblGrid>
              <w:gridCol w:w="1462"/>
              <w:gridCol w:w="1463"/>
            </w:tblGrid>
            <w:tr w:rsidR="00FC0F58" w:rsidRPr="00FC0F58">
              <w:trPr>
                <w:tblCellSpacing w:w="15" w:type="dxa"/>
              </w:trPr>
              <w:tc>
                <w:tcPr>
                  <w:tcW w:w="0" w:type="auto"/>
                  <w:vAlign w:val="center"/>
                  <w:hideMark/>
                </w:tcPr>
                <w:p w:rsidR="00FC0F58" w:rsidRPr="00FC0F58" w:rsidRDefault="00FC0F58" w:rsidP="00FC0F58">
                  <w:pPr>
                    <w:spacing w:before="30" w:after="30" w:line="360" w:lineRule="atLeast"/>
                    <w:jc w:val="both"/>
                    <w:rPr>
                      <w:rFonts w:ascii="Verdana" w:eastAsia="Times New Roman" w:hAnsi="Verdana" w:cs="Times New Roman"/>
                      <w:color w:val="000000"/>
                      <w:sz w:val="18"/>
                      <w:szCs w:val="18"/>
                    </w:rPr>
                  </w:pPr>
                </w:p>
              </w:tc>
              <w:tc>
                <w:tcPr>
                  <w:tcW w:w="0" w:type="auto"/>
                  <w:vAlign w:val="center"/>
                  <w:hideMark/>
                </w:tcPr>
                <w:p w:rsidR="00FC0F58" w:rsidRPr="00FC0F58" w:rsidRDefault="00FC0F58" w:rsidP="00FC0F58">
                  <w:pPr>
                    <w:spacing w:after="0" w:line="255" w:lineRule="atLeast"/>
                    <w:rPr>
                      <w:rFonts w:ascii="Times New Roman" w:eastAsia="Times New Roman" w:hAnsi="Times New Roman" w:cs="Times New Roman"/>
                      <w:sz w:val="21"/>
                      <w:szCs w:val="21"/>
                    </w:rPr>
                  </w:pPr>
                </w:p>
              </w:tc>
            </w:tr>
          </w:tbl>
          <w:p w:rsidR="00FC0F58" w:rsidRPr="00FC0F58" w:rsidRDefault="00FC0F58" w:rsidP="00FC0F58">
            <w:pPr>
              <w:spacing w:after="0" w:line="255" w:lineRule="atLeast"/>
              <w:rPr>
                <w:rFonts w:ascii="Times New Roman" w:eastAsia="Times New Roman" w:hAnsi="Times New Roman" w:cs="Times New Roman"/>
                <w:sz w:val="21"/>
                <w:szCs w:val="21"/>
              </w:rPr>
            </w:pPr>
          </w:p>
        </w:tc>
      </w:tr>
    </w:tbl>
    <w:p w:rsidR="00D161D1" w:rsidRDefault="00D161D1" w:rsidP="00D161D1">
      <w:pPr>
        <w:pStyle w:val="Heading2"/>
        <w:shd w:val="clear" w:color="auto" w:fill="FFFFFF"/>
        <w:rPr>
          <w:rFonts w:ascii="Arial" w:hAnsi="Arial" w:cs="Arial"/>
          <w:color w:val="222222"/>
        </w:rPr>
      </w:pPr>
      <w:hyperlink r:id="rId4" w:tgtFrame="_blank" w:tooltip="Permanent Link to I. C. D. S. Ltd vs.&#10;CIT (Supreme Court)" w:history="1">
        <w:r>
          <w:rPr>
            <w:rStyle w:val="Hyperlink"/>
            <w:rFonts w:ascii="Arial" w:hAnsi="Arial" w:cs="Arial"/>
            <w:color w:val="1155CC"/>
          </w:rPr>
          <w:t>I. C. D. S. Ltd vs. CIT (Supreme Court)</w:t>
        </w:r>
      </w:hyperlink>
    </w:p>
    <w:p w:rsidR="00FC0F58" w:rsidRPr="00FC0F58" w:rsidRDefault="00FC0F58" w:rsidP="00FC0F58">
      <w:pPr>
        <w:spacing w:before="30" w:after="30" w:line="360" w:lineRule="atLeast"/>
        <w:jc w:val="both"/>
        <w:rPr>
          <w:rFonts w:ascii="Verdana" w:eastAsia="Times New Roman" w:hAnsi="Verdana" w:cs="Arial"/>
          <w:color w:val="000000"/>
          <w:sz w:val="18"/>
          <w:szCs w:val="18"/>
        </w:rPr>
      </w:pPr>
      <w:r w:rsidRPr="00FC0F58">
        <w:rPr>
          <w:rFonts w:ascii="Verdana" w:eastAsia="Times New Roman" w:hAnsi="Verdana" w:cs="Arial"/>
          <w:b/>
          <w:bCs/>
          <w:color w:val="000000"/>
          <w:sz w:val="18"/>
          <w:szCs w:val="18"/>
        </w:rPr>
        <w:br/>
      </w:r>
      <w:r w:rsidRPr="00FC0F58">
        <w:rPr>
          <w:rFonts w:ascii="Verdana" w:eastAsia="Times New Roman" w:hAnsi="Verdana" w:cs="Arial"/>
          <w:b/>
          <w:bCs/>
          <w:color w:val="000000"/>
          <w:sz w:val="18"/>
        </w:rPr>
        <w:t>S. 32: A “Financier” satisfies the “ownership” &amp; “user” test for depreciation</w:t>
      </w:r>
    </w:p>
    <w:p w:rsidR="00FC0F58" w:rsidRPr="00FC0F58" w:rsidRDefault="00FC0F58" w:rsidP="00FC0F58">
      <w:pPr>
        <w:spacing w:before="30" w:after="30" w:line="360" w:lineRule="atLeast"/>
        <w:jc w:val="both"/>
        <w:rPr>
          <w:rFonts w:ascii="Verdana" w:eastAsia="Times New Roman" w:hAnsi="Verdana" w:cs="Arial"/>
          <w:color w:val="000000"/>
          <w:sz w:val="18"/>
          <w:szCs w:val="18"/>
        </w:rPr>
      </w:pPr>
      <w:r w:rsidRPr="00FC0F58">
        <w:rPr>
          <w:rFonts w:ascii="Verdana" w:eastAsia="Times New Roman" w:hAnsi="Verdana" w:cs="Arial"/>
          <w:color w:val="000000"/>
          <w:sz w:val="18"/>
          <w:szCs w:val="18"/>
        </w:rPr>
        <w:t> </w:t>
      </w:r>
    </w:p>
    <w:p w:rsidR="00FC0F58" w:rsidRPr="00FC0F58" w:rsidRDefault="00FC0F58" w:rsidP="00FC0F58">
      <w:pPr>
        <w:spacing w:before="30" w:after="30" w:line="360" w:lineRule="atLeast"/>
        <w:jc w:val="both"/>
        <w:rPr>
          <w:rFonts w:ascii="Verdana" w:eastAsia="Times New Roman" w:hAnsi="Verdana" w:cs="Arial"/>
          <w:color w:val="000000"/>
          <w:sz w:val="18"/>
          <w:szCs w:val="18"/>
        </w:rPr>
      </w:pPr>
      <w:r w:rsidRPr="00FC0F58">
        <w:rPr>
          <w:rFonts w:ascii="Verdana" w:eastAsia="Times New Roman" w:hAnsi="Verdana" w:cs="Arial"/>
          <w:color w:val="000000"/>
          <w:sz w:val="18"/>
          <w:szCs w:val="18"/>
        </w:rPr>
        <w:t xml:space="preserve">The </w:t>
      </w:r>
      <w:proofErr w:type="spellStart"/>
      <w:r w:rsidRPr="00FC0F58">
        <w:rPr>
          <w:rFonts w:ascii="Verdana" w:eastAsia="Times New Roman" w:hAnsi="Verdana" w:cs="Arial"/>
          <w:color w:val="000000"/>
          <w:sz w:val="18"/>
          <w:szCs w:val="18"/>
        </w:rPr>
        <w:t>assessee</w:t>
      </w:r>
      <w:proofErr w:type="spellEnd"/>
      <w:r w:rsidRPr="00FC0F58">
        <w:rPr>
          <w:rFonts w:ascii="Verdana" w:eastAsia="Times New Roman" w:hAnsi="Verdana" w:cs="Arial"/>
          <w:color w:val="000000"/>
          <w:sz w:val="18"/>
          <w:szCs w:val="18"/>
        </w:rPr>
        <w:t xml:space="preserve">, a NBFC, bought vehicles and leased it out to its customers. The vehicles were registered in the names of the customers. The AO held that as the vehicles were registered in the names of the customers and were used by them, the </w:t>
      </w:r>
      <w:proofErr w:type="spellStart"/>
      <w:r w:rsidRPr="00FC0F58">
        <w:rPr>
          <w:rFonts w:ascii="Verdana" w:eastAsia="Times New Roman" w:hAnsi="Verdana" w:cs="Arial"/>
          <w:color w:val="000000"/>
          <w:sz w:val="18"/>
          <w:szCs w:val="18"/>
        </w:rPr>
        <w:t>assessee</w:t>
      </w:r>
      <w:proofErr w:type="spellEnd"/>
      <w:r w:rsidRPr="00FC0F58">
        <w:rPr>
          <w:rFonts w:ascii="Verdana" w:eastAsia="Times New Roman" w:hAnsi="Verdana" w:cs="Arial"/>
          <w:color w:val="000000"/>
          <w:sz w:val="18"/>
          <w:szCs w:val="18"/>
        </w:rPr>
        <w:t xml:space="preserve"> was not eligible for depreciation u/s 32 as it was not the “owner” of the vehicles nor had it “</w:t>
      </w:r>
      <w:r w:rsidRPr="00FC0F58">
        <w:rPr>
          <w:rFonts w:ascii="Verdana" w:eastAsia="Times New Roman" w:hAnsi="Verdana" w:cs="Arial"/>
          <w:color w:val="000000"/>
          <w:sz w:val="18"/>
        </w:rPr>
        <w:t>used</w:t>
      </w:r>
      <w:r w:rsidRPr="00FC0F58">
        <w:rPr>
          <w:rFonts w:ascii="Verdana" w:eastAsia="Times New Roman" w:hAnsi="Verdana" w:cs="Arial"/>
          <w:color w:val="000000"/>
          <w:sz w:val="18"/>
          <w:szCs w:val="18"/>
        </w:rPr>
        <w:t xml:space="preserve">” the vehicles for purposes of business. The </w:t>
      </w:r>
      <w:proofErr w:type="gramStart"/>
      <w:r w:rsidRPr="00FC0F58">
        <w:rPr>
          <w:rFonts w:ascii="Verdana" w:eastAsia="Times New Roman" w:hAnsi="Verdana" w:cs="Arial"/>
          <w:color w:val="000000"/>
          <w:sz w:val="18"/>
          <w:szCs w:val="18"/>
        </w:rPr>
        <w:t>CIT(</w:t>
      </w:r>
      <w:proofErr w:type="gramEnd"/>
      <w:r w:rsidRPr="00FC0F58">
        <w:rPr>
          <w:rFonts w:ascii="Verdana" w:eastAsia="Times New Roman" w:hAnsi="Verdana" w:cs="Arial"/>
          <w:color w:val="000000"/>
          <w:sz w:val="18"/>
          <w:szCs w:val="18"/>
        </w:rPr>
        <w:t xml:space="preserve">A) &amp; Tribunal allowed the </w:t>
      </w:r>
      <w:proofErr w:type="spellStart"/>
      <w:r w:rsidRPr="00FC0F58">
        <w:rPr>
          <w:rFonts w:ascii="Verdana" w:eastAsia="Times New Roman" w:hAnsi="Verdana" w:cs="Arial"/>
          <w:color w:val="000000"/>
          <w:sz w:val="18"/>
          <w:szCs w:val="18"/>
        </w:rPr>
        <w:t>assessee’s</w:t>
      </w:r>
      <w:proofErr w:type="spellEnd"/>
      <w:r w:rsidRPr="00FC0F58">
        <w:rPr>
          <w:rFonts w:ascii="Verdana" w:eastAsia="Times New Roman" w:hAnsi="Verdana" w:cs="Arial"/>
          <w:color w:val="000000"/>
          <w:sz w:val="18"/>
          <w:szCs w:val="18"/>
        </w:rPr>
        <w:t xml:space="preserve"> claim. However, the High Court reversed the Tribunal on the ground that the </w:t>
      </w:r>
      <w:proofErr w:type="spellStart"/>
      <w:r w:rsidRPr="00FC0F58">
        <w:rPr>
          <w:rFonts w:ascii="Verdana" w:eastAsia="Times New Roman" w:hAnsi="Verdana" w:cs="Arial"/>
          <w:color w:val="000000"/>
          <w:sz w:val="18"/>
          <w:szCs w:val="18"/>
        </w:rPr>
        <w:t>assessee</w:t>
      </w:r>
      <w:proofErr w:type="spellEnd"/>
      <w:r w:rsidRPr="00FC0F58">
        <w:rPr>
          <w:rFonts w:ascii="Verdana" w:eastAsia="Times New Roman" w:hAnsi="Verdana" w:cs="Arial"/>
          <w:color w:val="000000"/>
          <w:sz w:val="18"/>
          <w:szCs w:val="18"/>
        </w:rPr>
        <w:t xml:space="preserve"> was only a “</w:t>
      </w:r>
      <w:r w:rsidRPr="00FC0F58">
        <w:rPr>
          <w:rFonts w:ascii="Verdana" w:eastAsia="Times New Roman" w:hAnsi="Verdana" w:cs="Arial"/>
          <w:color w:val="000000"/>
          <w:sz w:val="18"/>
        </w:rPr>
        <w:t>financier</w:t>
      </w:r>
      <w:r w:rsidRPr="00FC0F58">
        <w:rPr>
          <w:rFonts w:ascii="Verdana" w:eastAsia="Times New Roman" w:hAnsi="Verdana" w:cs="Arial"/>
          <w:color w:val="000000"/>
          <w:sz w:val="18"/>
          <w:szCs w:val="18"/>
        </w:rPr>
        <w:t>” and not the “</w:t>
      </w:r>
      <w:r w:rsidRPr="00FC0F58">
        <w:rPr>
          <w:rFonts w:ascii="Verdana" w:eastAsia="Times New Roman" w:hAnsi="Verdana" w:cs="Arial"/>
          <w:color w:val="000000"/>
          <w:sz w:val="18"/>
        </w:rPr>
        <w:t>owner</w:t>
      </w:r>
      <w:r w:rsidRPr="00FC0F58">
        <w:rPr>
          <w:rFonts w:ascii="Verdana" w:eastAsia="Times New Roman" w:hAnsi="Verdana" w:cs="Arial"/>
          <w:color w:val="000000"/>
          <w:sz w:val="18"/>
          <w:szCs w:val="18"/>
        </w:rPr>
        <w:t xml:space="preserve">” of the vehicles and so was not eligible to claim depreciation. On appeal by the </w:t>
      </w:r>
      <w:proofErr w:type="spellStart"/>
      <w:r w:rsidRPr="00FC0F58">
        <w:rPr>
          <w:rFonts w:ascii="Verdana" w:eastAsia="Times New Roman" w:hAnsi="Verdana" w:cs="Arial"/>
          <w:color w:val="000000"/>
          <w:sz w:val="18"/>
          <w:szCs w:val="18"/>
        </w:rPr>
        <w:t>assessee</w:t>
      </w:r>
      <w:proofErr w:type="spellEnd"/>
      <w:r w:rsidRPr="00FC0F58">
        <w:rPr>
          <w:rFonts w:ascii="Verdana" w:eastAsia="Times New Roman" w:hAnsi="Verdana" w:cs="Arial"/>
          <w:color w:val="000000"/>
          <w:sz w:val="18"/>
          <w:szCs w:val="18"/>
        </w:rPr>
        <w:t xml:space="preserve"> to the Supreme Court, HELD reversing the High Court:</w:t>
      </w:r>
    </w:p>
    <w:p w:rsidR="00FC0F58" w:rsidRPr="00FC0F58" w:rsidRDefault="00FC0F58" w:rsidP="00FC0F58">
      <w:pPr>
        <w:spacing w:before="30" w:after="30" w:line="360" w:lineRule="atLeast"/>
        <w:jc w:val="both"/>
        <w:rPr>
          <w:rFonts w:ascii="Verdana" w:eastAsia="Times New Roman" w:hAnsi="Verdana" w:cs="Arial"/>
          <w:color w:val="000000"/>
          <w:sz w:val="18"/>
          <w:szCs w:val="18"/>
        </w:rPr>
      </w:pPr>
      <w:r w:rsidRPr="00FC0F58">
        <w:rPr>
          <w:rFonts w:ascii="Verdana" w:eastAsia="Times New Roman" w:hAnsi="Verdana" w:cs="Arial"/>
          <w:color w:val="000000"/>
          <w:sz w:val="18"/>
          <w:szCs w:val="18"/>
        </w:rPr>
        <w:t> </w:t>
      </w:r>
    </w:p>
    <w:p w:rsidR="00FC0F58" w:rsidRPr="00FC0F58" w:rsidRDefault="00FC0F58" w:rsidP="00FC0F58">
      <w:pPr>
        <w:spacing w:before="30" w:after="30" w:line="360" w:lineRule="atLeast"/>
        <w:jc w:val="both"/>
        <w:rPr>
          <w:rFonts w:ascii="Verdana" w:eastAsia="Times New Roman" w:hAnsi="Verdana" w:cs="Arial"/>
          <w:color w:val="000000"/>
          <w:sz w:val="18"/>
          <w:szCs w:val="18"/>
        </w:rPr>
      </w:pPr>
      <w:r w:rsidRPr="00FC0F58">
        <w:rPr>
          <w:rFonts w:ascii="Verdana" w:eastAsia="Times New Roman" w:hAnsi="Verdana" w:cs="Arial"/>
          <w:color w:val="000000"/>
          <w:sz w:val="18"/>
          <w:szCs w:val="18"/>
        </w:rPr>
        <w:t>(</w:t>
      </w:r>
      <w:proofErr w:type="spellStart"/>
      <w:r w:rsidRPr="00FC0F58">
        <w:rPr>
          <w:rFonts w:ascii="Verdana" w:eastAsia="Times New Roman" w:hAnsi="Verdana" w:cs="Arial"/>
          <w:color w:val="000000"/>
          <w:sz w:val="18"/>
          <w:szCs w:val="18"/>
        </w:rPr>
        <w:t>i</w:t>
      </w:r>
      <w:proofErr w:type="spellEnd"/>
      <w:r w:rsidRPr="00FC0F58">
        <w:rPr>
          <w:rFonts w:ascii="Verdana" w:eastAsia="Times New Roman" w:hAnsi="Verdana" w:cs="Arial"/>
          <w:color w:val="000000"/>
          <w:sz w:val="18"/>
          <w:szCs w:val="18"/>
        </w:rPr>
        <w:t>) S. 32 requires that the asset must be “</w:t>
      </w:r>
      <w:r w:rsidRPr="00FC0F58">
        <w:rPr>
          <w:rFonts w:ascii="Verdana" w:eastAsia="Times New Roman" w:hAnsi="Verdana" w:cs="Arial"/>
          <w:color w:val="000000"/>
          <w:sz w:val="18"/>
        </w:rPr>
        <w:t xml:space="preserve">owned, wholly or partly, by the </w:t>
      </w:r>
      <w:proofErr w:type="spellStart"/>
      <w:r w:rsidRPr="00FC0F58">
        <w:rPr>
          <w:rFonts w:ascii="Verdana" w:eastAsia="Times New Roman" w:hAnsi="Verdana" w:cs="Arial"/>
          <w:color w:val="000000"/>
          <w:sz w:val="18"/>
        </w:rPr>
        <w:t>assessee</w:t>
      </w:r>
      <w:proofErr w:type="spellEnd"/>
      <w:r w:rsidRPr="00FC0F58">
        <w:rPr>
          <w:rFonts w:ascii="Verdana" w:eastAsia="Times New Roman" w:hAnsi="Verdana" w:cs="Arial"/>
          <w:color w:val="000000"/>
          <w:sz w:val="18"/>
        </w:rPr>
        <w:t xml:space="preserve"> and used for the purposes of the business</w:t>
      </w:r>
      <w:r w:rsidRPr="00FC0F58">
        <w:rPr>
          <w:rFonts w:ascii="Verdana" w:eastAsia="Times New Roman" w:hAnsi="Verdana" w:cs="Arial"/>
          <w:color w:val="000000"/>
          <w:sz w:val="18"/>
          <w:szCs w:val="18"/>
        </w:rPr>
        <w:t xml:space="preserve">”. The Department’s argument that the </w:t>
      </w:r>
      <w:proofErr w:type="spellStart"/>
      <w:r w:rsidRPr="00FC0F58">
        <w:rPr>
          <w:rFonts w:ascii="Verdana" w:eastAsia="Times New Roman" w:hAnsi="Verdana" w:cs="Arial"/>
          <w:color w:val="000000"/>
          <w:sz w:val="18"/>
          <w:szCs w:val="18"/>
        </w:rPr>
        <w:t>assessee</w:t>
      </w:r>
      <w:proofErr w:type="spellEnd"/>
      <w:r w:rsidRPr="00FC0F58">
        <w:rPr>
          <w:rFonts w:ascii="Verdana" w:eastAsia="Times New Roman" w:hAnsi="Verdana" w:cs="Arial"/>
          <w:color w:val="000000"/>
          <w:sz w:val="18"/>
          <w:szCs w:val="18"/>
        </w:rPr>
        <w:t xml:space="preserve"> is not the “owner” of the vehicles is not acceptable because the lease agreement specifically provided that the </w:t>
      </w:r>
      <w:proofErr w:type="spellStart"/>
      <w:r w:rsidRPr="00FC0F58">
        <w:rPr>
          <w:rFonts w:ascii="Verdana" w:eastAsia="Times New Roman" w:hAnsi="Verdana" w:cs="Arial"/>
          <w:color w:val="000000"/>
          <w:sz w:val="18"/>
          <w:szCs w:val="18"/>
        </w:rPr>
        <w:t>assessee</w:t>
      </w:r>
      <w:proofErr w:type="spellEnd"/>
      <w:r w:rsidRPr="00FC0F58">
        <w:rPr>
          <w:rFonts w:ascii="Verdana" w:eastAsia="Times New Roman" w:hAnsi="Verdana" w:cs="Arial"/>
          <w:color w:val="000000"/>
          <w:sz w:val="18"/>
          <w:szCs w:val="18"/>
        </w:rPr>
        <w:t xml:space="preserve"> was the </w:t>
      </w:r>
      <w:proofErr w:type="gramStart"/>
      <w:r w:rsidRPr="00FC0F58">
        <w:rPr>
          <w:rFonts w:ascii="Verdana" w:eastAsia="Times New Roman" w:hAnsi="Verdana" w:cs="Arial"/>
          <w:color w:val="000000"/>
          <w:sz w:val="18"/>
          <w:szCs w:val="18"/>
        </w:rPr>
        <w:t>exclusive</w:t>
      </w:r>
      <w:proofErr w:type="gramEnd"/>
      <w:r w:rsidRPr="00FC0F58">
        <w:rPr>
          <w:rFonts w:ascii="Verdana" w:eastAsia="Times New Roman" w:hAnsi="Verdana" w:cs="Arial"/>
          <w:color w:val="000000"/>
          <w:sz w:val="18"/>
          <w:szCs w:val="18"/>
        </w:rPr>
        <w:t xml:space="preserve"> owner of the vehicle at all points of time and that it was empowered to repossess the vehicle (and not merely recover money) if the lessee committed a default. At the conclusion of the lease period, the lessee was obliged to return the vehicle to the </w:t>
      </w:r>
      <w:proofErr w:type="spellStart"/>
      <w:r w:rsidRPr="00FC0F58">
        <w:rPr>
          <w:rFonts w:ascii="Verdana" w:eastAsia="Times New Roman" w:hAnsi="Verdana" w:cs="Arial"/>
          <w:color w:val="000000"/>
          <w:sz w:val="18"/>
          <w:szCs w:val="18"/>
        </w:rPr>
        <w:t>assessee</w:t>
      </w:r>
      <w:proofErr w:type="spellEnd"/>
      <w:r w:rsidRPr="00FC0F58">
        <w:rPr>
          <w:rFonts w:ascii="Verdana" w:eastAsia="Times New Roman" w:hAnsi="Verdana" w:cs="Arial"/>
          <w:color w:val="000000"/>
          <w:sz w:val="18"/>
          <w:szCs w:val="18"/>
        </w:rPr>
        <w:t xml:space="preserve">. Also, the </w:t>
      </w:r>
      <w:proofErr w:type="spellStart"/>
      <w:r w:rsidRPr="00FC0F58">
        <w:rPr>
          <w:rFonts w:ascii="Verdana" w:eastAsia="Times New Roman" w:hAnsi="Verdana" w:cs="Arial"/>
          <w:color w:val="000000"/>
          <w:sz w:val="18"/>
          <w:szCs w:val="18"/>
        </w:rPr>
        <w:t>assessee</w:t>
      </w:r>
      <w:proofErr w:type="spellEnd"/>
      <w:r w:rsidRPr="00FC0F58">
        <w:rPr>
          <w:rFonts w:ascii="Verdana" w:eastAsia="Times New Roman" w:hAnsi="Verdana" w:cs="Arial"/>
          <w:color w:val="000000"/>
          <w:sz w:val="18"/>
          <w:szCs w:val="18"/>
        </w:rPr>
        <w:t xml:space="preserve"> had the right of inspection of the vehicle at all times. As the </w:t>
      </w:r>
      <w:proofErr w:type="spellStart"/>
      <w:r w:rsidRPr="00FC0F58">
        <w:rPr>
          <w:rFonts w:ascii="Verdana" w:eastAsia="Times New Roman" w:hAnsi="Verdana" w:cs="Arial"/>
          <w:color w:val="000000"/>
          <w:sz w:val="18"/>
          <w:szCs w:val="18"/>
        </w:rPr>
        <w:t>assessee</w:t>
      </w:r>
      <w:proofErr w:type="spellEnd"/>
      <w:r w:rsidRPr="00FC0F58">
        <w:rPr>
          <w:rFonts w:ascii="Verdana" w:eastAsia="Times New Roman" w:hAnsi="Verdana" w:cs="Arial"/>
          <w:color w:val="000000"/>
          <w:sz w:val="18"/>
          <w:szCs w:val="18"/>
        </w:rPr>
        <w:t xml:space="preserve"> has a right to retain the legal title of the vehicle against the rest of the world, it would be the owner of the vehicle in the eyes of law. The fact that at the end of the lease period, the ownership of the vehicle is transferred to the lessee at a nominal value not exceeding 1% of the original cost of the vehicle does not make a difference. Also the fact that the Motor Vehicles Act deems the lessee to be the “owner” has no relevance;</w:t>
      </w:r>
    </w:p>
    <w:p w:rsidR="00FC0F58" w:rsidRPr="00FC0F58" w:rsidRDefault="00FC0F58" w:rsidP="00FC0F58">
      <w:pPr>
        <w:spacing w:before="30" w:after="30" w:line="360" w:lineRule="atLeast"/>
        <w:jc w:val="both"/>
        <w:rPr>
          <w:rFonts w:ascii="Verdana" w:eastAsia="Times New Roman" w:hAnsi="Verdana" w:cs="Arial"/>
          <w:color w:val="000000"/>
          <w:sz w:val="18"/>
          <w:szCs w:val="18"/>
        </w:rPr>
      </w:pPr>
      <w:r w:rsidRPr="00FC0F58">
        <w:rPr>
          <w:rFonts w:ascii="Verdana" w:eastAsia="Times New Roman" w:hAnsi="Verdana" w:cs="Arial"/>
          <w:color w:val="000000"/>
          <w:sz w:val="18"/>
          <w:szCs w:val="18"/>
        </w:rPr>
        <w:t> </w:t>
      </w:r>
    </w:p>
    <w:p w:rsidR="00FC0F58" w:rsidRPr="00FC0F58" w:rsidRDefault="00FC0F58" w:rsidP="00FC0F58">
      <w:pPr>
        <w:spacing w:before="30" w:after="30" w:line="360" w:lineRule="atLeast"/>
        <w:jc w:val="both"/>
        <w:rPr>
          <w:rFonts w:ascii="Verdana" w:eastAsia="Times New Roman" w:hAnsi="Verdana" w:cs="Arial"/>
          <w:color w:val="000000"/>
          <w:sz w:val="18"/>
          <w:szCs w:val="18"/>
        </w:rPr>
      </w:pPr>
      <w:r w:rsidRPr="00FC0F58">
        <w:rPr>
          <w:rFonts w:ascii="Verdana" w:eastAsia="Times New Roman" w:hAnsi="Verdana" w:cs="Arial"/>
          <w:color w:val="000000"/>
          <w:sz w:val="18"/>
          <w:szCs w:val="18"/>
        </w:rPr>
        <w:t xml:space="preserve">(ii) The Department’s argument that the </w:t>
      </w:r>
      <w:proofErr w:type="spellStart"/>
      <w:r w:rsidRPr="00FC0F58">
        <w:rPr>
          <w:rFonts w:ascii="Verdana" w:eastAsia="Times New Roman" w:hAnsi="Verdana" w:cs="Arial"/>
          <w:color w:val="000000"/>
          <w:sz w:val="18"/>
          <w:szCs w:val="18"/>
        </w:rPr>
        <w:t>assessee</w:t>
      </w:r>
      <w:proofErr w:type="spellEnd"/>
      <w:r w:rsidRPr="00FC0F58">
        <w:rPr>
          <w:rFonts w:ascii="Verdana" w:eastAsia="Times New Roman" w:hAnsi="Verdana" w:cs="Arial"/>
          <w:color w:val="000000"/>
          <w:sz w:val="18"/>
          <w:szCs w:val="18"/>
        </w:rPr>
        <w:t xml:space="preserve"> had not “</w:t>
      </w:r>
      <w:r w:rsidRPr="00FC0F58">
        <w:rPr>
          <w:rFonts w:ascii="Verdana" w:eastAsia="Times New Roman" w:hAnsi="Verdana" w:cs="Arial"/>
          <w:color w:val="000000"/>
          <w:sz w:val="18"/>
        </w:rPr>
        <w:t>used</w:t>
      </w:r>
      <w:r w:rsidRPr="00FC0F58">
        <w:rPr>
          <w:rFonts w:ascii="Verdana" w:eastAsia="Times New Roman" w:hAnsi="Verdana" w:cs="Arial"/>
          <w:color w:val="000000"/>
          <w:sz w:val="18"/>
          <w:szCs w:val="18"/>
        </w:rPr>
        <w:t>” the vehicles is also not acceptable because the vehicle was “</w:t>
      </w:r>
      <w:r w:rsidRPr="00FC0F58">
        <w:rPr>
          <w:rFonts w:ascii="Verdana" w:eastAsia="Times New Roman" w:hAnsi="Verdana" w:cs="Arial"/>
          <w:color w:val="000000"/>
          <w:sz w:val="18"/>
        </w:rPr>
        <w:t>used</w:t>
      </w:r>
      <w:r w:rsidRPr="00FC0F58">
        <w:rPr>
          <w:rFonts w:ascii="Verdana" w:eastAsia="Times New Roman" w:hAnsi="Verdana" w:cs="Arial"/>
          <w:color w:val="000000"/>
          <w:sz w:val="18"/>
          <w:szCs w:val="18"/>
        </w:rPr>
        <w:t xml:space="preserve">” by the </w:t>
      </w:r>
      <w:proofErr w:type="spellStart"/>
      <w:r w:rsidRPr="00FC0F58">
        <w:rPr>
          <w:rFonts w:ascii="Verdana" w:eastAsia="Times New Roman" w:hAnsi="Verdana" w:cs="Arial"/>
          <w:color w:val="000000"/>
          <w:sz w:val="18"/>
          <w:szCs w:val="18"/>
        </w:rPr>
        <w:t>assessee</w:t>
      </w:r>
      <w:proofErr w:type="spellEnd"/>
      <w:r w:rsidRPr="00FC0F58">
        <w:rPr>
          <w:rFonts w:ascii="Verdana" w:eastAsia="Times New Roman" w:hAnsi="Verdana" w:cs="Arial"/>
          <w:color w:val="000000"/>
          <w:sz w:val="18"/>
          <w:szCs w:val="18"/>
        </w:rPr>
        <w:t xml:space="preserve"> in </w:t>
      </w:r>
      <w:proofErr w:type="gramStart"/>
      <w:r w:rsidRPr="00FC0F58">
        <w:rPr>
          <w:rFonts w:ascii="Verdana" w:eastAsia="Times New Roman" w:hAnsi="Verdana" w:cs="Arial"/>
          <w:color w:val="000000"/>
          <w:sz w:val="18"/>
          <w:szCs w:val="18"/>
        </w:rPr>
        <w:t>its</w:t>
      </w:r>
      <w:proofErr w:type="gramEnd"/>
      <w:r w:rsidRPr="00FC0F58">
        <w:rPr>
          <w:rFonts w:ascii="Verdana" w:eastAsia="Times New Roman" w:hAnsi="Verdana" w:cs="Arial"/>
          <w:color w:val="000000"/>
          <w:sz w:val="18"/>
          <w:szCs w:val="18"/>
        </w:rPr>
        <w:t xml:space="preserve">’ business of leasing. Once it is held that leasing out of the vehicles is one mode of doing business by the </w:t>
      </w:r>
      <w:proofErr w:type="spellStart"/>
      <w:r w:rsidRPr="00FC0F58">
        <w:rPr>
          <w:rFonts w:ascii="Verdana" w:eastAsia="Times New Roman" w:hAnsi="Verdana" w:cs="Arial"/>
          <w:color w:val="000000"/>
          <w:sz w:val="18"/>
          <w:szCs w:val="18"/>
        </w:rPr>
        <w:t>assessee</w:t>
      </w:r>
      <w:proofErr w:type="spellEnd"/>
      <w:r w:rsidRPr="00FC0F58">
        <w:rPr>
          <w:rFonts w:ascii="Verdana" w:eastAsia="Times New Roman" w:hAnsi="Verdana" w:cs="Arial"/>
          <w:color w:val="000000"/>
          <w:sz w:val="18"/>
          <w:szCs w:val="18"/>
        </w:rPr>
        <w:t xml:space="preserve"> and the income derived from leasing out is treated as business income it would be contradictory, in terms, to say that the vehicles are not used wholly for the purpose of the </w:t>
      </w:r>
      <w:proofErr w:type="spellStart"/>
      <w:r w:rsidRPr="00FC0F58">
        <w:rPr>
          <w:rFonts w:ascii="Verdana" w:eastAsia="Times New Roman" w:hAnsi="Verdana" w:cs="Arial"/>
          <w:color w:val="000000"/>
          <w:sz w:val="18"/>
          <w:szCs w:val="18"/>
        </w:rPr>
        <w:t>assessee’s</w:t>
      </w:r>
      <w:proofErr w:type="spellEnd"/>
      <w:r w:rsidRPr="00FC0F58">
        <w:rPr>
          <w:rFonts w:ascii="Verdana" w:eastAsia="Times New Roman" w:hAnsi="Verdana" w:cs="Arial"/>
          <w:color w:val="000000"/>
          <w:sz w:val="18"/>
          <w:szCs w:val="18"/>
        </w:rPr>
        <w:t xml:space="preserve"> business. The physical user of the vehicles is not necessary (</w:t>
      </w:r>
      <w:proofErr w:type="spellStart"/>
      <w:r w:rsidRPr="00FC0F58">
        <w:rPr>
          <w:rFonts w:ascii="Verdana" w:eastAsia="Times New Roman" w:hAnsi="Verdana" w:cs="Arial"/>
          <w:b/>
          <w:bCs/>
          <w:color w:val="000000"/>
          <w:sz w:val="18"/>
        </w:rPr>
        <w:t>Shaan</w:t>
      </w:r>
      <w:proofErr w:type="spellEnd"/>
      <w:r w:rsidRPr="00FC0F58">
        <w:rPr>
          <w:rFonts w:ascii="Verdana" w:eastAsia="Times New Roman" w:hAnsi="Verdana" w:cs="Arial"/>
          <w:b/>
          <w:bCs/>
          <w:color w:val="000000"/>
          <w:sz w:val="18"/>
        </w:rPr>
        <w:t xml:space="preserve"> Finance</w:t>
      </w:r>
      <w:r w:rsidRPr="00FC0F58">
        <w:rPr>
          <w:rFonts w:ascii="Verdana" w:eastAsia="Times New Roman" w:hAnsi="Verdana" w:cs="Arial"/>
          <w:color w:val="000000"/>
          <w:sz w:val="18"/>
        </w:rPr>
        <w:t> </w:t>
      </w:r>
      <w:r w:rsidRPr="00FC0F58">
        <w:rPr>
          <w:rFonts w:ascii="Verdana" w:eastAsia="Times New Roman" w:hAnsi="Verdana" w:cs="Arial"/>
          <w:color w:val="000000"/>
          <w:sz w:val="18"/>
          <w:szCs w:val="18"/>
        </w:rPr>
        <w:t>231 ITR 308 (SC) followed)</w:t>
      </w:r>
    </w:p>
    <w:p w:rsidR="00FC0F58" w:rsidRDefault="00FC0F58" w:rsidP="00FC0F58">
      <w:pPr>
        <w:spacing w:before="30" w:after="30" w:line="360" w:lineRule="atLeast"/>
        <w:jc w:val="both"/>
        <w:rPr>
          <w:rFonts w:ascii="Verdana" w:eastAsia="Times New Roman" w:hAnsi="Verdana" w:cs="Arial"/>
          <w:color w:val="000000"/>
          <w:sz w:val="18"/>
          <w:szCs w:val="18"/>
        </w:rPr>
      </w:pPr>
      <w:r w:rsidRPr="00FC0F58">
        <w:rPr>
          <w:rFonts w:ascii="Verdana" w:eastAsia="Times New Roman" w:hAnsi="Verdana" w:cs="Arial"/>
          <w:color w:val="000000"/>
          <w:sz w:val="18"/>
          <w:szCs w:val="18"/>
        </w:rPr>
        <w:t> </w:t>
      </w:r>
    </w:p>
    <w:p w:rsidR="00FC0F58" w:rsidRDefault="00FC0F58" w:rsidP="00FC0F58">
      <w:pPr>
        <w:spacing w:before="30" w:after="30" w:line="360" w:lineRule="atLeast"/>
        <w:jc w:val="both"/>
        <w:rPr>
          <w:rFonts w:ascii="Verdana" w:eastAsia="Times New Roman" w:hAnsi="Verdana" w:cs="Arial"/>
          <w:color w:val="000000"/>
          <w:sz w:val="18"/>
          <w:szCs w:val="18"/>
        </w:rPr>
      </w:pPr>
    </w:p>
    <w:p w:rsidR="00FC0F58" w:rsidRPr="00FC0F58" w:rsidRDefault="00FC0F58" w:rsidP="00FC0F58">
      <w:pPr>
        <w:spacing w:before="30" w:after="30" w:line="360" w:lineRule="atLeast"/>
        <w:jc w:val="both"/>
        <w:rPr>
          <w:rFonts w:ascii="Verdana" w:eastAsia="Times New Roman" w:hAnsi="Verdana" w:cs="Arial"/>
          <w:color w:val="000000"/>
          <w:sz w:val="18"/>
          <w:szCs w:val="18"/>
        </w:rPr>
      </w:pPr>
    </w:p>
    <w:p w:rsidR="00FC0F58" w:rsidRPr="00FC0F58" w:rsidRDefault="00FC0F58" w:rsidP="00FC0F58">
      <w:pPr>
        <w:shd w:val="clear" w:color="auto" w:fill="FFFFFF"/>
        <w:spacing w:before="100" w:beforeAutospacing="1" w:after="100" w:afterAutospacing="1" w:line="240" w:lineRule="auto"/>
        <w:outlineLvl w:val="1"/>
        <w:rPr>
          <w:rFonts w:ascii="Arial" w:eastAsia="Times New Roman" w:hAnsi="Arial" w:cs="Arial"/>
          <w:b/>
          <w:bCs/>
          <w:color w:val="222222"/>
          <w:sz w:val="36"/>
          <w:szCs w:val="36"/>
        </w:rPr>
      </w:pPr>
      <w:hyperlink r:id="rId5" w:tgtFrame="_blank" w:tooltip="Permanent Link to M/s Bangalore Club&#10;vs. CIT (Supreme Court)" w:history="1">
        <w:r w:rsidRPr="00FC0F58">
          <w:rPr>
            <w:rFonts w:ascii="Arial" w:eastAsia="Times New Roman" w:hAnsi="Arial" w:cs="Arial"/>
            <w:b/>
            <w:bCs/>
            <w:color w:val="1155CC"/>
            <w:sz w:val="36"/>
            <w:szCs w:val="36"/>
            <w:u w:val="single"/>
          </w:rPr>
          <w:t>M/s Bangalore Club vs. CIT (Supreme Court)</w:t>
        </w:r>
      </w:hyperlink>
    </w:p>
    <w:p w:rsidR="00FC0F58" w:rsidRPr="00FC0F58" w:rsidRDefault="00FC0F58" w:rsidP="00FC0F58">
      <w:pPr>
        <w:shd w:val="clear" w:color="auto" w:fill="FFFFFF"/>
        <w:spacing w:before="100" w:beforeAutospacing="1" w:after="100" w:afterAutospacing="1" w:line="240" w:lineRule="auto"/>
        <w:rPr>
          <w:rFonts w:ascii="Arial" w:eastAsia="Times New Roman" w:hAnsi="Arial" w:cs="Arial"/>
          <w:color w:val="222222"/>
          <w:sz w:val="20"/>
          <w:szCs w:val="20"/>
        </w:rPr>
      </w:pPr>
      <w:r w:rsidRPr="00FC0F58">
        <w:rPr>
          <w:rFonts w:ascii="Arial" w:eastAsia="Times New Roman" w:hAnsi="Arial" w:cs="Arial"/>
          <w:b/>
          <w:bCs/>
          <w:color w:val="222222"/>
          <w:sz w:val="20"/>
          <w:szCs w:val="20"/>
        </w:rPr>
        <w:t>Interest earned by a mutual association from deposits placed with member banks is not exempt on the ground of “mutuality”</w:t>
      </w:r>
    </w:p>
    <w:p w:rsidR="00FC0F58" w:rsidRPr="00FC0F58" w:rsidRDefault="00FC0F58" w:rsidP="00FC0F58">
      <w:pPr>
        <w:shd w:val="clear" w:color="auto" w:fill="FFFFFF"/>
        <w:spacing w:before="100" w:beforeAutospacing="1" w:after="100" w:afterAutospacing="1" w:line="240" w:lineRule="auto"/>
        <w:rPr>
          <w:rFonts w:ascii="Arial" w:eastAsia="Times New Roman" w:hAnsi="Arial" w:cs="Arial"/>
          <w:color w:val="222222"/>
          <w:sz w:val="20"/>
          <w:szCs w:val="20"/>
        </w:rPr>
      </w:pPr>
      <w:r w:rsidRPr="00FC0F58">
        <w:rPr>
          <w:rFonts w:ascii="Arial" w:eastAsia="Times New Roman" w:hAnsi="Arial" w:cs="Arial"/>
          <w:color w:val="222222"/>
          <w:sz w:val="20"/>
          <w:szCs w:val="20"/>
        </w:rPr>
        <w:t> </w:t>
      </w:r>
    </w:p>
    <w:p w:rsidR="00FC0F58" w:rsidRPr="00FC0F58" w:rsidRDefault="00FC0F58" w:rsidP="00FC0F58">
      <w:pPr>
        <w:shd w:val="clear" w:color="auto" w:fill="FFFFFF"/>
        <w:spacing w:before="100" w:beforeAutospacing="1" w:after="100" w:afterAutospacing="1" w:line="240" w:lineRule="auto"/>
        <w:rPr>
          <w:rFonts w:ascii="Arial" w:eastAsia="Times New Roman" w:hAnsi="Arial" w:cs="Arial"/>
          <w:color w:val="222222"/>
          <w:sz w:val="20"/>
          <w:szCs w:val="20"/>
        </w:rPr>
      </w:pPr>
      <w:r w:rsidRPr="00FC0F58">
        <w:rPr>
          <w:rFonts w:ascii="Arial" w:eastAsia="Times New Roman" w:hAnsi="Arial" w:cs="Arial"/>
          <w:color w:val="222222"/>
          <w:sz w:val="20"/>
          <w:szCs w:val="20"/>
        </w:rPr>
        <w:t xml:space="preserve">The </w:t>
      </w:r>
      <w:proofErr w:type="spellStart"/>
      <w:r w:rsidRPr="00FC0F58">
        <w:rPr>
          <w:rFonts w:ascii="Arial" w:eastAsia="Times New Roman" w:hAnsi="Arial" w:cs="Arial"/>
          <w:color w:val="222222"/>
          <w:sz w:val="20"/>
          <w:szCs w:val="20"/>
        </w:rPr>
        <w:t>assessee</w:t>
      </w:r>
      <w:proofErr w:type="spellEnd"/>
      <w:r w:rsidRPr="00FC0F58">
        <w:rPr>
          <w:rFonts w:ascii="Arial" w:eastAsia="Times New Roman" w:hAnsi="Arial" w:cs="Arial"/>
          <w:color w:val="222222"/>
          <w:sz w:val="20"/>
          <w:szCs w:val="20"/>
        </w:rPr>
        <w:t xml:space="preserve">, a mutual association, claimed that the interest earned by it on fixed deposits kept with the bank (which was a corporate member) was not taxable on the basis of mutuality. The AO rejected the claim though the </w:t>
      </w:r>
      <w:proofErr w:type="gramStart"/>
      <w:r w:rsidRPr="00FC0F58">
        <w:rPr>
          <w:rFonts w:ascii="Arial" w:eastAsia="Times New Roman" w:hAnsi="Arial" w:cs="Arial"/>
          <w:color w:val="222222"/>
          <w:sz w:val="20"/>
          <w:szCs w:val="20"/>
        </w:rPr>
        <w:t>CIT(</w:t>
      </w:r>
      <w:proofErr w:type="gramEnd"/>
      <w:r w:rsidRPr="00FC0F58">
        <w:rPr>
          <w:rFonts w:ascii="Arial" w:eastAsia="Times New Roman" w:hAnsi="Arial" w:cs="Arial"/>
          <w:color w:val="222222"/>
          <w:sz w:val="20"/>
          <w:szCs w:val="20"/>
        </w:rPr>
        <w:t xml:space="preserve">A) and Tribunal upheld the claim. The High Court reversed the Tribunal and upheld the stand of the AO. On appeal by the </w:t>
      </w:r>
      <w:proofErr w:type="spellStart"/>
      <w:r w:rsidRPr="00FC0F58">
        <w:rPr>
          <w:rFonts w:ascii="Arial" w:eastAsia="Times New Roman" w:hAnsi="Arial" w:cs="Arial"/>
          <w:color w:val="222222"/>
          <w:sz w:val="20"/>
          <w:szCs w:val="20"/>
        </w:rPr>
        <w:t>assessee</w:t>
      </w:r>
      <w:proofErr w:type="spellEnd"/>
      <w:r w:rsidRPr="00FC0F58">
        <w:rPr>
          <w:rFonts w:ascii="Arial" w:eastAsia="Times New Roman" w:hAnsi="Arial" w:cs="Arial"/>
          <w:color w:val="222222"/>
          <w:sz w:val="20"/>
          <w:szCs w:val="20"/>
        </w:rPr>
        <w:t xml:space="preserve"> to the Supreme Court, HELD dismissing the appeal:</w:t>
      </w:r>
    </w:p>
    <w:p w:rsidR="00FC0F58" w:rsidRPr="00FC0F58" w:rsidRDefault="00FC0F58" w:rsidP="00FC0F58">
      <w:pPr>
        <w:shd w:val="clear" w:color="auto" w:fill="FFFFFF"/>
        <w:spacing w:before="100" w:beforeAutospacing="1" w:after="100" w:afterAutospacing="1" w:line="240" w:lineRule="auto"/>
        <w:rPr>
          <w:rFonts w:ascii="Arial" w:eastAsia="Times New Roman" w:hAnsi="Arial" w:cs="Arial"/>
          <w:color w:val="222222"/>
          <w:sz w:val="20"/>
          <w:szCs w:val="20"/>
        </w:rPr>
      </w:pPr>
      <w:r w:rsidRPr="00FC0F58">
        <w:rPr>
          <w:rFonts w:ascii="Arial" w:eastAsia="Times New Roman" w:hAnsi="Arial" w:cs="Arial"/>
          <w:color w:val="222222"/>
          <w:sz w:val="20"/>
          <w:szCs w:val="20"/>
        </w:rPr>
        <w:t> </w:t>
      </w:r>
    </w:p>
    <w:p w:rsidR="00FC0F58" w:rsidRPr="00FC0F58" w:rsidRDefault="00FC0F58" w:rsidP="00FC0F58">
      <w:pPr>
        <w:shd w:val="clear" w:color="auto" w:fill="FFFFFF"/>
        <w:spacing w:beforeAutospacing="1" w:after="100" w:afterAutospacing="1" w:line="240" w:lineRule="auto"/>
        <w:rPr>
          <w:rFonts w:ascii="Arial" w:eastAsia="Times New Roman" w:hAnsi="Arial" w:cs="Arial"/>
          <w:color w:val="222222"/>
          <w:sz w:val="20"/>
          <w:szCs w:val="20"/>
        </w:rPr>
      </w:pPr>
      <w:r w:rsidRPr="00FC0F58">
        <w:rPr>
          <w:rFonts w:ascii="Arial" w:eastAsia="Times New Roman" w:hAnsi="Arial" w:cs="Arial"/>
          <w:color w:val="222222"/>
          <w:sz w:val="20"/>
          <w:szCs w:val="20"/>
        </w:rPr>
        <w:t>For a receipt to be exempt on the principles of Mutuality, three conditions have to be satisfied. The first is that there must be a complete identity between the contributors and participators. The second is that the actions of the participators and contributors must be in furtherance of the mandate of the association. The third is that there must be no scope of profiteering by the contributors from a fund made by them which could only be expended or returned to themselves. On facts, though the interest was earned from banks which were corporate members of the club, it was not exempt on the ground of mutuality because (</w:t>
      </w:r>
      <w:proofErr w:type="spellStart"/>
      <w:r w:rsidRPr="00FC0F58">
        <w:rPr>
          <w:rFonts w:ascii="Arial" w:eastAsia="Times New Roman" w:hAnsi="Arial" w:cs="Arial"/>
          <w:color w:val="222222"/>
          <w:sz w:val="20"/>
          <w:szCs w:val="20"/>
        </w:rPr>
        <w:t>i</w:t>
      </w:r>
      <w:proofErr w:type="spellEnd"/>
      <w:r w:rsidRPr="00FC0F58">
        <w:rPr>
          <w:rFonts w:ascii="Arial" w:eastAsia="Times New Roman" w:hAnsi="Arial" w:cs="Arial"/>
          <w:color w:val="222222"/>
          <w:sz w:val="20"/>
          <w:szCs w:val="20"/>
        </w:rPr>
        <w:t xml:space="preserve">) the arrangement </w:t>
      </w:r>
      <w:proofErr w:type="gramStart"/>
      <w:r w:rsidRPr="00FC0F58">
        <w:rPr>
          <w:rFonts w:ascii="Arial" w:eastAsia="Times New Roman" w:hAnsi="Arial" w:cs="Arial"/>
          <w:color w:val="222222"/>
          <w:sz w:val="20"/>
          <w:szCs w:val="20"/>
        </w:rPr>
        <w:t>lacks</w:t>
      </w:r>
      <w:proofErr w:type="gramEnd"/>
      <w:r w:rsidRPr="00FC0F58">
        <w:rPr>
          <w:rFonts w:ascii="Arial" w:eastAsia="Times New Roman" w:hAnsi="Arial" w:cs="Arial"/>
          <w:color w:val="222222"/>
          <w:sz w:val="20"/>
          <w:szCs w:val="20"/>
        </w:rPr>
        <w:t xml:space="preserve"> a complete identity between the contributors and participators. With the funds of the club, member banks engaged in commercial operations with third parties outside of the mutuality, rupturing the ‘</w:t>
      </w:r>
      <w:proofErr w:type="spellStart"/>
      <w:r w:rsidRPr="00FC0F58">
        <w:rPr>
          <w:rFonts w:ascii="Arial" w:eastAsia="Times New Roman" w:hAnsi="Arial" w:cs="Arial"/>
          <w:color w:val="222222"/>
          <w:sz w:val="20"/>
          <w:szCs w:val="20"/>
        </w:rPr>
        <w:t>privity</w:t>
      </w:r>
      <w:proofErr w:type="spellEnd"/>
      <w:r w:rsidRPr="00FC0F58">
        <w:rPr>
          <w:rFonts w:ascii="Arial" w:eastAsia="Times New Roman" w:hAnsi="Arial" w:cs="Arial"/>
          <w:color w:val="222222"/>
          <w:sz w:val="20"/>
          <w:szCs w:val="20"/>
        </w:rPr>
        <w:t xml:space="preserve"> of mutuality’, and consequently, violating the one to one identity between the contributors and participators, (ii) the surplus funds were not used in furtherance of the object of the club but were taken out of mutuality when the member banks placed the same at the disposal of third parties, thus, initiating an independent contract between the bank and the clients of the bank, a third party, not privy to the mutuality &amp; (iii) The Banks generated revenue by paying a lower rate of interest to the </w:t>
      </w:r>
      <w:proofErr w:type="spellStart"/>
      <w:r w:rsidRPr="00FC0F58">
        <w:rPr>
          <w:rFonts w:ascii="Arial" w:eastAsia="Times New Roman" w:hAnsi="Arial" w:cs="Arial"/>
          <w:color w:val="222222"/>
          <w:sz w:val="20"/>
          <w:szCs w:val="20"/>
        </w:rPr>
        <w:t>assessee</w:t>
      </w:r>
      <w:proofErr w:type="spellEnd"/>
      <w:r w:rsidRPr="00FC0F58">
        <w:rPr>
          <w:rFonts w:ascii="Arial" w:eastAsia="Times New Roman" w:hAnsi="Arial" w:cs="Arial"/>
          <w:color w:val="222222"/>
          <w:sz w:val="20"/>
          <w:szCs w:val="20"/>
        </w:rPr>
        <w:t>-club and loaning the funds to third parties. The interest accrued on the surplus deposited by the club like in the case of any other deposit made by an account holder with the bank. A façade of a club cannot be constructed over commercial transactions to avoid liability to tax. Such setups cannot be permitted to claim double benefit of mutuality.</w:t>
      </w:r>
    </w:p>
    <w:p w:rsidR="00FC0F58" w:rsidRPr="00FC0F58" w:rsidRDefault="00FC0F58" w:rsidP="00FC0F58">
      <w:pPr>
        <w:shd w:val="clear" w:color="auto" w:fill="FFFFFF"/>
        <w:spacing w:before="100" w:beforeAutospacing="1" w:after="100" w:afterAutospacing="1" w:line="240" w:lineRule="auto"/>
        <w:rPr>
          <w:rFonts w:ascii="Arial" w:eastAsia="Times New Roman" w:hAnsi="Arial" w:cs="Arial"/>
          <w:color w:val="222222"/>
          <w:sz w:val="20"/>
          <w:szCs w:val="20"/>
        </w:rPr>
      </w:pPr>
      <w:r w:rsidRPr="00FC0F58">
        <w:rPr>
          <w:rFonts w:ascii="Arial" w:eastAsia="Times New Roman" w:hAnsi="Arial" w:cs="Arial"/>
          <w:color w:val="222222"/>
          <w:sz w:val="20"/>
          <w:szCs w:val="20"/>
        </w:rPr>
        <w:t> </w:t>
      </w:r>
    </w:p>
    <w:p w:rsidR="00FC0F58" w:rsidRDefault="00FC0F58" w:rsidP="00FC0F58">
      <w:pPr>
        <w:shd w:val="clear" w:color="auto" w:fill="FFFFFF"/>
        <w:spacing w:after="240" w:line="240" w:lineRule="auto"/>
        <w:rPr>
          <w:rFonts w:ascii="Arial" w:eastAsia="Times New Roman" w:hAnsi="Arial" w:cs="Arial"/>
          <w:color w:val="222222"/>
          <w:sz w:val="20"/>
          <w:szCs w:val="20"/>
        </w:rPr>
      </w:pPr>
      <w:r w:rsidRPr="00FC0F58">
        <w:rPr>
          <w:rFonts w:ascii="Arial" w:eastAsia="Times New Roman" w:hAnsi="Arial" w:cs="Arial"/>
          <w:b/>
          <w:bCs/>
          <w:color w:val="222222"/>
          <w:sz w:val="20"/>
          <w:szCs w:val="20"/>
        </w:rPr>
        <w:t>Note</w:t>
      </w:r>
      <w:r w:rsidRPr="00FC0F58">
        <w:rPr>
          <w:rFonts w:ascii="Arial" w:eastAsia="Times New Roman" w:hAnsi="Arial" w:cs="Arial"/>
          <w:color w:val="222222"/>
          <w:sz w:val="20"/>
          <w:szCs w:val="20"/>
        </w:rPr>
        <w:t>: This impliedly approves</w:t>
      </w:r>
      <w:r w:rsidRPr="00FC0F58">
        <w:rPr>
          <w:rFonts w:ascii="Arial" w:eastAsia="Times New Roman" w:hAnsi="Arial" w:cs="Arial"/>
          <w:color w:val="222222"/>
          <w:sz w:val="20"/>
        </w:rPr>
        <w:t> </w:t>
      </w:r>
      <w:r w:rsidRPr="00FC0F58">
        <w:rPr>
          <w:rFonts w:ascii="Arial" w:eastAsia="Times New Roman" w:hAnsi="Arial" w:cs="Arial"/>
          <w:b/>
          <w:bCs/>
          <w:color w:val="222222"/>
          <w:sz w:val="20"/>
          <w:szCs w:val="20"/>
        </w:rPr>
        <w:t>Common Effluent Treatment Plant</w:t>
      </w:r>
      <w:r w:rsidRPr="00FC0F58">
        <w:rPr>
          <w:rFonts w:ascii="Arial" w:eastAsia="Times New Roman" w:hAnsi="Arial" w:cs="Arial"/>
          <w:color w:val="222222"/>
          <w:sz w:val="20"/>
        </w:rPr>
        <w:t> </w:t>
      </w:r>
      <w:r w:rsidRPr="00FC0F58">
        <w:rPr>
          <w:rFonts w:ascii="Arial" w:eastAsia="Times New Roman" w:hAnsi="Arial" w:cs="Arial"/>
          <w:color w:val="222222"/>
          <w:sz w:val="20"/>
          <w:szCs w:val="20"/>
        </w:rPr>
        <w:t>328 ITR 362 (</w:t>
      </w:r>
      <w:proofErr w:type="spellStart"/>
      <w:r w:rsidRPr="00FC0F58">
        <w:rPr>
          <w:rFonts w:ascii="Arial" w:eastAsia="Times New Roman" w:hAnsi="Arial" w:cs="Arial"/>
          <w:color w:val="222222"/>
          <w:sz w:val="20"/>
          <w:szCs w:val="20"/>
        </w:rPr>
        <w:t>Bom</w:t>
      </w:r>
      <w:proofErr w:type="spellEnd"/>
      <w:r w:rsidRPr="00FC0F58">
        <w:rPr>
          <w:rFonts w:ascii="Arial" w:eastAsia="Times New Roman" w:hAnsi="Arial" w:cs="Arial"/>
          <w:color w:val="222222"/>
          <w:sz w:val="20"/>
          <w:szCs w:val="20"/>
        </w:rPr>
        <w:t>) &amp;</w:t>
      </w:r>
      <w:r w:rsidRPr="00FC0F58">
        <w:rPr>
          <w:rFonts w:ascii="Arial" w:eastAsia="Times New Roman" w:hAnsi="Arial" w:cs="Arial"/>
          <w:b/>
          <w:bCs/>
          <w:color w:val="222222"/>
          <w:sz w:val="20"/>
          <w:szCs w:val="20"/>
        </w:rPr>
        <w:t>Wellington Gymkhana Club</w:t>
      </w:r>
      <w:r w:rsidRPr="00FC0F58">
        <w:rPr>
          <w:rFonts w:ascii="Arial" w:eastAsia="Times New Roman" w:hAnsi="Arial" w:cs="Arial"/>
          <w:color w:val="222222"/>
          <w:sz w:val="20"/>
        </w:rPr>
        <w:t> </w:t>
      </w:r>
      <w:r w:rsidRPr="00FC0F58">
        <w:rPr>
          <w:rFonts w:ascii="Arial" w:eastAsia="Times New Roman" w:hAnsi="Arial" w:cs="Arial"/>
          <w:color w:val="222222"/>
          <w:sz w:val="20"/>
          <w:szCs w:val="20"/>
        </w:rPr>
        <w:t>46 DTR 22 (Mad) while impliedly reversing</w:t>
      </w:r>
      <w:r w:rsidRPr="00FC0F58">
        <w:rPr>
          <w:rFonts w:ascii="Arial" w:eastAsia="Times New Roman" w:hAnsi="Arial" w:cs="Arial"/>
          <w:color w:val="222222"/>
          <w:sz w:val="20"/>
        </w:rPr>
        <w:t> </w:t>
      </w:r>
      <w:r w:rsidRPr="00FC0F58">
        <w:rPr>
          <w:rFonts w:ascii="Arial" w:eastAsia="Times New Roman" w:hAnsi="Arial" w:cs="Arial"/>
          <w:b/>
          <w:bCs/>
          <w:color w:val="222222"/>
          <w:sz w:val="20"/>
          <w:szCs w:val="20"/>
        </w:rPr>
        <w:t>Delhi Gymkhana Club</w:t>
      </w:r>
      <w:r w:rsidRPr="00FC0F58">
        <w:rPr>
          <w:rFonts w:ascii="Arial" w:eastAsia="Times New Roman" w:hAnsi="Arial" w:cs="Arial"/>
          <w:color w:val="222222"/>
          <w:sz w:val="20"/>
        </w:rPr>
        <w:t> </w:t>
      </w:r>
      <w:r w:rsidRPr="00FC0F58">
        <w:rPr>
          <w:rFonts w:ascii="Arial" w:eastAsia="Times New Roman" w:hAnsi="Arial" w:cs="Arial"/>
          <w:color w:val="222222"/>
          <w:sz w:val="20"/>
          <w:szCs w:val="20"/>
        </w:rPr>
        <w:t>339 ITR 525 (Del)</w:t>
      </w:r>
    </w:p>
    <w:p w:rsidR="00FC0F58" w:rsidRDefault="00FC0F58" w:rsidP="00FC0F58">
      <w:pPr>
        <w:shd w:val="clear" w:color="auto" w:fill="FFFFFF"/>
        <w:spacing w:after="240" w:line="240" w:lineRule="auto"/>
        <w:rPr>
          <w:rFonts w:ascii="Arial" w:eastAsia="Times New Roman" w:hAnsi="Arial" w:cs="Arial"/>
          <w:color w:val="222222"/>
          <w:sz w:val="20"/>
          <w:szCs w:val="20"/>
        </w:rPr>
      </w:pPr>
    </w:p>
    <w:p w:rsidR="00FC0F58" w:rsidRDefault="00FC0F58" w:rsidP="00FC0F58">
      <w:pPr>
        <w:shd w:val="clear" w:color="auto" w:fill="FFFFFF"/>
        <w:spacing w:after="240" w:line="240" w:lineRule="auto"/>
        <w:rPr>
          <w:rFonts w:ascii="Arial" w:eastAsia="Times New Roman" w:hAnsi="Arial" w:cs="Arial"/>
          <w:color w:val="222222"/>
          <w:sz w:val="20"/>
          <w:szCs w:val="20"/>
        </w:rPr>
      </w:pPr>
    </w:p>
    <w:p w:rsidR="00FC0F58" w:rsidRDefault="00FC0F58" w:rsidP="00FC0F58">
      <w:pPr>
        <w:shd w:val="clear" w:color="auto" w:fill="FFFFFF"/>
        <w:spacing w:after="240" w:line="240" w:lineRule="auto"/>
        <w:rPr>
          <w:rFonts w:ascii="Arial" w:eastAsia="Times New Roman" w:hAnsi="Arial" w:cs="Arial"/>
          <w:color w:val="222222"/>
          <w:sz w:val="20"/>
          <w:szCs w:val="20"/>
        </w:rPr>
      </w:pPr>
    </w:p>
    <w:p w:rsidR="00FC0F58" w:rsidRDefault="00FC0F58" w:rsidP="00FC0F58">
      <w:pPr>
        <w:shd w:val="clear" w:color="auto" w:fill="FFFFFF"/>
        <w:spacing w:after="240" w:line="240" w:lineRule="auto"/>
        <w:rPr>
          <w:rFonts w:ascii="Arial" w:eastAsia="Times New Roman" w:hAnsi="Arial" w:cs="Arial"/>
          <w:color w:val="222222"/>
          <w:sz w:val="20"/>
          <w:szCs w:val="20"/>
        </w:rPr>
      </w:pPr>
    </w:p>
    <w:p w:rsidR="00FC0F58" w:rsidRDefault="00FC0F58" w:rsidP="00FC0F58">
      <w:pPr>
        <w:shd w:val="clear" w:color="auto" w:fill="FFFFFF"/>
        <w:spacing w:after="240" w:line="240" w:lineRule="auto"/>
        <w:rPr>
          <w:rFonts w:ascii="Arial" w:eastAsia="Times New Roman" w:hAnsi="Arial" w:cs="Arial"/>
          <w:color w:val="222222"/>
          <w:sz w:val="20"/>
          <w:szCs w:val="20"/>
        </w:rPr>
      </w:pPr>
    </w:p>
    <w:p w:rsidR="00FC0F58" w:rsidRDefault="00FC0F58" w:rsidP="00FC0F58">
      <w:pPr>
        <w:shd w:val="clear" w:color="auto" w:fill="FFFFFF"/>
        <w:spacing w:after="240" w:line="240" w:lineRule="auto"/>
        <w:rPr>
          <w:rFonts w:ascii="Arial" w:eastAsia="Times New Roman" w:hAnsi="Arial" w:cs="Arial"/>
          <w:color w:val="222222"/>
          <w:sz w:val="20"/>
          <w:szCs w:val="20"/>
        </w:rPr>
      </w:pPr>
    </w:p>
    <w:p w:rsidR="00FC0F58" w:rsidRDefault="00FC0F58" w:rsidP="00FC0F58">
      <w:pPr>
        <w:shd w:val="clear" w:color="auto" w:fill="FFFFFF"/>
        <w:spacing w:after="240" w:line="240" w:lineRule="auto"/>
        <w:rPr>
          <w:rFonts w:ascii="Arial" w:eastAsia="Times New Roman" w:hAnsi="Arial" w:cs="Arial"/>
          <w:color w:val="222222"/>
          <w:sz w:val="20"/>
          <w:szCs w:val="20"/>
        </w:rPr>
      </w:pPr>
    </w:p>
    <w:p w:rsidR="00FC0F58" w:rsidRPr="00FC0F58" w:rsidRDefault="00FC0F58" w:rsidP="00FC0F58">
      <w:pPr>
        <w:shd w:val="clear" w:color="auto" w:fill="FFFFFF"/>
        <w:spacing w:after="240" w:line="240" w:lineRule="auto"/>
        <w:rPr>
          <w:rFonts w:ascii="Arial" w:eastAsia="Times New Roman" w:hAnsi="Arial" w:cs="Arial"/>
          <w:color w:val="222222"/>
          <w:sz w:val="20"/>
          <w:szCs w:val="20"/>
        </w:rPr>
      </w:pPr>
    </w:p>
    <w:p w:rsidR="00FC0F58" w:rsidRPr="00FC0F58" w:rsidRDefault="00FC0F58" w:rsidP="00FC0F58">
      <w:pPr>
        <w:shd w:val="clear" w:color="auto" w:fill="FFFFFF"/>
        <w:spacing w:before="100" w:beforeAutospacing="1" w:after="100" w:afterAutospacing="1" w:line="240" w:lineRule="auto"/>
        <w:outlineLvl w:val="1"/>
        <w:rPr>
          <w:rFonts w:ascii="Arial" w:eastAsia="Times New Roman" w:hAnsi="Arial" w:cs="Arial"/>
          <w:b/>
          <w:bCs/>
          <w:color w:val="222222"/>
          <w:sz w:val="36"/>
          <w:szCs w:val="36"/>
        </w:rPr>
      </w:pPr>
      <w:hyperlink r:id="rId6" w:tgtFrame="_blank" w:tooltip="Permanent Link to ACIT vs. M/s A. R.&#10;Enterprises (Supreme Court)" w:history="1">
        <w:r w:rsidRPr="00FC0F58">
          <w:rPr>
            <w:rFonts w:ascii="Arial" w:eastAsia="Times New Roman" w:hAnsi="Arial" w:cs="Arial"/>
            <w:b/>
            <w:bCs/>
            <w:color w:val="1155CC"/>
            <w:sz w:val="36"/>
            <w:szCs w:val="36"/>
            <w:u w:val="single"/>
          </w:rPr>
          <w:t>ACIT vs. M/s A. R. Enterprises (Supreme Court)</w:t>
        </w:r>
      </w:hyperlink>
    </w:p>
    <w:p w:rsidR="00FC0F58" w:rsidRPr="00FC0F58" w:rsidRDefault="00FC0F58" w:rsidP="00FC0F58">
      <w:pPr>
        <w:shd w:val="clear" w:color="auto" w:fill="FFFFFF"/>
        <w:spacing w:before="100" w:beforeAutospacing="1" w:after="100" w:afterAutospacing="1" w:line="240" w:lineRule="auto"/>
        <w:rPr>
          <w:rFonts w:ascii="Arial" w:eastAsia="Times New Roman" w:hAnsi="Arial" w:cs="Arial"/>
          <w:color w:val="222222"/>
          <w:sz w:val="20"/>
          <w:szCs w:val="20"/>
        </w:rPr>
      </w:pPr>
      <w:r w:rsidRPr="00FC0F58">
        <w:rPr>
          <w:rFonts w:ascii="Arial" w:eastAsia="Times New Roman" w:hAnsi="Arial" w:cs="Arial"/>
          <w:b/>
          <w:bCs/>
          <w:color w:val="222222"/>
          <w:sz w:val="20"/>
          <w:szCs w:val="20"/>
        </w:rPr>
        <w:t>S. 158B: Despite TDS &amp; Advance-tax, income is “undisclosed” if ROI not filed by due date</w:t>
      </w:r>
    </w:p>
    <w:p w:rsidR="00FC0F58" w:rsidRPr="00FC0F58" w:rsidRDefault="00FC0F58" w:rsidP="00FC0F58">
      <w:pPr>
        <w:shd w:val="clear" w:color="auto" w:fill="FFFFFF"/>
        <w:spacing w:before="100" w:beforeAutospacing="1" w:after="100" w:afterAutospacing="1" w:line="240" w:lineRule="auto"/>
        <w:rPr>
          <w:rFonts w:ascii="Arial" w:eastAsia="Times New Roman" w:hAnsi="Arial" w:cs="Arial"/>
          <w:color w:val="222222"/>
          <w:sz w:val="20"/>
          <w:szCs w:val="20"/>
        </w:rPr>
      </w:pPr>
      <w:r w:rsidRPr="00FC0F58">
        <w:rPr>
          <w:rFonts w:ascii="Arial" w:eastAsia="Times New Roman" w:hAnsi="Arial" w:cs="Arial"/>
          <w:color w:val="222222"/>
          <w:sz w:val="20"/>
          <w:szCs w:val="20"/>
        </w:rPr>
        <w:t> </w:t>
      </w:r>
    </w:p>
    <w:p w:rsidR="00FC0F58" w:rsidRPr="00FC0F58" w:rsidRDefault="00FC0F58" w:rsidP="00FC0F58">
      <w:pPr>
        <w:shd w:val="clear" w:color="auto" w:fill="FFFFFF"/>
        <w:spacing w:before="100" w:beforeAutospacing="1" w:after="100" w:afterAutospacing="1" w:line="240" w:lineRule="auto"/>
        <w:rPr>
          <w:rFonts w:ascii="Arial" w:eastAsia="Times New Roman" w:hAnsi="Arial" w:cs="Arial"/>
          <w:color w:val="222222"/>
          <w:sz w:val="20"/>
          <w:szCs w:val="20"/>
        </w:rPr>
      </w:pPr>
      <w:r w:rsidRPr="00FC0F58">
        <w:rPr>
          <w:rFonts w:ascii="Arial" w:eastAsia="Times New Roman" w:hAnsi="Arial" w:cs="Arial"/>
          <w:color w:val="222222"/>
          <w:sz w:val="20"/>
          <w:szCs w:val="20"/>
        </w:rPr>
        <w:t xml:space="preserve">A search u/s 132 was conducted on 23.2.1996 when it was detected that though the </w:t>
      </w:r>
      <w:proofErr w:type="spellStart"/>
      <w:r w:rsidRPr="00FC0F58">
        <w:rPr>
          <w:rFonts w:ascii="Arial" w:eastAsia="Times New Roman" w:hAnsi="Arial" w:cs="Arial"/>
          <w:color w:val="222222"/>
          <w:sz w:val="20"/>
          <w:szCs w:val="20"/>
        </w:rPr>
        <w:t>assessee</w:t>
      </w:r>
      <w:proofErr w:type="spellEnd"/>
      <w:r w:rsidRPr="00FC0F58">
        <w:rPr>
          <w:rFonts w:ascii="Arial" w:eastAsia="Times New Roman" w:hAnsi="Arial" w:cs="Arial"/>
          <w:color w:val="222222"/>
          <w:sz w:val="20"/>
          <w:szCs w:val="20"/>
        </w:rPr>
        <w:t xml:space="preserve"> had taxable income for AY 1995-96 it had not filed a ROI and the due date (31.10.1995) had lapsed. The AO issued </w:t>
      </w:r>
      <w:proofErr w:type="gramStart"/>
      <w:r w:rsidRPr="00FC0F58">
        <w:rPr>
          <w:rFonts w:ascii="Arial" w:eastAsia="Times New Roman" w:hAnsi="Arial" w:cs="Arial"/>
          <w:color w:val="222222"/>
          <w:sz w:val="20"/>
          <w:szCs w:val="20"/>
        </w:rPr>
        <w:t>a</w:t>
      </w:r>
      <w:proofErr w:type="gramEnd"/>
      <w:r w:rsidRPr="00FC0F58">
        <w:rPr>
          <w:rFonts w:ascii="Arial" w:eastAsia="Times New Roman" w:hAnsi="Arial" w:cs="Arial"/>
          <w:color w:val="222222"/>
          <w:sz w:val="20"/>
          <w:szCs w:val="20"/>
        </w:rPr>
        <w:t xml:space="preserve"> s. 158BD notice directing the </w:t>
      </w:r>
      <w:proofErr w:type="spellStart"/>
      <w:r w:rsidRPr="00FC0F58">
        <w:rPr>
          <w:rFonts w:ascii="Arial" w:eastAsia="Times New Roman" w:hAnsi="Arial" w:cs="Arial"/>
          <w:color w:val="222222"/>
          <w:sz w:val="20"/>
          <w:szCs w:val="20"/>
        </w:rPr>
        <w:t>assessee</w:t>
      </w:r>
      <w:proofErr w:type="spellEnd"/>
      <w:r w:rsidRPr="00FC0F58">
        <w:rPr>
          <w:rFonts w:ascii="Arial" w:eastAsia="Times New Roman" w:hAnsi="Arial" w:cs="Arial"/>
          <w:color w:val="222222"/>
          <w:sz w:val="20"/>
          <w:szCs w:val="20"/>
        </w:rPr>
        <w:t xml:space="preserve"> to file a return for the block period. The </w:t>
      </w:r>
      <w:proofErr w:type="spellStart"/>
      <w:r w:rsidRPr="00FC0F58">
        <w:rPr>
          <w:rFonts w:ascii="Arial" w:eastAsia="Times New Roman" w:hAnsi="Arial" w:cs="Arial"/>
          <w:color w:val="222222"/>
          <w:sz w:val="20"/>
          <w:szCs w:val="20"/>
        </w:rPr>
        <w:t>assessee</w:t>
      </w:r>
      <w:proofErr w:type="spellEnd"/>
      <w:r w:rsidRPr="00FC0F58">
        <w:rPr>
          <w:rFonts w:ascii="Arial" w:eastAsia="Times New Roman" w:hAnsi="Arial" w:cs="Arial"/>
          <w:color w:val="222222"/>
          <w:sz w:val="20"/>
          <w:szCs w:val="20"/>
        </w:rPr>
        <w:t xml:space="preserve"> claimed that as it had paid advance tax on the income for AY 1995-96, the income could not be said to be “</w:t>
      </w:r>
      <w:r w:rsidRPr="00FC0F58">
        <w:rPr>
          <w:rFonts w:ascii="Arial" w:eastAsia="Times New Roman" w:hAnsi="Arial" w:cs="Arial"/>
          <w:i/>
          <w:iCs/>
          <w:color w:val="222222"/>
          <w:sz w:val="20"/>
          <w:szCs w:val="20"/>
        </w:rPr>
        <w:t>undisclosed</w:t>
      </w:r>
      <w:r w:rsidRPr="00FC0F58">
        <w:rPr>
          <w:rFonts w:ascii="Arial" w:eastAsia="Times New Roman" w:hAnsi="Arial" w:cs="Arial"/>
          <w:color w:val="222222"/>
          <w:sz w:val="20"/>
          <w:szCs w:val="20"/>
        </w:rPr>
        <w:t xml:space="preserve">“. The AO rejected the claim though the Tribunal and High Court accepted the </w:t>
      </w:r>
      <w:proofErr w:type="spellStart"/>
      <w:r w:rsidRPr="00FC0F58">
        <w:rPr>
          <w:rFonts w:ascii="Arial" w:eastAsia="Times New Roman" w:hAnsi="Arial" w:cs="Arial"/>
          <w:color w:val="222222"/>
          <w:sz w:val="20"/>
          <w:szCs w:val="20"/>
        </w:rPr>
        <w:t>assessee’s</w:t>
      </w:r>
      <w:proofErr w:type="spellEnd"/>
      <w:r w:rsidRPr="00FC0F58">
        <w:rPr>
          <w:rFonts w:ascii="Arial" w:eastAsia="Times New Roman" w:hAnsi="Arial" w:cs="Arial"/>
          <w:color w:val="222222"/>
          <w:sz w:val="20"/>
          <w:szCs w:val="20"/>
        </w:rPr>
        <w:t xml:space="preserve"> claim on the basis that payment of Advance Tax itself necessarily implies disclosure of the income on which the advance is paid. On appeal by the department to the Supreme Court, HELD reversing the Tribunal and High Court:</w:t>
      </w:r>
    </w:p>
    <w:p w:rsidR="00FC0F58" w:rsidRPr="00FC0F58" w:rsidRDefault="00FC0F58" w:rsidP="00FC0F58">
      <w:pPr>
        <w:shd w:val="clear" w:color="auto" w:fill="FFFFFF"/>
        <w:spacing w:before="100" w:beforeAutospacing="1" w:after="100" w:afterAutospacing="1" w:line="240" w:lineRule="auto"/>
        <w:rPr>
          <w:rFonts w:ascii="Arial" w:eastAsia="Times New Roman" w:hAnsi="Arial" w:cs="Arial"/>
          <w:color w:val="222222"/>
          <w:sz w:val="20"/>
          <w:szCs w:val="20"/>
        </w:rPr>
      </w:pPr>
      <w:r w:rsidRPr="00FC0F58">
        <w:rPr>
          <w:rFonts w:ascii="Arial" w:eastAsia="Times New Roman" w:hAnsi="Arial" w:cs="Arial"/>
          <w:color w:val="222222"/>
          <w:sz w:val="20"/>
          <w:szCs w:val="20"/>
        </w:rPr>
        <w:t> </w:t>
      </w:r>
    </w:p>
    <w:p w:rsidR="00FC0F58" w:rsidRPr="00FC0F58" w:rsidRDefault="00FC0F58" w:rsidP="00FC0F58">
      <w:pPr>
        <w:shd w:val="clear" w:color="auto" w:fill="FFFFFF"/>
        <w:spacing w:beforeAutospacing="1" w:after="100" w:afterAutospacing="1" w:line="240" w:lineRule="auto"/>
        <w:rPr>
          <w:rFonts w:ascii="Arial" w:eastAsia="Times New Roman" w:hAnsi="Arial" w:cs="Arial"/>
          <w:color w:val="222222"/>
          <w:sz w:val="20"/>
          <w:szCs w:val="20"/>
        </w:rPr>
      </w:pPr>
      <w:r w:rsidRPr="00FC0F58">
        <w:rPr>
          <w:rFonts w:ascii="Arial" w:eastAsia="Times New Roman" w:hAnsi="Arial" w:cs="Arial"/>
          <w:color w:val="222222"/>
          <w:sz w:val="20"/>
          <w:szCs w:val="20"/>
        </w:rPr>
        <w:t xml:space="preserve">S. </w:t>
      </w:r>
      <w:proofErr w:type="gramStart"/>
      <w:r w:rsidRPr="00FC0F58">
        <w:rPr>
          <w:rFonts w:ascii="Arial" w:eastAsia="Times New Roman" w:hAnsi="Arial" w:cs="Arial"/>
          <w:color w:val="222222"/>
          <w:sz w:val="20"/>
          <w:szCs w:val="20"/>
        </w:rPr>
        <w:t>158B(</w:t>
      </w:r>
      <w:proofErr w:type="gramEnd"/>
      <w:r w:rsidRPr="00FC0F58">
        <w:rPr>
          <w:rFonts w:ascii="Arial" w:eastAsia="Times New Roman" w:hAnsi="Arial" w:cs="Arial"/>
          <w:color w:val="222222"/>
          <w:sz w:val="20"/>
          <w:szCs w:val="20"/>
        </w:rPr>
        <w:t>b) defines the expression “</w:t>
      </w:r>
      <w:r w:rsidRPr="00FC0F58">
        <w:rPr>
          <w:rFonts w:ascii="Arial" w:eastAsia="Times New Roman" w:hAnsi="Arial" w:cs="Arial"/>
          <w:i/>
          <w:iCs/>
          <w:color w:val="222222"/>
          <w:sz w:val="20"/>
          <w:szCs w:val="20"/>
        </w:rPr>
        <w:t>undisclosed income</w:t>
      </w:r>
      <w:r w:rsidRPr="00FC0F58">
        <w:rPr>
          <w:rFonts w:ascii="Arial" w:eastAsia="Times New Roman" w:hAnsi="Arial" w:cs="Arial"/>
          <w:color w:val="222222"/>
          <w:sz w:val="20"/>
          <w:szCs w:val="20"/>
        </w:rPr>
        <w:t>” to mean that income “</w:t>
      </w:r>
      <w:r w:rsidRPr="00FC0F58">
        <w:rPr>
          <w:rFonts w:ascii="Arial" w:eastAsia="Times New Roman" w:hAnsi="Arial" w:cs="Arial"/>
          <w:i/>
          <w:iCs/>
          <w:color w:val="222222"/>
          <w:sz w:val="20"/>
          <w:szCs w:val="20"/>
        </w:rPr>
        <w:t>which has not been or would not have been disclosed for the purposes of this Act</w:t>
      </w:r>
      <w:r w:rsidRPr="00FC0F58">
        <w:rPr>
          <w:rFonts w:ascii="Arial" w:eastAsia="Times New Roman" w:hAnsi="Arial" w:cs="Arial"/>
          <w:color w:val="222222"/>
          <w:sz w:val="20"/>
          <w:szCs w:val="20"/>
        </w:rPr>
        <w:t xml:space="preserve">”. The only way of disclosing income on the part of an </w:t>
      </w:r>
      <w:proofErr w:type="spellStart"/>
      <w:r w:rsidRPr="00FC0F58">
        <w:rPr>
          <w:rFonts w:ascii="Arial" w:eastAsia="Times New Roman" w:hAnsi="Arial" w:cs="Arial"/>
          <w:color w:val="222222"/>
          <w:sz w:val="20"/>
          <w:szCs w:val="20"/>
        </w:rPr>
        <w:t>assessee</w:t>
      </w:r>
      <w:proofErr w:type="spellEnd"/>
      <w:r w:rsidRPr="00FC0F58">
        <w:rPr>
          <w:rFonts w:ascii="Arial" w:eastAsia="Times New Roman" w:hAnsi="Arial" w:cs="Arial"/>
          <w:color w:val="222222"/>
          <w:sz w:val="20"/>
          <w:szCs w:val="20"/>
        </w:rPr>
        <w:t xml:space="preserve"> is through filing of a return and therefore an “</w:t>
      </w:r>
      <w:r w:rsidRPr="00FC0F58">
        <w:rPr>
          <w:rFonts w:ascii="Arial" w:eastAsia="Times New Roman" w:hAnsi="Arial" w:cs="Arial"/>
          <w:i/>
          <w:iCs/>
          <w:color w:val="222222"/>
          <w:sz w:val="20"/>
          <w:szCs w:val="20"/>
        </w:rPr>
        <w:t>undisclosed income</w:t>
      </w:r>
      <w:r w:rsidRPr="00FC0F58">
        <w:rPr>
          <w:rFonts w:ascii="Arial" w:eastAsia="Times New Roman" w:hAnsi="Arial" w:cs="Arial"/>
          <w:color w:val="222222"/>
          <w:sz w:val="20"/>
          <w:szCs w:val="20"/>
        </w:rPr>
        <w:t xml:space="preserve">” signifies income not stated in the return filed. It cannot be said that payment of Advance Tax by an </w:t>
      </w:r>
      <w:proofErr w:type="spellStart"/>
      <w:r w:rsidRPr="00FC0F58">
        <w:rPr>
          <w:rFonts w:ascii="Arial" w:eastAsia="Times New Roman" w:hAnsi="Arial" w:cs="Arial"/>
          <w:color w:val="222222"/>
          <w:sz w:val="20"/>
          <w:szCs w:val="20"/>
        </w:rPr>
        <w:t>assessee</w:t>
      </w:r>
      <w:proofErr w:type="spellEnd"/>
      <w:r w:rsidRPr="00FC0F58">
        <w:rPr>
          <w:rFonts w:ascii="Arial" w:eastAsia="Times New Roman" w:hAnsi="Arial" w:cs="Arial"/>
          <w:color w:val="222222"/>
          <w:sz w:val="20"/>
          <w:szCs w:val="20"/>
        </w:rPr>
        <w:t xml:space="preserve"> per se is tantamount to disclosure of total income. There can be no generic rule as to the significance of payment of Advance Tax in construing intention of disclosure of income. This depends on the time at which the search is conducted in relation to the due date for filing return. If the search is conducted after the expiry of the due date for filing return, payment of Advance Tax is irrelevant in construing the intention of the </w:t>
      </w:r>
      <w:proofErr w:type="spellStart"/>
      <w:r w:rsidRPr="00FC0F58">
        <w:rPr>
          <w:rFonts w:ascii="Arial" w:eastAsia="Times New Roman" w:hAnsi="Arial" w:cs="Arial"/>
          <w:color w:val="222222"/>
          <w:sz w:val="20"/>
          <w:szCs w:val="20"/>
        </w:rPr>
        <w:t>assessee</w:t>
      </w:r>
      <w:proofErr w:type="spellEnd"/>
      <w:r w:rsidRPr="00FC0F58">
        <w:rPr>
          <w:rFonts w:ascii="Arial" w:eastAsia="Times New Roman" w:hAnsi="Arial" w:cs="Arial"/>
          <w:color w:val="222222"/>
          <w:sz w:val="20"/>
          <w:szCs w:val="20"/>
        </w:rPr>
        <w:t xml:space="preserve"> to disclose income because it is a case where income has clearly not been disclosed. The possibility of the intention to disclose does not arise since the opportunity of disclosure has lapsed. If search is conducted prior to the due date for filing return, the opportunity to disclose income by filing a return still persists. In such a case, payment of Advance Tax may be a material fact for construing whether an </w:t>
      </w:r>
      <w:proofErr w:type="spellStart"/>
      <w:r w:rsidRPr="00FC0F58">
        <w:rPr>
          <w:rFonts w:ascii="Arial" w:eastAsia="Times New Roman" w:hAnsi="Arial" w:cs="Arial"/>
          <w:color w:val="222222"/>
          <w:sz w:val="20"/>
          <w:szCs w:val="20"/>
        </w:rPr>
        <w:t>assessee</w:t>
      </w:r>
      <w:proofErr w:type="spellEnd"/>
      <w:r w:rsidRPr="00FC0F58">
        <w:rPr>
          <w:rFonts w:ascii="Arial" w:eastAsia="Times New Roman" w:hAnsi="Arial" w:cs="Arial"/>
          <w:color w:val="222222"/>
          <w:sz w:val="20"/>
          <w:szCs w:val="20"/>
        </w:rPr>
        <w:t xml:space="preserve"> intended to disclose. An </w:t>
      </w:r>
      <w:proofErr w:type="spellStart"/>
      <w:r w:rsidRPr="00FC0F58">
        <w:rPr>
          <w:rFonts w:ascii="Arial" w:eastAsia="Times New Roman" w:hAnsi="Arial" w:cs="Arial"/>
          <w:color w:val="222222"/>
          <w:sz w:val="20"/>
          <w:szCs w:val="20"/>
        </w:rPr>
        <w:t>assessee</w:t>
      </w:r>
      <w:proofErr w:type="spellEnd"/>
      <w:r w:rsidRPr="00FC0F58">
        <w:rPr>
          <w:rFonts w:ascii="Arial" w:eastAsia="Times New Roman" w:hAnsi="Arial" w:cs="Arial"/>
          <w:color w:val="222222"/>
          <w:sz w:val="20"/>
          <w:szCs w:val="20"/>
        </w:rPr>
        <w:t xml:space="preserve"> is entitled to make the legitimate claim that even though the search or the documents recovered show income earned by him, he has paid Advance Tax for the relevant assessment year and has an opportunity to declare the total income, in the return of income, which he would file by the due date. Hence, the fulcrum of such a decision is the due date for filing of return of income vis-à-vis date of search. Also, because Advance Tax is based on estimated income, it cannot result in the disclosure of the total income assessable and chargeable to tax. The proposition that payment of Advance Tax is tantamount to disclosure of income would be contrary to the very purpose of filing of return. On facts, as the </w:t>
      </w:r>
      <w:proofErr w:type="spellStart"/>
      <w:r w:rsidRPr="00FC0F58">
        <w:rPr>
          <w:rFonts w:ascii="Arial" w:eastAsia="Times New Roman" w:hAnsi="Arial" w:cs="Arial"/>
          <w:color w:val="222222"/>
          <w:sz w:val="20"/>
          <w:szCs w:val="20"/>
        </w:rPr>
        <w:t>assessee</w:t>
      </w:r>
      <w:proofErr w:type="spellEnd"/>
      <w:r w:rsidRPr="00FC0F58">
        <w:rPr>
          <w:rFonts w:ascii="Arial" w:eastAsia="Times New Roman" w:hAnsi="Arial" w:cs="Arial"/>
          <w:color w:val="222222"/>
          <w:sz w:val="20"/>
          <w:szCs w:val="20"/>
        </w:rPr>
        <w:t xml:space="preserve"> had not filed the ROI by the date of search and the due date had lapsed, the income found was “undisclosed” even though advance-tax thereon had been paid. Similarly, as TDS is also computed on the estimated income of an </w:t>
      </w:r>
      <w:proofErr w:type="spellStart"/>
      <w:r w:rsidRPr="00FC0F58">
        <w:rPr>
          <w:rFonts w:ascii="Arial" w:eastAsia="Times New Roman" w:hAnsi="Arial" w:cs="Arial"/>
          <w:color w:val="222222"/>
          <w:sz w:val="20"/>
          <w:szCs w:val="20"/>
        </w:rPr>
        <w:t>assessee</w:t>
      </w:r>
      <w:proofErr w:type="spellEnd"/>
      <w:r w:rsidRPr="00FC0F58">
        <w:rPr>
          <w:rFonts w:ascii="Arial" w:eastAsia="Times New Roman" w:hAnsi="Arial" w:cs="Arial"/>
          <w:color w:val="222222"/>
          <w:sz w:val="20"/>
          <w:szCs w:val="20"/>
        </w:rPr>
        <w:t xml:space="preserve"> for the relevant FY, it does not amount to disclosure of income, nor does it indicate the intention to disclose income if the ROI is not filed.</w:t>
      </w:r>
    </w:p>
    <w:p w:rsidR="008720F6" w:rsidRDefault="008720F6"/>
    <w:sectPr w:rsidR="008720F6" w:rsidSect="008720F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C0F58"/>
    <w:rsid w:val="008720F6"/>
    <w:rsid w:val="00D161D1"/>
    <w:rsid w:val="00FC0F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0F6"/>
  </w:style>
  <w:style w:type="paragraph" w:styleId="Heading2">
    <w:name w:val="heading 2"/>
    <w:basedOn w:val="Normal"/>
    <w:link w:val="Heading2Char"/>
    <w:uiPriority w:val="9"/>
    <w:qFormat/>
    <w:rsid w:val="00FC0F5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C0F58"/>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FC0F58"/>
    <w:rPr>
      <w:color w:val="0000FF"/>
      <w:u w:val="single"/>
    </w:rPr>
  </w:style>
  <w:style w:type="paragraph" w:styleId="NormalWeb">
    <w:name w:val="Normal (Web)"/>
    <w:basedOn w:val="Normal"/>
    <w:uiPriority w:val="99"/>
    <w:unhideWhenUsed/>
    <w:rsid w:val="00FC0F5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C0F58"/>
    <w:rPr>
      <w:b/>
      <w:bCs/>
    </w:rPr>
  </w:style>
  <w:style w:type="character" w:styleId="Emphasis">
    <w:name w:val="Emphasis"/>
    <w:basedOn w:val="DefaultParagraphFont"/>
    <w:uiPriority w:val="20"/>
    <w:qFormat/>
    <w:rsid w:val="00FC0F58"/>
    <w:rPr>
      <w:i/>
      <w:iCs/>
    </w:rPr>
  </w:style>
  <w:style w:type="character" w:customStyle="1" w:styleId="apple-converted-space">
    <w:name w:val="apple-converted-space"/>
    <w:basedOn w:val="DefaultParagraphFont"/>
    <w:rsid w:val="00FC0F58"/>
  </w:style>
  <w:style w:type="paragraph" w:styleId="BalloonText">
    <w:name w:val="Balloon Text"/>
    <w:basedOn w:val="Normal"/>
    <w:link w:val="BalloonTextChar"/>
    <w:uiPriority w:val="99"/>
    <w:semiHidden/>
    <w:unhideWhenUsed/>
    <w:rsid w:val="00FC0F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0F58"/>
    <w:rPr>
      <w:rFonts w:ascii="Tahoma" w:hAnsi="Tahoma" w:cs="Tahoma"/>
      <w:sz w:val="16"/>
      <w:szCs w:val="16"/>
    </w:rPr>
  </w:style>
  <w:style w:type="paragraph" w:styleId="DocumentMap">
    <w:name w:val="Document Map"/>
    <w:basedOn w:val="Normal"/>
    <w:link w:val="DocumentMapChar"/>
    <w:uiPriority w:val="99"/>
    <w:semiHidden/>
    <w:unhideWhenUsed/>
    <w:rsid w:val="00FC0F5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C0F5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3053844">
      <w:bodyDiv w:val="1"/>
      <w:marLeft w:val="0"/>
      <w:marRight w:val="0"/>
      <w:marTop w:val="0"/>
      <w:marBottom w:val="0"/>
      <w:divBdr>
        <w:top w:val="none" w:sz="0" w:space="0" w:color="auto"/>
        <w:left w:val="none" w:sz="0" w:space="0" w:color="auto"/>
        <w:bottom w:val="none" w:sz="0" w:space="0" w:color="auto"/>
        <w:right w:val="none" w:sz="0" w:space="0" w:color="auto"/>
      </w:divBdr>
      <w:divsChild>
        <w:div w:id="1410351353">
          <w:marLeft w:val="0"/>
          <w:marRight w:val="0"/>
          <w:marTop w:val="150"/>
          <w:marBottom w:val="0"/>
          <w:divBdr>
            <w:top w:val="none" w:sz="0" w:space="0" w:color="auto"/>
            <w:left w:val="none" w:sz="0" w:space="0" w:color="auto"/>
            <w:bottom w:val="none" w:sz="0" w:space="0" w:color="auto"/>
            <w:right w:val="none" w:sz="0" w:space="0" w:color="auto"/>
          </w:divBdr>
          <w:divsChild>
            <w:div w:id="2095324203">
              <w:marLeft w:val="0"/>
              <w:marRight w:val="0"/>
              <w:marTop w:val="0"/>
              <w:marBottom w:val="0"/>
              <w:divBdr>
                <w:top w:val="none" w:sz="0" w:space="0" w:color="auto"/>
                <w:left w:val="none" w:sz="0" w:space="0" w:color="auto"/>
                <w:bottom w:val="none" w:sz="0" w:space="0" w:color="auto"/>
                <w:right w:val="none" w:sz="0" w:space="0" w:color="auto"/>
              </w:divBdr>
            </w:div>
            <w:div w:id="90317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370546">
      <w:bodyDiv w:val="1"/>
      <w:marLeft w:val="0"/>
      <w:marRight w:val="0"/>
      <w:marTop w:val="0"/>
      <w:marBottom w:val="0"/>
      <w:divBdr>
        <w:top w:val="none" w:sz="0" w:space="0" w:color="auto"/>
        <w:left w:val="none" w:sz="0" w:space="0" w:color="auto"/>
        <w:bottom w:val="none" w:sz="0" w:space="0" w:color="auto"/>
        <w:right w:val="none" w:sz="0" w:space="0" w:color="auto"/>
      </w:divBdr>
    </w:div>
    <w:div w:id="1530291053">
      <w:bodyDiv w:val="1"/>
      <w:marLeft w:val="0"/>
      <w:marRight w:val="0"/>
      <w:marTop w:val="0"/>
      <w:marBottom w:val="0"/>
      <w:divBdr>
        <w:top w:val="none" w:sz="0" w:space="0" w:color="auto"/>
        <w:left w:val="none" w:sz="0" w:space="0" w:color="auto"/>
        <w:bottom w:val="none" w:sz="0" w:space="0" w:color="auto"/>
        <w:right w:val="none" w:sz="0" w:space="0" w:color="auto"/>
      </w:divBdr>
      <w:divsChild>
        <w:div w:id="880240465">
          <w:blockQuote w:val="1"/>
          <w:marLeft w:val="720"/>
          <w:marRight w:val="720"/>
          <w:marTop w:val="100"/>
          <w:marBottom w:val="100"/>
          <w:divBdr>
            <w:top w:val="none" w:sz="0" w:space="0" w:color="auto"/>
            <w:left w:val="none" w:sz="0" w:space="0" w:color="auto"/>
            <w:bottom w:val="none" w:sz="0" w:space="0" w:color="auto"/>
            <w:right w:val="none" w:sz="0" w:space="0" w:color="auto"/>
          </w:divBdr>
        </w:div>
        <w:div w:id="294139166">
          <w:marLeft w:val="0"/>
          <w:marRight w:val="0"/>
          <w:marTop w:val="0"/>
          <w:marBottom w:val="0"/>
          <w:divBdr>
            <w:top w:val="none" w:sz="0" w:space="0" w:color="auto"/>
            <w:left w:val="none" w:sz="0" w:space="0" w:color="auto"/>
            <w:bottom w:val="none" w:sz="0" w:space="0" w:color="auto"/>
            <w:right w:val="none" w:sz="0" w:space="0" w:color="auto"/>
          </w:divBdr>
          <w:divsChild>
            <w:div w:id="603539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tatonline.org/archives/?p=6134" TargetMode="External"/><Relationship Id="rId5" Type="http://schemas.openxmlformats.org/officeDocument/2006/relationships/hyperlink" Target="http://itatonline.org/archives/?p=6139" TargetMode="External"/><Relationship Id="rId4" Type="http://schemas.openxmlformats.org/officeDocument/2006/relationships/hyperlink" Target="http://itatonline.org/archives/?p=61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1290</Words>
  <Characters>7354</Characters>
  <Application>Microsoft Office Word</Application>
  <DocSecurity>0</DocSecurity>
  <Lines>61</Lines>
  <Paragraphs>17</Paragraphs>
  <ScaleCrop>false</ScaleCrop>
  <Company/>
  <LinksUpToDate>false</LinksUpToDate>
  <CharactersWithSpaces>8627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sweet</dc:creator>
  <cp:keywords/>
  <dc:description/>
  <cp:lastModifiedBy>sweet</cp:lastModifiedBy>
  <cp:revision>2</cp:revision>
  <dcterms:created xsi:type="dcterms:W3CDTF">2013-01-15T13:10:00Z</dcterms:created>
  <dcterms:modified xsi:type="dcterms:W3CDTF">2013-01-15T13:14:00Z</dcterms:modified>
</cp:coreProperties>
</file>