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D50" w:rsidRPr="008B5D50" w:rsidRDefault="008B5D50" w:rsidP="008B5D50">
      <w:pPr>
        <w:pBdr>
          <w:top w:val="single" w:sz="2" w:space="0" w:color="000000"/>
          <w:left w:val="single" w:sz="2" w:space="0" w:color="000000"/>
          <w:bottom w:val="single" w:sz="2" w:space="0" w:color="000000"/>
          <w:right w:val="single" w:sz="2" w:space="0" w:color="000000"/>
        </w:pBdr>
        <w:spacing w:after="136" w:line="272" w:lineRule="atLeast"/>
        <w:ind w:left="136" w:right="136"/>
        <w:textAlignment w:val="baseline"/>
        <w:outlineLvl w:val="0"/>
        <w:rPr>
          <w:rFonts w:ascii="Arial" w:eastAsia="Times New Roman" w:hAnsi="Arial" w:cs="Arial"/>
          <w:b/>
          <w:bCs/>
          <w:color w:val="484848"/>
          <w:kern w:val="36"/>
          <w:sz w:val="41"/>
          <w:szCs w:val="41"/>
        </w:rPr>
      </w:pPr>
      <w:r w:rsidRPr="008B5D50">
        <w:rPr>
          <w:rFonts w:ascii="Arial" w:eastAsia="Times New Roman" w:hAnsi="Arial" w:cs="Arial"/>
          <w:b/>
          <w:bCs/>
          <w:color w:val="484848"/>
          <w:kern w:val="36"/>
          <w:sz w:val="41"/>
          <w:szCs w:val="41"/>
        </w:rPr>
        <w:t>TDS Rates and Returns for Assessment Year 2013-14 (Financial Year 2012-13)</w:t>
      </w:r>
    </w:p>
    <w:p w:rsidR="008E02F2" w:rsidRDefault="008E02F2"/>
    <w:p w:rsidR="008B5D50" w:rsidRDefault="008B5D50"/>
    <w:p w:rsidR="008B5D50" w:rsidRDefault="008B5D50" w:rsidP="008B5D50">
      <w:pPr>
        <w:pStyle w:val="NormalWeb"/>
        <w:shd w:val="clear" w:color="auto" w:fill="FFFFFF"/>
        <w:spacing w:before="0" w:beforeAutospacing="0" w:after="0" w:afterAutospacing="0" w:line="299" w:lineRule="atLeast"/>
        <w:textAlignment w:val="baseline"/>
        <w:rPr>
          <w:rFonts w:ascii="Tahoma" w:hAnsi="Tahoma" w:cs="Tahoma"/>
          <w:color w:val="565E65"/>
          <w:sz w:val="16"/>
          <w:szCs w:val="16"/>
        </w:rPr>
      </w:pPr>
      <w:r>
        <w:rPr>
          <w:rStyle w:val="Strong"/>
          <w:rFonts w:ascii="Tahoma" w:eastAsiaTheme="majorEastAsia" w:hAnsi="Tahoma" w:cs="Tahoma"/>
          <w:color w:val="565E65"/>
          <w:sz w:val="16"/>
          <w:szCs w:val="16"/>
          <w:bdr w:val="none" w:sz="0" w:space="0" w:color="auto" w:frame="1"/>
        </w:rPr>
        <w:t>TDS Rate on Payment of Salary and Wages</w:t>
      </w:r>
    </w:p>
    <w:tbl>
      <w:tblPr>
        <w:tblW w:w="8409" w:type="dxa"/>
        <w:tblBorders>
          <w:top w:val="single" w:sz="6" w:space="0" w:color="E7E7E7"/>
          <w:left w:val="single" w:sz="6" w:space="0" w:color="E7E7E7"/>
          <w:bottom w:val="single" w:sz="6" w:space="0" w:color="E7E7E7"/>
          <w:right w:val="single" w:sz="6" w:space="0" w:color="E7E7E7"/>
        </w:tblBorders>
        <w:shd w:val="clear" w:color="auto" w:fill="FFFFFF"/>
        <w:tblCellMar>
          <w:left w:w="0" w:type="dxa"/>
          <w:right w:w="0" w:type="dxa"/>
        </w:tblCellMar>
        <w:tblLook w:val="04A0"/>
      </w:tblPr>
      <w:tblGrid>
        <w:gridCol w:w="1510"/>
        <w:gridCol w:w="6899"/>
      </w:tblGrid>
      <w:tr w:rsidR="008B5D50" w:rsidTr="008B5D50">
        <w:tc>
          <w:tcPr>
            <w:tcW w:w="0" w:type="auto"/>
            <w:tcBorders>
              <w:top w:val="nil"/>
              <w:left w:val="nil"/>
              <w:bottom w:val="nil"/>
              <w:right w:val="nil"/>
            </w:tcBorders>
            <w:shd w:val="clear" w:color="auto" w:fill="auto"/>
            <w:tcMar>
              <w:top w:w="122" w:type="dxa"/>
              <w:left w:w="326" w:type="dxa"/>
              <w:bottom w:w="122" w:type="dxa"/>
              <w:right w:w="326" w:type="dxa"/>
            </w:tcMar>
            <w:vAlign w:val="bottom"/>
            <w:hideMark/>
          </w:tcPr>
          <w:p w:rsidR="008B5D50" w:rsidRDefault="008B5D50">
            <w:pPr>
              <w:spacing w:line="245" w:lineRule="atLeast"/>
              <w:jc w:val="center"/>
              <w:rPr>
                <w:rFonts w:ascii="Arial" w:hAnsi="Arial" w:cs="Arial"/>
                <w:b/>
                <w:bCs/>
                <w:color w:val="888888"/>
                <w:sz w:val="16"/>
                <w:szCs w:val="16"/>
              </w:rPr>
            </w:pPr>
            <w:r>
              <w:rPr>
                <w:rFonts w:ascii="Arial" w:hAnsi="Arial" w:cs="Arial"/>
                <w:b/>
                <w:bCs/>
                <w:color w:val="888888"/>
                <w:sz w:val="16"/>
                <w:szCs w:val="16"/>
              </w:rPr>
              <w:t>Section 192</w:t>
            </w:r>
          </w:p>
        </w:tc>
        <w:tc>
          <w:tcPr>
            <w:tcW w:w="0" w:type="auto"/>
            <w:tcBorders>
              <w:top w:val="nil"/>
              <w:left w:val="nil"/>
              <w:bottom w:val="nil"/>
              <w:right w:val="nil"/>
            </w:tcBorders>
            <w:shd w:val="clear" w:color="auto" w:fill="auto"/>
            <w:tcMar>
              <w:top w:w="122" w:type="dxa"/>
              <w:left w:w="326" w:type="dxa"/>
              <w:bottom w:w="122" w:type="dxa"/>
              <w:right w:w="326" w:type="dxa"/>
            </w:tcMar>
            <w:vAlign w:val="bottom"/>
            <w:hideMark/>
          </w:tcPr>
          <w:p w:rsidR="008B5D50" w:rsidRDefault="008B5D50">
            <w:pPr>
              <w:spacing w:line="245" w:lineRule="atLeast"/>
              <w:jc w:val="center"/>
              <w:rPr>
                <w:rFonts w:ascii="Arial" w:hAnsi="Arial" w:cs="Arial"/>
                <w:b/>
                <w:bCs/>
                <w:color w:val="888888"/>
                <w:sz w:val="16"/>
                <w:szCs w:val="16"/>
              </w:rPr>
            </w:pPr>
            <w:r>
              <w:rPr>
                <w:rFonts w:ascii="Arial" w:hAnsi="Arial" w:cs="Arial"/>
                <w:b/>
                <w:bCs/>
                <w:color w:val="888888"/>
                <w:sz w:val="16"/>
                <w:szCs w:val="16"/>
              </w:rPr>
              <w:t>Payment of Salary and Wages</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Criterion of Deduction</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 xml:space="preserve">TDS is deducted if the estimated income of the employee is </w:t>
            </w:r>
            <w:proofErr w:type="spellStart"/>
            <w:r>
              <w:rPr>
                <w:rFonts w:ascii="Tahoma" w:hAnsi="Tahoma" w:cs="Tahoma"/>
                <w:color w:val="565E65"/>
                <w:sz w:val="16"/>
                <w:szCs w:val="16"/>
              </w:rPr>
              <w:t>taxable.Employer</w:t>
            </w:r>
            <w:proofErr w:type="spellEnd"/>
            <w:r>
              <w:rPr>
                <w:rFonts w:ascii="Tahoma" w:hAnsi="Tahoma" w:cs="Tahoma"/>
                <w:color w:val="565E65"/>
                <w:sz w:val="16"/>
                <w:szCs w:val="16"/>
              </w:rPr>
              <w:t xml:space="preserve"> must not deduct tax on non-taxable allowances like conveyance allowance, rent allowance, medical allowance and deductible investments under sections like 80C, 80CC, 80D, 80DD, 80DDB, 80E, 80GG and 80U. No tax is required to be deducted at source if the estimated total income of the employee is less than the minimum taxable income.</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TDS Rate</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 xml:space="preserve">As per Income Tax and Education </w:t>
            </w:r>
            <w:proofErr w:type="spellStart"/>
            <w:r>
              <w:rPr>
                <w:rFonts w:ascii="Tahoma" w:hAnsi="Tahoma" w:cs="Tahoma"/>
                <w:color w:val="565E65"/>
                <w:sz w:val="16"/>
                <w:szCs w:val="16"/>
              </w:rPr>
              <w:t>Cess</w:t>
            </w:r>
            <w:proofErr w:type="spellEnd"/>
            <w:r>
              <w:rPr>
                <w:rFonts w:ascii="Tahoma" w:hAnsi="Tahoma" w:cs="Tahoma"/>
                <w:color w:val="565E65"/>
                <w:sz w:val="16"/>
                <w:szCs w:val="16"/>
              </w:rPr>
              <w:t xml:space="preserve"> at the applicable rate on the estimated income of employee for the year.</w:t>
            </w:r>
          </w:p>
        </w:tc>
      </w:tr>
    </w:tbl>
    <w:p w:rsidR="008B5D50" w:rsidRDefault="008B5D50" w:rsidP="008B5D50">
      <w:pPr>
        <w:pStyle w:val="NormalWeb"/>
        <w:shd w:val="clear" w:color="auto" w:fill="FFFFFF"/>
        <w:spacing w:before="0" w:beforeAutospacing="0" w:after="326" w:afterAutospacing="0" w:line="299" w:lineRule="atLeast"/>
        <w:textAlignment w:val="baseline"/>
        <w:rPr>
          <w:rFonts w:ascii="Tahoma" w:hAnsi="Tahoma" w:cs="Tahoma"/>
          <w:color w:val="565E65"/>
          <w:sz w:val="16"/>
          <w:szCs w:val="16"/>
        </w:rPr>
      </w:pPr>
      <w:r>
        <w:rPr>
          <w:rFonts w:ascii="Tahoma" w:hAnsi="Tahoma" w:cs="Tahoma"/>
          <w:color w:val="565E65"/>
          <w:sz w:val="16"/>
          <w:szCs w:val="16"/>
        </w:rPr>
        <w:t> </w:t>
      </w:r>
    </w:p>
    <w:p w:rsidR="008B5D50" w:rsidRDefault="008B5D50" w:rsidP="008B5D50">
      <w:pPr>
        <w:pStyle w:val="NormalWeb"/>
        <w:shd w:val="clear" w:color="auto" w:fill="FFFFFF"/>
        <w:spacing w:before="0" w:beforeAutospacing="0" w:after="0" w:afterAutospacing="0" w:line="299" w:lineRule="atLeast"/>
        <w:textAlignment w:val="baseline"/>
        <w:rPr>
          <w:rFonts w:ascii="Tahoma" w:hAnsi="Tahoma" w:cs="Tahoma"/>
          <w:color w:val="565E65"/>
          <w:sz w:val="16"/>
          <w:szCs w:val="16"/>
        </w:rPr>
      </w:pPr>
      <w:r>
        <w:rPr>
          <w:rStyle w:val="Strong"/>
          <w:rFonts w:ascii="Tahoma" w:eastAsiaTheme="majorEastAsia" w:hAnsi="Tahoma" w:cs="Tahoma"/>
          <w:color w:val="565E65"/>
          <w:sz w:val="16"/>
          <w:szCs w:val="16"/>
          <w:bdr w:val="none" w:sz="0" w:space="0" w:color="auto" w:frame="1"/>
        </w:rPr>
        <w:t>TDS Rates on Payments other than Salary and Wages</w:t>
      </w:r>
    </w:p>
    <w:tbl>
      <w:tblPr>
        <w:tblW w:w="8409" w:type="dxa"/>
        <w:tblBorders>
          <w:top w:val="single" w:sz="6" w:space="0" w:color="E7E7E7"/>
          <w:left w:val="single" w:sz="6" w:space="0" w:color="E7E7E7"/>
          <w:bottom w:val="single" w:sz="6" w:space="0" w:color="E7E7E7"/>
          <w:right w:val="single" w:sz="6" w:space="0" w:color="E7E7E7"/>
        </w:tblBorders>
        <w:shd w:val="clear" w:color="auto" w:fill="FFFFFF"/>
        <w:tblCellMar>
          <w:left w:w="0" w:type="dxa"/>
          <w:right w:w="0" w:type="dxa"/>
        </w:tblCellMar>
        <w:tblLook w:val="04A0"/>
      </w:tblPr>
      <w:tblGrid>
        <w:gridCol w:w="1267"/>
        <w:gridCol w:w="2703"/>
        <w:gridCol w:w="1803"/>
        <w:gridCol w:w="1468"/>
        <w:gridCol w:w="1168"/>
      </w:tblGrid>
      <w:tr w:rsidR="008B5D50" w:rsidTr="008B5D50">
        <w:tc>
          <w:tcPr>
            <w:tcW w:w="0" w:type="auto"/>
            <w:vMerge w:val="restart"/>
            <w:tcBorders>
              <w:top w:val="nil"/>
              <w:left w:val="nil"/>
              <w:bottom w:val="nil"/>
              <w:right w:val="nil"/>
            </w:tcBorders>
            <w:shd w:val="clear" w:color="auto" w:fill="auto"/>
            <w:tcMar>
              <w:top w:w="122" w:type="dxa"/>
              <w:left w:w="326" w:type="dxa"/>
              <w:bottom w:w="122" w:type="dxa"/>
              <w:right w:w="326" w:type="dxa"/>
            </w:tcMar>
            <w:vAlign w:val="bottom"/>
            <w:hideMark/>
          </w:tcPr>
          <w:p w:rsidR="008B5D50" w:rsidRDefault="008B5D50">
            <w:pPr>
              <w:spacing w:line="245" w:lineRule="atLeast"/>
              <w:jc w:val="center"/>
              <w:rPr>
                <w:rFonts w:ascii="Arial" w:hAnsi="Arial" w:cs="Arial"/>
                <w:b/>
                <w:bCs/>
                <w:color w:val="888888"/>
                <w:sz w:val="16"/>
                <w:szCs w:val="16"/>
              </w:rPr>
            </w:pPr>
            <w:r>
              <w:rPr>
                <w:rFonts w:ascii="Arial" w:hAnsi="Arial" w:cs="Arial"/>
                <w:b/>
                <w:bCs/>
                <w:color w:val="888888"/>
                <w:sz w:val="16"/>
                <w:szCs w:val="16"/>
              </w:rPr>
              <w:t>Section No.</w:t>
            </w:r>
          </w:p>
        </w:tc>
        <w:tc>
          <w:tcPr>
            <w:tcW w:w="0" w:type="auto"/>
            <w:vMerge w:val="restart"/>
            <w:tcBorders>
              <w:top w:val="nil"/>
              <w:left w:val="nil"/>
              <w:bottom w:val="nil"/>
              <w:right w:val="nil"/>
            </w:tcBorders>
            <w:shd w:val="clear" w:color="auto" w:fill="auto"/>
            <w:tcMar>
              <w:top w:w="122" w:type="dxa"/>
              <w:left w:w="326" w:type="dxa"/>
              <w:bottom w:w="122" w:type="dxa"/>
              <w:right w:w="326" w:type="dxa"/>
            </w:tcMar>
            <w:vAlign w:val="bottom"/>
            <w:hideMark/>
          </w:tcPr>
          <w:p w:rsidR="008B5D50" w:rsidRDefault="008B5D50">
            <w:pPr>
              <w:spacing w:line="245" w:lineRule="atLeast"/>
              <w:jc w:val="center"/>
              <w:rPr>
                <w:rFonts w:ascii="Arial" w:hAnsi="Arial" w:cs="Arial"/>
                <w:b/>
                <w:bCs/>
                <w:color w:val="888888"/>
                <w:sz w:val="16"/>
                <w:szCs w:val="16"/>
              </w:rPr>
            </w:pPr>
            <w:r>
              <w:rPr>
                <w:rFonts w:ascii="Arial" w:hAnsi="Arial" w:cs="Arial"/>
                <w:b/>
                <w:bCs/>
                <w:color w:val="888888"/>
                <w:sz w:val="16"/>
                <w:szCs w:val="16"/>
              </w:rPr>
              <w:t>For Payment of</w:t>
            </w:r>
          </w:p>
        </w:tc>
        <w:tc>
          <w:tcPr>
            <w:tcW w:w="0" w:type="auto"/>
            <w:vMerge w:val="restart"/>
            <w:tcBorders>
              <w:top w:val="nil"/>
              <w:left w:val="nil"/>
              <w:bottom w:val="nil"/>
              <w:right w:val="nil"/>
            </w:tcBorders>
            <w:shd w:val="clear" w:color="auto" w:fill="auto"/>
            <w:tcMar>
              <w:top w:w="122" w:type="dxa"/>
              <w:left w:w="326" w:type="dxa"/>
              <w:bottom w:w="122" w:type="dxa"/>
              <w:right w:w="326" w:type="dxa"/>
            </w:tcMar>
            <w:vAlign w:val="bottom"/>
            <w:hideMark/>
          </w:tcPr>
          <w:p w:rsidR="008B5D50" w:rsidRDefault="008B5D50">
            <w:pPr>
              <w:spacing w:line="245" w:lineRule="atLeast"/>
              <w:jc w:val="center"/>
              <w:rPr>
                <w:rFonts w:ascii="Arial" w:hAnsi="Arial" w:cs="Arial"/>
                <w:b/>
                <w:bCs/>
                <w:color w:val="888888"/>
                <w:sz w:val="16"/>
                <w:szCs w:val="16"/>
              </w:rPr>
            </w:pPr>
            <w:r>
              <w:rPr>
                <w:rFonts w:ascii="Arial" w:hAnsi="Arial" w:cs="Arial"/>
                <w:b/>
                <w:bCs/>
                <w:color w:val="888888"/>
                <w:sz w:val="16"/>
                <w:szCs w:val="16"/>
              </w:rPr>
              <w:t>Criterion</w:t>
            </w:r>
            <w:r>
              <w:rPr>
                <w:rFonts w:ascii="Arial" w:hAnsi="Arial" w:cs="Arial"/>
                <w:b/>
                <w:bCs/>
                <w:color w:val="888888"/>
                <w:sz w:val="16"/>
                <w:szCs w:val="16"/>
              </w:rPr>
              <w:br/>
              <w:t>Total Payment During the Year</w:t>
            </w:r>
          </w:p>
        </w:tc>
        <w:tc>
          <w:tcPr>
            <w:tcW w:w="0" w:type="auto"/>
            <w:gridSpan w:val="2"/>
            <w:tcBorders>
              <w:top w:val="nil"/>
              <w:left w:val="nil"/>
              <w:bottom w:val="nil"/>
              <w:right w:val="nil"/>
            </w:tcBorders>
            <w:shd w:val="clear" w:color="auto" w:fill="auto"/>
            <w:tcMar>
              <w:top w:w="122" w:type="dxa"/>
              <w:left w:w="326" w:type="dxa"/>
              <w:bottom w:w="122" w:type="dxa"/>
              <w:right w:w="326" w:type="dxa"/>
            </w:tcMar>
            <w:vAlign w:val="bottom"/>
            <w:hideMark/>
          </w:tcPr>
          <w:p w:rsidR="008B5D50" w:rsidRDefault="008B5D50">
            <w:pPr>
              <w:spacing w:line="245" w:lineRule="atLeast"/>
              <w:jc w:val="center"/>
              <w:rPr>
                <w:rFonts w:ascii="Arial" w:hAnsi="Arial" w:cs="Arial"/>
                <w:b/>
                <w:bCs/>
                <w:color w:val="888888"/>
                <w:sz w:val="16"/>
                <w:szCs w:val="16"/>
              </w:rPr>
            </w:pPr>
            <w:r>
              <w:rPr>
                <w:rFonts w:ascii="Arial" w:hAnsi="Arial" w:cs="Arial"/>
                <w:b/>
                <w:bCs/>
                <w:color w:val="888888"/>
                <w:sz w:val="16"/>
                <w:szCs w:val="16"/>
              </w:rPr>
              <w:t>Payment to</w:t>
            </w:r>
          </w:p>
        </w:tc>
      </w:tr>
      <w:tr w:rsidR="008B5D50" w:rsidTr="008B5D50">
        <w:tc>
          <w:tcPr>
            <w:tcW w:w="0" w:type="auto"/>
            <w:vMerge/>
            <w:tcBorders>
              <w:top w:val="nil"/>
              <w:left w:val="nil"/>
              <w:bottom w:val="nil"/>
              <w:right w:val="nil"/>
            </w:tcBorders>
            <w:shd w:val="clear" w:color="auto" w:fill="auto"/>
            <w:vAlign w:val="center"/>
            <w:hideMark/>
          </w:tcPr>
          <w:p w:rsidR="008B5D50" w:rsidRDefault="008B5D50">
            <w:pPr>
              <w:rPr>
                <w:rFonts w:ascii="Arial" w:hAnsi="Arial" w:cs="Arial"/>
                <w:b/>
                <w:bCs/>
                <w:color w:val="888888"/>
                <w:sz w:val="16"/>
                <w:szCs w:val="16"/>
              </w:rPr>
            </w:pPr>
          </w:p>
        </w:tc>
        <w:tc>
          <w:tcPr>
            <w:tcW w:w="0" w:type="auto"/>
            <w:vMerge/>
            <w:tcBorders>
              <w:top w:val="nil"/>
              <w:left w:val="nil"/>
              <w:bottom w:val="nil"/>
              <w:right w:val="nil"/>
            </w:tcBorders>
            <w:shd w:val="clear" w:color="auto" w:fill="auto"/>
            <w:vAlign w:val="center"/>
            <w:hideMark/>
          </w:tcPr>
          <w:p w:rsidR="008B5D50" w:rsidRDefault="008B5D50">
            <w:pPr>
              <w:rPr>
                <w:rFonts w:ascii="Arial" w:hAnsi="Arial" w:cs="Arial"/>
                <w:b/>
                <w:bCs/>
                <w:color w:val="888888"/>
                <w:sz w:val="16"/>
                <w:szCs w:val="16"/>
              </w:rPr>
            </w:pPr>
          </w:p>
        </w:tc>
        <w:tc>
          <w:tcPr>
            <w:tcW w:w="0" w:type="auto"/>
            <w:vMerge/>
            <w:tcBorders>
              <w:top w:val="nil"/>
              <w:left w:val="nil"/>
              <w:bottom w:val="nil"/>
              <w:right w:val="nil"/>
            </w:tcBorders>
            <w:shd w:val="clear" w:color="auto" w:fill="auto"/>
            <w:vAlign w:val="center"/>
            <w:hideMark/>
          </w:tcPr>
          <w:p w:rsidR="008B5D50" w:rsidRDefault="008B5D50">
            <w:pPr>
              <w:rPr>
                <w:rFonts w:ascii="Arial" w:hAnsi="Arial" w:cs="Arial"/>
                <w:b/>
                <w:bCs/>
                <w:color w:val="888888"/>
                <w:sz w:val="16"/>
                <w:szCs w:val="16"/>
              </w:rPr>
            </w:pPr>
          </w:p>
        </w:tc>
        <w:tc>
          <w:tcPr>
            <w:tcW w:w="0" w:type="auto"/>
            <w:tcBorders>
              <w:top w:val="nil"/>
              <w:left w:val="nil"/>
              <w:bottom w:val="nil"/>
              <w:right w:val="nil"/>
            </w:tcBorders>
            <w:shd w:val="clear" w:color="auto" w:fill="auto"/>
            <w:tcMar>
              <w:top w:w="122" w:type="dxa"/>
              <w:left w:w="326" w:type="dxa"/>
              <w:bottom w:w="122" w:type="dxa"/>
              <w:right w:w="326" w:type="dxa"/>
            </w:tcMar>
            <w:vAlign w:val="bottom"/>
            <w:hideMark/>
          </w:tcPr>
          <w:p w:rsidR="008B5D50" w:rsidRDefault="008B5D50">
            <w:pPr>
              <w:spacing w:line="245" w:lineRule="atLeast"/>
              <w:jc w:val="center"/>
              <w:rPr>
                <w:rFonts w:ascii="Arial" w:hAnsi="Arial" w:cs="Arial"/>
                <w:b/>
                <w:bCs/>
                <w:color w:val="888888"/>
                <w:sz w:val="16"/>
                <w:szCs w:val="16"/>
              </w:rPr>
            </w:pPr>
            <w:r>
              <w:rPr>
                <w:rFonts w:ascii="Arial" w:hAnsi="Arial" w:cs="Arial"/>
                <w:b/>
                <w:bCs/>
                <w:color w:val="888888"/>
                <w:sz w:val="16"/>
                <w:szCs w:val="16"/>
              </w:rPr>
              <w:t>Individual or HUF</w:t>
            </w:r>
          </w:p>
        </w:tc>
        <w:tc>
          <w:tcPr>
            <w:tcW w:w="0" w:type="auto"/>
            <w:tcBorders>
              <w:top w:val="nil"/>
              <w:left w:val="nil"/>
              <w:bottom w:val="nil"/>
              <w:right w:val="nil"/>
            </w:tcBorders>
            <w:shd w:val="clear" w:color="auto" w:fill="auto"/>
            <w:tcMar>
              <w:top w:w="122" w:type="dxa"/>
              <w:left w:w="326" w:type="dxa"/>
              <w:bottom w:w="122" w:type="dxa"/>
              <w:right w:w="326" w:type="dxa"/>
            </w:tcMar>
            <w:vAlign w:val="bottom"/>
            <w:hideMark/>
          </w:tcPr>
          <w:p w:rsidR="008B5D50" w:rsidRDefault="008B5D50">
            <w:pPr>
              <w:spacing w:line="245" w:lineRule="atLeast"/>
              <w:jc w:val="center"/>
              <w:rPr>
                <w:rFonts w:ascii="Arial" w:hAnsi="Arial" w:cs="Arial"/>
                <w:b/>
                <w:bCs/>
                <w:color w:val="888888"/>
                <w:sz w:val="16"/>
                <w:szCs w:val="16"/>
              </w:rPr>
            </w:pPr>
            <w:r>
              <w:rPr>
                <w:rFonts w:ascii="Arial" w:hAnsi="Arial" w:cs="Arial"/>
                <w:b/>
                <w:bCs/>
                <w:color w:val="888888"/>
                <w:sz w:val="16"/>
                <w:szCs w:val="16"/>
              </w:rPr>
              <w:t>Others</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193</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Interest on Debentures</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From 01.04.2012 to 30.06.2012</w:t>
            </w:r>
            <w:r>
              <w:rPr>
                <w:rFonts w:ascii="Tahoma" w:hAnsi="Tahoma" w:cs="Tahoma"/>
                <w:color w:val="565E65"/>
                <w:sz w:val="16"/>
                <w:szCs w:val="16"/>
              </w:rPr>
              <w:br/>
              <w:t>More than Rs. 2500/-</w:t>
            </w:r>
            <w:r>
              <w:rPr>
                <w:rStyle w:val="Strong"/>
                <w:rFonts w:ascii="Tahoma" w:hAnsi="Tahoma" w:cs="Tahoma"/>
                <w:color w:val="565E65"/>
                <w:sz w:val="16"/>
                <w:szCs w:val="16"/>
                <w:bdr w:val="none" w:sz="0" w:space="0" w:color="auto" w:frame="1"/>
              </w:rPr>
              <w:t>From 01.07.2012</w:t>
            </w:r>
            <w:r>
              <w:rPr>
                <w:rFonts w:ascii="Tahoma" w:hAnsi="Tahoma" w:cs="Tahoma"/>
                <w:color w:val="565E65"/>
                <w:sz w:val="16"/>
                <w:szCs w:val="16"/>
              </w:rPr>
              <w:br/>
              <w:t>More than Rs. 5000/-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Deemed Dividend</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A</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Interest by banks or others</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 xml:space="preserve">More than Rs. </w:t>
            </w:r>
            <w:r>
              <w:rPr>
                <w:rFonts w:ascii="Tahoma" w:hAnsi="Tahoma" w:cs="Tahoma"/>
                <w:color w:val="565E65"/>
                <w:sz w:val="16"/>
                <w:szCs w:val="16"/>
              </w:rPr>
              <w:lastRenderedPageBreak/>
              <w:t>10000/-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lastRenderedPageBreak/>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lastRenderedPageBreak/>
              <w:t>194 B</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Winnings from Lotteries / Puzzle / Game</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10000/-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30%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30%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BB</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Winnings from Horse Race</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5000/-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30%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30%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C (1)</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Payment to Contractors</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30000/-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2%</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C (2)</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Payment to Sub-Contractors / for Advertisements</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30000/-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2%</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D</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Payment of Insurance Commission</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20000/-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EE</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Out of deposits under NSS</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2500/-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20%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NA</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F</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Repurchase of units by Mutual Funds / UTI</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1000/-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20%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20%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G</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 xml:space="preserve">Commission </w:t>
            </w:r>
            <w:proofErr w:type="spellStart"/>
            <w:r>
              <w:rPr>
                <w:rFonts w:ascii="Tahoma" w:hAnsi="Tahoma" w:cs="Tahoma"/>
                <w:color w:val="565E65"/>
                <w:sz w:val="16"/>
                <w:szCs w:val="16"/>
              </w:rPr>
              <w:t>ons</w:t>
            </w:r>
            <w:proofErr w:type="spellEnd"/>
            <w:r>
              <w:rPr>
                <w:rFonts w:ascii="Tahoma" w:hAnsi="Tahoma" w:cs="Tahoma"/>
                <w:color w:val="565E65"/>
                <w:sz w:val="16"/>
                <w:szCs w:val="16"/>
              </w:rPr>
              <w:t xml:space="preserve"> Sale of Lottery tickets</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1000/-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H</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Commission or Brokerage</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5000/-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I</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Rent of Land, Building or Furniture</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180000/-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I</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Rent of Plant &amp; Machinery</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180000/-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2%</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2%</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J</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Professional / technical services, royalty</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30000/-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lastRenderedPageBreak/>
              <w:t>194 J (1)</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Remuneration / commission to director of the company</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J (</w:t>
            </w:r>
            <w:proofErr w:type="spellStart"/>
            <w:r>
              <w:rPr>
                <w:rStyle w:val="Strong"/>
                <w:rFonts w:ascii="Tahoma" w:hAnsi="Tahoma" w:cs="Tahoma"/>
                <w:color w:val="565E65"/>
                <w:sz w:val="16"/>
                <w:szCs w:val="16"/>
                <w:bdr w:val="none" w:sz="0" w:space="0" w:color="auto" w:frame="1"/>
              </w:rPr>
              <w:t>ba</w:t>
            </w:r>
            <w:proofErr w:type="spellEnd"/>
            <w:r>
              <w:rPr>
                <w:rStyle w:val="Strong"/>
                <w:rFonts w:ascii="Tahoma" w:hAnsi="Tahoma" w:cs="Tahoma"/>
                <w:color w:val="565E65"/>
                <w:sz w:val="16"/>
                <w:szCs w:val="16"/>
                <w:bdr w:val="none" w:sz="0" w:space="0" w:color="auto" w:frame="1"/>
              </w:rPr>
              <w:t>)</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proofErr w:type="spellStart"/>
            <w:r>
              <w:rPr>
                <w:rStyle w:val="Strong"/>
                <w:rFonts w:ascii="Tahoma" w:hAnsi="Tahoma" w:cs="Tahoma"/>
                <w:color w:val="565E65"/>
                <w:sz w:val="16"/>
                <w:szCs w:val="16"/>
                <w:bdr w:val="none" w:sz="0" w:space="0" w:color="auto" w:frame="1"/>
              </w:rPr>
              <w:t>w.e.f</w:t>
            </w:r>
            <w:proofErr w:type="spellEnd"/>
            <w:r>
              <w:rPr>
                <w:rStyle w:val="Strong"/>
                <w:rFonts w:ascii="Tahoma" w:hAnsi="Tahoma" w:cs="Tahoma"/>
                <w:color w:val="565E65"/>
                <w:sz w:val="16"/>
                <w:szCs w:val="16"/>
                <w:bdr w:val="none" w:sz="0" w:space="0" w:color="auto" w:frame="1"/>
              </w:rPr>
              <w:t>. 01.07.2012</w:t>
            </w:r>
            <w:r>
              <w:rPr>
                <w:rFonts w:ascii="Tahoma" w:hAnsi="Tahoma" w:cs="Tahoma"/>
                <w:color w:val="565E65"/>
                <w:sz w:val="16"/>
                <w:szCs w:val="16"/>
              </w:rPr>
              <w:br/>
              <w:t xml:space="preserve">Any remuneration / fees / commission to a director of a company, other than those on which tax </w:t>
            </w:r>
            <w:proofErr w:type="gramStart"/>
            <w:r>
              <w:rPr>
                <w:rFonts w:ascii="Tahoma" w:hAnsi="Tahoma" w:cs="Tahoma"/>
                <w:color w:val="565E65"/>
                <w:sz w:val="16"/>
                <w:szCs w:val="16"/>
              </w:rPr>
              <w:t>is</w:t>
            </w:r>
            <w:proofErr w:type="gramEnd"/>
            <w:r>
              <w:rPr>
                <w:rFonts w:ascii="Tahoma" w:hAnsi="Tahoma" w:cs="Tahoma"/>
                <w:color w:val="565E65"/>
                <w:sz w:val="16"/>
                <w:szCs w:val="16"/>
              </w:rPr>
              <w:t xml:space="preserve"> deductible under section 192.</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L</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Compensation on acquisition of Capital Asset</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More than Rs. 100000/-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194 LA</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Compensation on acquisition of certain immovable property</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Style w:val="Strong"/>
                <w:rFonts w:ascii="Tahoma" w:hAnsi="Tahoma" w:cs="Tahoma"/>
                <w:color w:val="565E65"/>
                <w:sz w:val="16"/>
                <w:szCs w:val="16"/>
                <w:bdr w:val="none" w:sz="0" w:space="0" w:color="auto" w:frame="1"/>
              </w:rPr>
              <w:t>From 01.04.2012 to 30.06.2012</w:t>
            </w:r>
            <w:r>
              <w:rPr>
                <w:rFonts w:ascii="Tahoma" w:hAnsi="Tahoma" w:cs="Tahoma"/>
                <w:color w:val="565E65"/>
                <w:sz w:val="16"/>
                <w:szCs w:val="16"/>
              </w:rPr>
              <w:br/>
              <w:t>More than Rs. 100000/-</w:t>
            </w:r>
            <w:r>
              <w:rPr>
                <w:rFonts w:ascii="Tahoma" w:hAnsi="Tahoma" w:cs="Tahoma"/>
                <w:color w:val="565E65"/>
                <w:sz w:val="16"/>
                <w:szCs w:val="16"/>
              </w:rPr>
              <w:br/>
            </w:r>
            <w:r>
              <w:rPr>
                <w:rStyle w:val="Strong"/>
                <w:rFonts w:ascii="Tahoma" w:hAnsi="Tahoma" w:cs="Tahoma"/>
                <w:color w:val="565E65"/>
                <w:sz w:val="16"/>
                <w:szCs w:val="16"/>
                <w:bdr w:val="none" w:sz="0" w:space="0" w:color="auto" w:frame="1"/>
              </w:rPr>
              <w:t>From 01.07.2012</w:t>
            </w:r>
            <w:r>
              <w:rPr>
                <w:rFonts w:ascii="Tahoma" w:hAnsi="Tahoma" w:cs="Tahoma"/>
                <w:color w:val="565E65"/>
                <w:sz w:val="16"/>
                <w:szCs w:val="16"/>
              </w:rPr>
              <w:br/>
              <w:t>More than Rs. 200000/-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10%</w:t>
            </w:r>
          </w:p>
        </w:tc>
      </w:tr>
    </w:tbl>
    <w:p w:rsidR="008B5D50" w:rsidRDefault="008B5D50" w:rsidP="008B5D50">
      <w:pPr>
        <w:pStyle w:val="NormalWeb"/>
        <w:shd w:val="clear" w:color="auto" w:fill="FFFFFF"/>
        <w:spacing w:before="0" w:beforeAutospacing="0" w:after="0" w:afterAutospacing="0" w:line="299" w:lineRule="atLeast"/>
        <w:textAlignment w:val="baseline"/>
        <w:rPr>
          <w:rFonts w:ascii="Tahoma" w:hAnsi="Tahoma" w:cs="Tahoma"/>
          <w:color w:val="565E65"/>
          <w:sz w:val="16"/>
          <w:szCs w:val="16"/>
        </w:rPr>
      </w:pPr>
      <w:r>
        <w:rPr>
          <w:rStyle w:val="Strong"/>
          <w:rFonts w:ascii="Tahoma" w:eastAsiaTheme="majorEastAsia" w:hAnsi="Tahoma" w:cs="Tahoma"/>
          <w:color w:val="565E65"/>
          <w:sz w:val="16"/>
          <w:szCs w:val="16"/>
          <w:bdr w:val="none" w:sz="0" w:space="0" w:color="auto" w:frame="1"/>
        </w:rPr>
        <w:t>Notes:</w:t>
      </w:r>
    </w:p>
    <w:p w:rsidR="008B5D50" w:rsidRDefault="008B5D50" w:rsidP="008B5D50">
      <w:pPr>
        <w:numPr>
          <w:ilvl w:val="0"/>
          <w:numId w:val="1"/>
        </w:numPr>
        <w:spacing w:after="0" w:line="299" w:lineRule="atLeast"/>
        <w:ind w:left="360"/>
        <w:textAlignment w:val="baseline"/>
        <w:rPr>
          <w:rFonts w:ascii="Tahoma" w:hAnsi="Tahoma" w:cs="Tahoma"/>
          <w:color w:val="565E65"/>
          <w:sz w:val="16"/>
          <w:szCs w:val="16"/>
        </w:rPr>
      </w:pPr>
      <w:r>
        <w:rPr>
          <w:rFonts w:ascii="Tahoma" w:hAnsi="Tahoma" w:cs="Tahoma"/>
          <w:color w:val="565E65"/>
          <w:sz w:val="16"/>
          <w:szCs w:val="16"/>
        </w:rPr>
        <w:t xml:space="preserve">No education </w:t>
      </w:r>
      <w:proofErr w:type="spellStart"/>
      <w:r>
        <w:rPr>
          <w:rFonts w:ascii="Tahoma" w:hAnsi="Tahoma" w:cs="Tahoma"/>
          <w:color w:val="565E65"/>
          <w:sz w:val="16"/>
          <w:szCs w:val="16"/>
        </w:rPr>
        <w:t>cess</w:t>
      </w:r>
      <w:proofErr w:type="spellEnd"/>
      <w:r>
        <w:rPr>
          <w:rFonts w:ascii="Tahoma" w:hAnsi="Tahoma" w:cs="Tahoma"/>
          <w:color w:val="565E65"/>
          <w:sz w:val="16"/>
          <w:szCs w:val="16"/>
        </w:rPr>
        <w:t xml:space="preserve"> is deductible / collectible at source on payments made to residents {Individuals / HUF / Society / AOP / Firm / Domestic Company) on payment of incomes other than salary or wages. Education </w:t>
      </w:r>
      <w:proofErr w:type="spellStart"/>
      <w:r>
        <w:rPr>
          <w:rFonts w:ascii="Tahoma" w:hAnsi="Tahoma" w:cs="Tahoma"/>
          <w:color w:val="565E65"/>
          <w:sz w:val="16"/>
          <w:szCs w:val="16"/>
        </w:rPr>
        <w:t>cess</w:t>
      </w:r>
      <w:proofErr w:type="spellEnd"/>
      <w:r>
        <w:rPr>
          <w:rFonts w:ascii="Tahoma" w:hAnsi="Tahoma" w:cs="Tahoma"/>
          <w:color w:val="565E65"/>
          <w:sz w:val="16"/>
          <w:szCs w:val="16"/>
        </w:rPr>
        <w:t xml:space="preserve"> @ 3% is deductible when such payments are made to non residents and foreign companies.</w:t>
      </w:r>
    </w:p>
    <w:p w:rsidR="008B5D50" w:rsidRDefault="008B5D50" w:rsidP="008B5D50">
      <w:pPr>
        <w:numPr>
          <w:ilvl w:val="0"/>
          <w:numId w:val="1"/>
        </w:numPr>
        <w:spacing w:after="0" w:line="299" w:lineRule="atLeast"/>
        <w:ind w:left="360"/>
        <w:textAlignment w:val="baseline"/>
        <w:rPr>
          <w:rFonts w:ascii="Tahoma" w:hAnsi="Tahoma" w:cs="Tahoma"/>
          <w:color w:val="565E65"/>
          <w:sz w:val="16"/>
          <w:szCs w:val="16"/>
        </w:rPr>
      </w:pPr>
      <w:r>
        <w:rPr>
          <w:rFonts w:ascii="Tahoma" w:hAnsi="Tahoma" w:cs="Tahoma"/>
          <w:color w:val="565E65"/>
          <w:sz w:val="16"/>
          <w:szCs w:val="16"/>
        </w:rPr>
        <w:t xml:space="preserve">TDS at higher rate of 20% has to be deducted if the </w:t>
      </w:r>
      <w:proofErr w:type="spellStart"/>
      <w:r>
        <w:rPr>
          <w:rFonts w:ascii="Tahoma" w:hAnsi="Tahoma" w:cs="Tahoma"/>
          <w:color w:val="565E65"/>
          <w:sz w:val="16"/>
          <w:szCs w:val="16"/>
        </w:rPr>
        <w:t>deductee</w:t>
      </w:r>
      <w:proofErr w:type="spellEnd"/>
      <w:r>
        <w:rPr>
          <w:rFonts w:ascii="Tahoma" w:hAnsi="Tahoma" w:cs="Tahoma"/>
          <w:color w:val="565E65"/>
          <w:sz w:val="16"/>
          <w:szCs w:val="16"/>
        </w:rPr>
        <w:t xml:space="preserve"> does not provide PAN to the </w:t>
      </w:r>
      <w:proofErr w:type="spellStart"/>
      <w:r>
        <w:rPr>
          <w:rFonts w:ascii="Tahoma" w:hAnsi="Tahoma" w:cs="Tahoma"/>
          <w:color w:val="565E65"/>
          <w:sz w:val="16"/>
          <w:szCs w:val="16"/>
        </w:rPr>
        <w:t>deductor</w:t>
      </w:r>
      <w:proofErr w:type="spellEnd"/>
      <w:r>
        <w:rPr>
          <w:rFonts w:ascii="Tahoma" w:hAnsi="Tahoma" w:cs="Tahoma"/>
          <w:color w:val="565E65"/>
          <w:sz w:val="16"/>
          <w:szCs w:val="16"/>
        </w:rPr>
        <w:t>.(section 206AA)</w:t>
      </w:r>
    </w:p>
    <w:p w:rsidR="008B5D50" w:rsidRDefault="008B5D50" w:rsidP="008B5D50">
      <w:pPr>
        <w:numPr>
          <w:ilvl w:val="0"/>
          <w:numId w:val="1"/>
        </w:numPr>
        <w:spacing w:after="0" w:line="299" w:lineRule="atLeast"/>
        <w:ind w:left="360"/>
        <w:textAlignment w:val="baseline"/>
        <w:rPr>
          <w:rFonts w:ascii="Tahoma" w:hAnsi="Tahoma" w:cs="Tahoma"/>
          <w:color w:val="565E65"/>
          <w:sz w:val="16"/>
          <w:szCs w:val="16"/>
        </w:rPr>
      </w:pPr>
      <w:r>
        <w:rPr>
          <w:rFonts w:ascii="Tahoma" w:hAnsi="Tahoma" w:cs="Tahoma"/>
          <w:color w:val="565E65"/>
          <w:sz w:val="16"/>
          <w:szCs w:val="16"/>
        </w:rPr>
        <w:t xml:space="preserve">Surcharge is not deductible if payment is made to a </w:t>
      </w:r>
      <w:proofErr w:type="spellStart"/>
      <w:r>
        <w:rPr>
          <w:rFonts w:ascii="Tahoma" w:hAnsi="Tahoma" w:cs="Tahoma"/>
          <w:color w:val="565E65"/>
          <w:sz w:val="16"/>
          <w:szCs w:val="16"/>
        </w:rPr>
        <w:t>dowmwstic</w:t>
      </w:r>
      <w:proofErr w:type="spellEnd"/>
      <w:r>
        <w:rPr>
          <w:rFonts w:ascii="Tahoma" w:hAnsi="Tahoma" w:cs="Tahoma"/>
          <w:color w:val="565E65"/>
          <w:sz w:val="16"/>
          <w:szCs w:val="16"/>
        </w:rPr>
        <w:t xml:space="preserve"> company. However, surcharge is deductible @ 2%, if payment is made to a company other than a domestic company and the total of payment made / to be made during the year exceeds Rs. 1 </w:t>
      </w:r>
      <w:proofErr w:type="spellStart"/>
      <w:r>
        <w:rPr>
          <w:rFonts w:ascii="Tahoma" w:hAnsi="Tahoma" w:cs="Tahoma"/>
          <w:color w:val="565E65"/>
          <w:sz w:val="16"/>
          <w:szCs w:val="16"/>
        </w:rPr>
        <w:t>Crore</w:t>
      </w:r>
      <w:proofErr w:type="spellEnd"/>
      <w:r>
        <w:rPr>
          <w:rFonts w:ascii="Tahoma" w:hAnsi="Tahoma" w:cs="Tahoma"/>
          <w:color w:val="565E65"/>
          <w:sz w:val="16"/>
          <w:szCs w:val="16"/>
        </w:rPr>
        <w:t>.</w:t>
      </w:r>
    </w:p>
    <w:p w:rsidR="008B5D50" w:rsidRDefault="008B5D50" w:rsidP="008B5D50">
      <w:pPr>
        <w:pStyle w:val="NormalWeb"/>
        <w:shd w:val="clear" w:color="auto" w:fill="FFFFFF"/>
        <w:spacing w:before="0" w:beforeAutospacing="0" w:after="326" w:afterAutospacing="0" w:line="299" w:lineRule="atLeast"/>
        <w:textAlignment w:val="baseline"/>
        <w:rPr>
          <w:rFonts w:ascii="Tahoma" w:hAnsi="Tahoma" w:cs="Tahoma"/>
          <w:color w:val="565E65"/>
          <w:sz w:val="16"/>
          <w:szCs w:val="16"/>
        </w:rPr>
      </w:pPr>
      <w:r>
        <w:rPr>
          <w:rFonts w:ascii="Tahoma" w:hAnsi="Tahoma" w:cs="Tahoma"/>
          <w:color w:val="565E65"/>
          <w:sz w:val="16"/>
          <w:szCs w:val="16"/>
        </w:rPr>
        <w:t>All persons who are required to deduct tax at source or collect tax at source on behalf of Income Tax Department are required to apply for and obtain Tax Deduction or Tax Collection Account Number (TAN).</w:t>
      </w:r>
    </w:p>
    <w:p w:rsidR="008B5D50" w:rsidRDefault="008B5D50" w:rsidP="008B5D50">
      <w:pPr>
        <w:pStyle w:val="Heading2"/>
        <w:shd w:val="clear" w:color="auto" w:fill="FFFFFF"/>
        <w:spacing w:before="0" w:after="272" w:line="360" w:lineRule="atLeast"/>
        <w:textAlignment w:val="baseline"/>
        <w:rPr>
          <w:rFonts w:ascii="Arial" w:hAnsi="Arial" w:cs="Arial"/>
          <w:b w:val="0"/>
          <w:bCs w:val="0"/>
          <w:color w:val="000000"/>
          <w:sz w:val="36"/>
          <w:szCs w:val="36"/>
        </w:rPr>
      </w:pPr>
      <w:r>
        <w:rPr>
          <w:rFonts w:ascii="Arial" w:hAnsi="Arial" w:cs="Arial"/>
          <w:b w:val="0"/>
          <w:bCs w:val="0"/>
          <w:color w:val="000000"/>
        </w:rPr>
        <w:t>Issue of TDS Certificate</w:t>
      </w:r>
    </w:p>
    <w:p w:rsidR="008B5D50" w:rsidRDefault="008B5D50" w:rsidP="008B5D50">
      <w:pPr>
        <w:pStyle w:val="NormalWeb"/>
        <w:shd w:val="clear" w:color="auto" w:fill="FFFFFF"/>
        <w:spacing w:before="0" w:beforeAutospacing="0" w:after="0" w:afterAutospacing="0" w:line="299" w:lineRule="atLeast"/>
        <w:textAlignment w:val="baseline"/>
        <w:rPr>
          <w:rFonts w:ascii="Tahoma" w:hAnsi="Tahoma" w:cs="Tahoma"/>
          <w:color w:val="565E65"/>
          <w:sz w:val="16"/>
          <w:szCs w:val="16"/>
        </w:rPr>
      </w:pPr>
      <w:r>
        <w:rPr>
          <w:rStyle w:val="Strong"/>
          <w:rFonts w:ascii="Tahoma" w:eastAsiaTheme="majorEastAsia" w:hAnsi="Tahoma" w:cs="Tahoma"/>
          <w:color w:val="565E65"/>
          <w:sz w:val="16"/>
          <w:szCs w:val="16"/>
          <w:bdr w:val="none" w:sz="0" w:space="0" w:color="auto" w:frame="1"/>
        </w:rPr>
        <w:t>1. Section 192 (TDS on Salary</w:t>
      </w:r>
      <w:proofErr w:type="gramStart"/>
      <w:r>
        <w:rPr>
          <w:rStyle w:val="Strong"/>
          <w:rFonts w:ascii="Tahoma" w:eastAsiaTheme="majorEastAsia" w:hAnsi="Tahoma" w:cs="Tahoma"/>
          <w:color w:val="565E65"/>
          <w:sz w:val="16"/>
          <w:szCs w:val="16"/>
          <w:bdr w:val="none" w:sz="0" w:space="0" w:color="auto" w:frame="1"/>
        </w:rPr>
        <w:t>) :</w:t>
      </w:r>
      <w:proofErr w:type="gramEnd"/>
    </w:p>
    <w:p w:rsidR="008B5D50" w:rsidRDefault="008B5D50" w:rsidP="008B5D50">
      <w:pPr>
        <w:pStyle w:val="NormalWeb"/>
        <w:shd w:val="clear" w:color="auto" w:fill="FFFFFF"/>
        <w:spacing w:before="0" w:beforeAutospacing="0" w:after="0" w:afterAutospacing="0" w:line="299" w:lineRule="atLeast"/>
        <w:textAlignment w:val="baseline"/>
        <w:rPr>
          <w:rFonts w:ascii="Tahoma" w:hAnsi="Tahoma" w:cs="Tahoma"/>
          <w:color w:val="565E65"/>
          <w:sz w:val="16"/>
          <w:szCs w:val="16"/>
        </w:rPr>
      </w:pPr>
      <w:r>
        <w:rPr>
          <w:rFonts w:ascii="Tahoma" w:hAnsi="Tahoma" w:cs="Tahoma"/>
          <w:color w:val="565E65"/>
          <w:sz w:val="16"/>
          <w:szCs w:val="16"/>
        </w:rPr>
        <w:t xml:space="preserve">The certificate on Form No. 16 should be issued by the </w:t>
      </w:r>
      <w:proofErr w:type="spellStart"/>
      <w:r>
        <w:rPr>
          <w:rFonts w:ascii="Tahoma" w:hAnsi="Tahoma" w:cs="Tahoma"/>
          <w:color w:val="565E65"/>
          <w:sz w:val="16"/>
          <w:szCs w:val="16"/>
        </w:rPr>
        <w:t>deductor</w:t>
      </w:r>
      <w:proofErr w:type="spellEnd"/>
      <w:r>
        <w:rPr>
          <w:rFonts w:ascii="Tahoma" w:hAnsi="Tahoma" w:cs="Tahoma"/>
          <w:color w:val="565E65"/>
          <w:sz w:val="16"/>
          <w:szCs w:val="16"/>
        </w:rPr>
        <w:t xml:space="preserve"> by 31st day of May of the financial year immediately following the financial year in which the income was paid and tax deducted. </w:t>
      </w:r>
      <w:r>
        <w:rPr>
          <w:rStyle w:val="Strong"/>
          <w:rFonts w:ascii="Tahoma" w:eastAsiaTheme="majorEastAsia" w:hAnsi="Tahoma" w:cs="Tahoma"/>
          <w:color w:val="565E65"/>
          <w:sz w:val="16"/>
          <w:szCs w:val="16"/>
          <w:bdr w:val="none" w:sz="0" w:space="0" w:color="auto" w:frame="1"/>
        </w:rPr>
        <w:t xml:space="preserve">2. In all other </w:t>
      </w:r>
      <w:proofErr w:type="gramStart"/>
      <w:r>
        <w:rPr>
          <w:rStyle w:val="Strong"/>
          <w:rFonts w:ascii="Tahoma" w:eastAsiaTheme="majorEastAsia" w:hAnsi="Tahoma" w:cs="Tahoma"/>
          <w:color w:val="565E65"/>
          <w:sz w:val="16"/>
          <w:szCs w:val="16"/>
          <w:bdr w:val="none" w:sz="0" w:space="0" w:color="auto" w:frame="1"/>
        </w:rPr>
        <w:t>cases :</w:t>
      </w:r>
      <w:proofErr w:type="gramEnd"/>
    </w:p>
    <w:p w:rsidR="008B5D50" w:rsidRDefault="008B5D50" w:rsidP="008B5D50">
      <w:pPr>
        <w:pStyle w:val="NormalWeb"/>
        <w:shd w:val="clear" w:color="auto" w:fill="FFFFFF"/>
        <w:spacing w:before="0" w:beforeAutospacing="0" w:after="326" w:afterAutospacing="0" w:line="299" w:lineRule="atLeast"/>
        <w:textAlignment w:val="baseline"/>
        <w:rPr>
          <w:rFonts w:ascii="Tahoma" w:hAnsi="Tahoma" w:cs="Tahoma"/>
          <w:color w:val="565E65"/>
          <w:sz w:val="16"/>
          <w:szCs w:val="16"/>
        </w:rPr>
      </w:pPr>
      <w:r>
        <w:rPr>
          <w:rFonts w:ascii="Tahoma" w:hAnsi="Tahoma" w:cs="Tahoma"/>
          <w:color w:val="565E65"/>
          <w:sz w:val="16"/>
          <w:szCs w:val="16"/>
        </w:rPr>
        <w:t>The certificate on Form No. 16A should be issued within fifteen days from the due date for furnishing the “statement of TDS” under rule 31A.</w:t>
      </w:r>
    </w:p>
    <w:p w:rsidR="008B5D50" w:rsidRDefault="008B5D50" w:rsidP="008B5D50">
      <w:pPr>
        <w:pStyle w:val="NormalWeb"/>
        <w:shd w:val="clear" w:color="auto" w:fill="FFFFFF"/>
        <w:spacing w:before="0" w:beforeAutospacing="0" w:after="326" w:afterAutospacing="0" w:line="299" w:lineRule="atLeast"/>
        <w:textAlignment w:val="baseline"/>
        <w:rPr>
          <w:rFonts w:ascii="Tahoma" w:hAnsi="Tahoma" w:cs="Tahoma"/>
          <w:color w:val="565E65"/>
          <w:sz w:val="16"/>
          <w:szCs w:val="16"/>
        </w:rPr>
      </w:pPr>
      <w:r>
        <w:rPr>
          <w:rFonts w:ascii="Tahoma" w:hAnsi="Tahoma" w:cs="Tahoma"/>
          <w:color w:val="565E65"/>
          <w:sz w:val="16"/>
          <w:szCs w:val="16"/>
        </w:rPr>
        <w:lastRenderedPageBreak/>
        <w:t>Forms for submitting Quarterly Statements of Tax Deducted at Source (Rule 31A)</w:t>
      </w:r>
    </w:p>
    <w:p w:rsidR="008B5D50" w:rsidRDefault="008B5D50" w:rsidP="008B5D50">
      <w:pPr>
        <w:pStyle w:val="NormalWeb"/>
        <w:shd w:val="clear" w:color="auto" w:fill="FFFFFF"/>
        <w:spacing w:before="0" w:beforeAutospacing="0" w:after="326" w:afterAutospacing="0" w:line="299" w:lineRule="atLeast"/>
        <w:textAlignment w:val="baseline"/>
        <w:rPr>
          <w:rFonts w:ascii="Tahoma" w:hAnsi="Tahoma" w:cs="Tahoma"/>
          <w:color w:val="565E65"/>
          <w:sz w:val="16"/>
          <w:szCs w:val="16"/>
        </w:rPr>
      </w:pPr>
      <w:r>
        <w:rPr>
          <w:rFonts w:ascii="Tahoma" w:hAnsi="Tahoma" w:cs="Tahoma"/>
          <w:color w:val="565E65"/>
          <w:sz w:val="16"/>
          <w:szCs w:val="16"/>
        </w:rPr>
        <w:t>(a) Statement of deduction of tax under section 192 in Form No. 24Q</w:t>
      </w:r>
    </w:p>
    <w:p w:rsidR="008B5D50" w:rsidRDefault="008B5D50" w:rsidP="008B5D50">
      <w:pPr>
        <w:pStyle w:val="NormalWeb"/>
        <w:shd w:val="clear" w:color="auto" w:fill="FFFFFF"/>
        <w:spacing w:before="0" w:beforeAutospacing="0" w:after="326" w:afterAutospacing="0" w:line="299" w:lineRule="atLeast"/>
        <w:textAlignment w:val="baseline"/>
        <w:rPr>
          <w:rFonts w:ascii="Tahoma" w:hAnsi="Tahoma" w:cs="Tahoma"/>
          <w:color w:val="565E65"/>
          <w:sz w:val="16"/>
          <w:szCs w:val="16"/>
        </w:rPr>
      </w:pPr>
      <w:r>
        <w:rPr>
          <w:rFonts w:ascii="Tahoma" w:hAnsi="Tahoma" w:cs="Tahoma"/>
          <w:color w:val="565E65"/>
          <w:sz w:val="16"/>
          <w:szCs w:val="16"/>
        </w:rPr>
        <w:t xml:space="preserve">(b) Statement of deduction of tax under sections 193 to 196D </w:t>
      </w:r>
      <w:proofErr w:type="gramStart"/>
      <w:r>
        <w:rPr>
          <w:rFonts w:ascii="Tahoma" w:hAnsi="Tahoma" w:cs="Tahoma"/>
          <w:color w:val="565E65"/>
          <w:sz w:val="16"/>
          <w:szCs w:val="16"/>
        </w:rPr>
        <w:t>in :</w:t>
      </w:r>
      <w:proofErr w:type="gramEnd"/>
    </w:p>
    <w:p w:rsidR="008B5D50" w:rsidRDefault="008B5D50" w:rsidP="008B5D50">
      <w:pPr>
        <w:numPr>
          <w:ilvl w:val="0"/>
          <w:numId w:val="2"/>
        </w:numPr>
        <w:spacing w:after="0" w:line="299" w:lineRule="atLeast"/>
        <w:ind w:left="360"/>
        <w:textAlignment w:val="baseline"/>
        <w:rPr>
          <w:rFonts w:ascii="Tahoma" w:hAnsi="Tahoma" w:cs="Tahoma"/>
          <w:color w:val="565E65"/>
          <w:sz w:val="16"/>
          <w:szCs w:val="16"/>
        </w:rPr>
      </w:pPr>
      <w:r>
        <w:rPr>
          <w:rFonts w:ascii="Tahoma" w:hAnsi="Tahoma" w:cs="Tahoma"/>
          <w:color w:val="565E65"/>
          <w:sz w:val="16"/>
          <w:szCs w:val="16"/>
        </w:rPr>
        <w:t xml:space="preserve">Form No. 27Q in respect of the </w:t>
      </w:r>
      <w:proofErr w:type="spellStart"/>
      <w:r>
        <w:rPr>
          <w:rFonts w:ascii="Tahoma" w:hAnsi="Tahoma" w:cs="Tahoma"/>
          <w:color w:val="565E65"/>
          <w:sz w:val="16"/>
          <w:szCs w:val="16"/>
        </w:rPr>
        <w:t>deductee</w:t>
      </w:r>
      <w:proofErr w:type="spellEnd"/>
      <w:r>
        <w:rPr>
          <w:rFonts w:ascii="Tahoma" w:hAnsi="Tahoma" w:cs="Tahoma"/>
          <w:color w:val="565E65"/>
          <w:sz w:val="16"/>
          <w:szCs w:val="16"/>
        </w:rPr>
        <w:t xml:space="preserve"> who is a non-resident not being a company or a foreign company or resident but not ordinarily resident; and</w:t>
      </w:r>
    </w:p>
    <w:p w:rsidR="008B5D50" w:rsidRDefault="008B5D50" w:rsidP="008B5D50">
      <w:pPr>
        <w:numPr>
          <w:ilvl w:val="0"/>
          <w:numId w:val="2"/>
        </w:numPr>
        <w:spacing w:after="0" w:line="299" w:lineRule="atLeast"/>
        <w:ind w:left="360"/>
        <w:textAlignment w:val="baseline"/>
        <w:rPr>
          <w:rFonts w:ascii="Tahoma" w:hAnsi="Tahoma" w:cs="Tahoma"/>
          <w:color w:val="565E65"/>
          <w:sz w:val="16"/>
          <w:szCs w:val="16"/>
        </w:rPr>
      </w:pPr>
      <w:r>
        <w:rPr>
          <w:rFonts w:ascii="Tahoma" w:hAnsi="Tahoma" w:cs="Tahoma"/>
          <w:color w:val="565E65"/>
          <w:sz w:val="16"/>
          <w:szCs w:val="16"/>
        </w:rPr>
        <w:t xml:space="preserve">Form No. 26Q in respect of all other </w:t>
      </w:r>
      <w:proofErr w:type="spellStart"/>
      <w:r>
        <w:rPr>
          <w:rFonts w:ascii="Tahoma" w:hAnsi="Tahoma" w:cs="Tahoma"/>
          <w:color w:val="565E65"/>
          <w:sz w:val="16"/>
          <w:szCs w:val="16"/>
        </w:rPr>
        <w:t>deductees</w:t>
      </w:r>
      <w:proofErr w:type="spellEnd"/>
      <w:r>
        <w:rPr>
          <w:rFonts w:ascii="Tahoma" w:hAnsi="Tahoma" w:cs="Tahoma"/>
          <w:color w:val="565E65"/>
          <w:sz w:val="16"/>
          <w:szCs w:val="16"/>
        </w:rPr>
        <w:t>.</w:t>
      </w:r>
    </w:p>
    <w:p w:rsidR="008B5D50" w:rsidRDefault="008B5D50" w:rsidP="008B5D50">
      <w:pPr>
        <w:pStyle w:val="NormalWeb"/>
        <w:shd w:val="clear" w:color="auto" w:fill="FFFFFF"/>
        <w:spacing w:before="0" w:beforeAutospacing="0" w:after="0" w:afterAutospacing="0" w:line="299" w:lineRule="atLeast"/>
        <w:textAlignment w:val="baseline"/>
        <w:rPr>
          <w:rFonts w:ascii="Tahoma" w:hAnsi="Tahoma" w:cs="Tahoma"/>
          <w:color w:val="565E65"/>
          <w:sz w:val="16"/>
          <w:szCs w:val="16"/>
        </w:rPr>
      </w:pPr>
      <w:r>
        <w:rPr>
          <w:rStyle w:val="Strong"/>
          <w:rFonts w:ascii="Tahoma" w:eastAsiaTheme="majorEastAsia" w:hAnsi="Tahoma" w:cs="Tahoma"/>
          <w:color w:val="565E65"/>
          <w:sz w:val="16"/>
          <w:szCs w:val="16"/>
          <w:bdr w:val="none" w:sz="0" w:space="0" w:color="auto" w:frame="1"/>
        </w:rPr>
        <w:t>Due Dates for submitting Quarterly Statements of Tax Deducted at Source (Rule 31A)</w:t>
      </w:r>
    </w:p>
    <w:tbl>
      <w:tblPr>
        <w:tblW w:w="8409" w:type="dxa"/>
        <w:tblBorders>
          <w:top w:val="single" w:sz="6" w:space="0" w:color="E7E7E7"/>
          <w:left w:val="single" w:sz="6" w:space="0" w:color="E7E7E7"/>
          <w:bottom w:val="single" w:sz="6" w:space="0" w:color="E7E7E7"/>
          <w:right w:val="single" w:sz="6" w:space="0" w:color="E7E7E7"/>
        </w:tblBorders>
        <w:shd w:val="clear" w:color="auto" w:fill="FFFFFF"/>
        <w:tblCellMar>
          <w:left w:w="0" w:type="dxa"/>
          <w:right w:w="0" w:type="dxa"/>
        </w:tblCellMar>
        <w:tblLook w:val="04A0"/>
      </w:tblPr>
      <w:tblGrid>
        <w:gridCol w:w="2183"/>
        <w:gridCol w:w="3140"/>
        <w:gridCol w:w="3086"/>
      </w:tblGrid>
      <w:tr w:rsidR="008B5D50" w:rsidTr="008B5D50">
        <w:tc>
          <w:tcPr>
            <w:tcW w:w="0" w:type="auto"/>
            <w:tcBorders>
              <w:top w:val="nil"/>
              <w:left w:val="nil"/>
              <w:bottom w:val="nil"/>
              <w:right w:val="nil"/>
            </w:tcBorders>
            <w:shd w:val="clear" w:color="auto" w:fill="auto"/>
            <w:tcMar>
              <w:top w:w="122" w:type="dxa"/>
              <w:left w:w="326" w:type="dxa"/>
              <w:bottom w:w="122" w:type="dxa"/>
              <w:right w:w="326" w:type="dxa"/>
            </w:tcMar>
            <w:vAlign w:val="bottom"/>
            <w:hideMark/>
          </w:tcPr>
          <w:p w:rsidR="008B5D50" w:rsidRDefault="008B5D50">
            <w:pPr>
              <w:spacing w:line="245" w:lineRule="atLeast"/>
              <w:jc w:val="center"/>
              <w:rPr>
                <w:rFonts w:ascii="Arial" w:hAnsi="Arial" w:cs="Arial"/>
                <w:b/>
                <w:bCs/>
                <w:color w:val="888888"/>
                <w:sz w:val="16"/>
                <w:szCs w:val="16"/>
              </w:rPr>
            </w:pPr>
            <w:r>
              <w:rPr>
                <w:rFonts w:ascii="Arial" w:hAnsi="Arial" w:cs="Arial"/>
                <w:b/>
                <w:bCs/>
                <w:color w:val="888888"/>
                <w:sz w:val="16"/>
                <w:szCs w:val="16"/>
              </w:rPr>
              <w:t>Date of ending of the quarter of the financial year</w:t>
            </w:r>
          </w:p>
        </w:tc>
        <w:tc>
          <w:tcPr>
            <w:tcW w:w="0" w:type="auto"/>
            <w:tcBorders>
              <w:top w:val="nil"/>
              <w:left w:val="nil"/>
              <w:bottom w:val="nil"/>
              <w:right w:val="nil"/>
            </w:tcBorders>
            <w:shd w:val="clear" w:color="auto" w:fill="auto"/>
            <w:tcMar>
              <w:top w:w="122" w:type="dxa"/>
              <w:left w:w="326" w:type="dxa"/>
              <w:bottom w:w="122" w:type="dxa"/>
              <w:right w:w="326" w:type="dxa"/>
            </w:tcMar>
            <w:vAlign w:val="bottom"/>
            <w:hideMark/>
          </w:tcPr>
          <w:p w:rsidR="008B5D50" w:rsidRDefault="008B5D50">
            <w:pPr>
              <w:spacing w:line="245" w:lineRule="atLeast"/>
              <w:jc w:val="center"/>
              <w:rPr>
                <w:rFonts w:ascii="Arial" w:hAnsi="Arial" w:cs="Arial"/>
                <w:b/>
                <w:bCs/>
                <w:color w:val="888888"/>
                <w:sz w:val="16"/>
                <w:szCs w:val="16"/>
              </w:rPr>
            </w:pPr>
            <w:r>
              <w:rPr>
                <w:rFonts w:ascii="Arial" w:hAnsi="Arial" w:cs="Arial"/>
                <w:b/>
                <w:bCs/>
                <w:color w:val="888888"/>
                <w:sz w:val="16"/>
                <w:szCs w:val="16"/>
              </w:rPr>
              <w:t xml:space="preserve">Due </w:t>
            </w:r>
            <w:proofErr w:type="spellStart"/>
            <w:r>
              <w:rPr>
                <w:rFonts w:ascii="Arial" w:hAnsi="Arial" w:cs="Arial"/>
                <w:b/>
                <w:bCs/>
                <w:color w:val="888888"/>
                <w:sz w:val="16"/>
                <w:szCs w:val="16"/>
              </w:rPr>
              <w:t>date,if</w:t>
            </w:r>
            <w:proofErr w:type="spellEnd"/>
            <w:r>
              <w:rPr>
                <w:rFonts w:ascii="Arial" w:hAnsi="Arial" w:cs="Arial"/>
                <w:b/>
                <w:bCs/>
                <w:color w:val="888888"/>
                <w:sz w:val="16"/>
                <w:szCs w:val="16"/>
              </w:rPr>
              <w:t xml:space="preserve"> </w:t>
            </w:r>
            <w:proofErr w:type="spellStart"/>
            <w:r>
              <w:rPr>
                <w:rFonts w:ascii="Arial" w:hAnsi="Arial" w:cs="Arial"/>
                <w:b/>
                <w:bCs/>
                <w:color w:val="888888"/>
                <w:sz w:val="16"/>
                <w:szCs w:val="16"/>
              </w:rPr>
              <w:t>deductor</w:t>
            </w:r>
            <w:proofErr w:type="spellEnd"/>
            <w:r>
              <w:rPr>
                <w:rFonts w:ascii="Arial" w:hAnsi="Arial" w:cs="Arial"/>
                <w:b/>
                <w:bCs/>
                <w:color w:val="888888"/>
                <w:sz w:val="16"/>
                <w:szCs w:val="16"/>
              </w:rPr>
              <w:t xml:space="preserve"> is an office of the Government</w:t>
            </w:r>
          </w:p>
        </w:tc>
        <w:tc>
          <w:tcPr>
            <w:tcW w:w="0" w:type="auto"/>
            <w:tcBorders>
              <w:top w:val="nil"/>
              <w:left w:val="nil"/>
              <w:bottom w:val="nil"/>
              <w:right w:val="nil"/>
            </w:tcBorders>
            <w:shd w:val="clear" w:color="auto" w:fill="auto"/>
            <w:tcMar>
              <w:top w:w="122" w:type="dxa"/>
              <w:left w:w="326" w:type="dxa"/>
              <w:bottom w:w="122" w:type="dxa"/>
              <w:right w:w="326" w:type="dxa"/>
            </w:tcMar>
            <w:vAlign w:val="bottom"/>
            <w:hideMark/>
          </w:tcPr>
          <w:p w:rsidR="008B5D50" w:rsidRDefault="008B5D50">
            <w:pPr>
              <w:spacing w:line="245" w:lineRule="atLeast"/>
              <w:jc w:val="center"/>
              <w:rPr>
                <w:rFonts w:ascii="Arial" w:hAnsi="Arial" w:cs="Arial"/>
                <w:b/>
                <w:bCs/>
                <w:color w:val="888888"/>
                <w:sz w:val="16"/>
                <w:szCs w:val="16"/>
              </w:rPr>
            </w:pPr>
            <w:r>
              <w:rPr>
                <w:rFonts w:ascii="Arial" w:hAnsi="Arial" w:cs="Arial"/>
                <w:b/>
                <w:bCs/>
                <w:color w:val="888888"/>
                <w:sz w:val="16"/>
                <w:szCs w:val="16"/>
              </w:rPr>
              <w:t>Due Date for others</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30th June</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31st July of the financial year</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15th July of the financial year</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30th September</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31st October of the financial year</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15th October of the financial year</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31st December</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31st January of the financial year</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15th January of the financial year</w:t>
            </w:r>
          </w:p>
        </w:tc>
      </w:tr>
      <w:tr w:rsidR="008B5D50" w:rsidTr="008B5D5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31st March</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15th May of the financial year immediately following the financial year in which deduction is made</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8B5D50" w:rsidRDefault="008B5D50">
            <w:pPr>
              <w:spacing w:line="299" w:lineRule="atLeast"/>
              <w:rPr>
                <w:rFonts w:ascii="Tahoma" w:hAnsi="Tahoma" w:cs="Tahoma"/>
                <w:color w:val="565E65"/>
                <w:sz w:val="16"/>
                <w:szCs w:val="16"/>
              </w:rPr>
            </w:pPr>
            <w:r>
              <w:rPr>
                <w:rFonts w:ascii="Tahoma" w:hAnsi="Tahoma" w:cs="Tahoma"/>
                <w:color w:val="565E65"/>
                <w:sz w:val="16"/>
                <w:szCs w:val="16"/>
              </w:rPr>
              <w:t>15th May of the financial year immediately following the financial year in which deduction is made.</w:t>
            </w:r>
          </w:p>
        </w:tc>
      </w:tr>
    </w:tbl>
    <w:p w:rsidR="008B5D50" w:rsidRDefault="008B5D50" w:rsidP="008B5D50">
      <w:pPr>
        <w:pStyle w:val="NormalWeb"/>
        <w:shd w:val="clear" w:color="auto" w:fill="FFFFFF"/>
        <w:spacing w:before="0" w:beforeAutospacing="0" w:after="326" w:afterAutospacing="0" w:line="299" w:lineRule="atLeast"/>
        <w:textAlignment w:val="baseline"/>
        <w:rPr>
          <w:rFonts w:ascii="Tahoma" w:hAnsi="Tahoma" w:cs="Tahoma"/>
          <w:color w:val="565E65"/>
          <w:sz w:val="16"/>
          <w:szCs w:val="16"/>
        </w:rPr>
      </w:pPr>
      <w:r>
        <w:rPr>
          <w:rFonts w:ascii="Tahoma" w:hAnsi="Tahoma" w:cs="Tahoma"/>
          <w:color w:val="565E65"/>
          <w:sz w:val="16"/>
          <w:szCs w:val="16"/>
        </w:rPr>
        <w:t> </w:t>
      </w:r>
    </w:p>
    <w:p w:rsidR="008B5D50" w:rsidRDefault="008B5D50"/>
    <w:sectPr w:rsidR="008B5D50" w:rsidSect="008E02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11092"/>
    <w:multiLevelType w:val="multilevel"/>
    <w:tmpl w:val="CAC8C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561A84"/>
    <w:multiLevelType w:val="multilevel"/>
    <w:tmpl w:val="E0F0F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B5D50"/>
    <w:rsid w:val="008B5D50"/>
    <w:rsid w:val="008E02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2F2"/>
  </w:style>
  <w:style w:type="paragraph" w:styleId="Heading1">
    <w:name w:val="heading 1"/>
    <w:basedOn w:val="Normal"/>
    <w:link w:val="Heading1Char"/>
    <w:uiPriority w:val="9"/>
    <w:qFormat/>
    <w:rsid w:val="008B5D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8B5D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D5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8B5D50"/>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8B5D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5D50"/>
    <w:rPr>
      <w:b/>
      <w:bCs/>
    </w:rPr>
  </w:style>
</w:styles>
</file>

<file path=word/webSettings.xml><?xml version="1.0" encoding="utf-8"?>
<w:webSettings xmlns:r="http://schemas.openxmlformats.org/officeDocument/2006/relationships" xmlns:w="http://schemas.openxmlformats.org/wordprocessingml/2006/main">
  <w:divs>
    <w:div w:id="681587042">
      <w:bodyDiv w:val="1"/>
      <w:marLeft w:val="0"/>
      <w:marRight w:val="0"/>
      <w:marTop w:val="0"/>
      <w:marBottom w:val="0"/>
      <w:divBdr>
        <w:top w:val="none" w:sz="0" w:space="0" w:color="auto"/>
        <w:left w:val="none" w:sz="0" w:space="0" w:color="auto"/>
        <w:bottom w:val="none" w:sz="0" w:space="0" w:color="auto"/>
        <w:right w:val="none" w:sz="0" w:space="0" w:color="auto"/>
      </w:divBdr>
    </w:div>
    <w:div w:id="129593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716</Words>
  <Characters>4083</Characters>
  <Application>Microsoft Office Word</Application>
  <DocSecurity>0</DocSecurity>
  <Lines>34</Lines>
  <Paragraphs>9</Paragraphs>
  <ScaleCrop>false</ScaleCrop>
  <Company/>
  <LinksUpToDate>false</LinksUpToDate>
  <CharactersWithSpaces>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technocrat</dc:creator>
  <cp:lastModifiedBy>technocrat</cp:lastModifiedBy>
  <cp:revision>1</cp:revision>
  <dcterms:created xsi:type="dcterms:W3CDTF">2012-12-20T02:11:00Z</dcterms:created>
  <dcterms:modified xsi:type="dcterms:W3CDTF">2012-12-20T02:12:00Z</dcterms:modified>
</cp:coreProperties>
</file>