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5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318"/>
        <w:gridCol w:w="2315"/>
        <w:gridCol w:w="1217"/>
        <w:gridCol w:w="1217"/>
        <w:gridCol w:w="1420"/>
        <w:gridCol w:w="1228"/>
      </w:tblGrid>
      <w:tr w:rsidR="00C02063" w:rsidRPr="00C02063" w:rsidTr="00C02063">
        <w:trPr>
          <w:trHeight w:val="3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Sl. No.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Section Of Act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Nature of Payment in brief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Cut Off Amount</w:t>
            </w:r>
          </w:p>
        </w:tc>
        <w:tc>
          <w:tcPr>
            <w:tcW w:w="1995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Rate %</w:t>
            </w:r>
          </w:p>
        </w:tc>
      </w:tr>
      <w:tr w:rsidR="00C02063" w:rsidRPr="00C02063" w:rsidTr="00C0206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2063" w:rsidRPr="00C02063" w:rsidRDefault="00C02063" w:rsidP="00C02063">
            <w:pPr>
              <w:spacing w:after="0" w:line="240" w:lineRule="auto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2063" w:rsidRPr="00C02063" w:rsidRDefault="00C02063" w:rsidP="00C02063">
            <w:pPr>
              <w:spacing w:after="0" w:line="240" w:lineRule="auto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63" w:rsidRPr="00C02063" w:rsidRDefault="00C02063" w:rsidP="00C02063">
            <w:pPr>
              <w:spacing w:after="0" w:line="240" w:lineRule="auto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01.04.2012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01.07.2012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HUF/IND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Others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Salaries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Salary income must be more then exemption limit after deductions.</w:t>
            </w:r>
          </w:p>
        </w:tc>
        <w:tc>
          <w:tcPr>
            <w:tcW w:w="19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Average Rate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Interest on debentures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5000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Deemed dividend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Interest other than Int. on securities (by Bank)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Interest other than Int. on securities (By others)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5000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5000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194B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Lottery / Cross Word Puzzle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194BB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Winnings from Horse Race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5000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5000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194C(1)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Contracts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194C(2)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Sub-contracts/ Advertisements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194D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Insurance Commission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194EE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Payments out of deposits under NSS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-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194F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Repurchase of units by MF/UTI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20</w:t>
            </w:r>
          </w:p>
        </w:tc>
      </w:tr>
      <w:tr w:rsidR="00C02063" w:rsidRPr="00C02063" w:rsidTr="00C02063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194G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Commission on sale of lottery tickets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Commission or Brokerage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5000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5000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300"/>
        </w:trPr>
        <w:tc>
          <w:tcPr>
            <w:tcW w:w="7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hyperlink r:id="rId6" w:tgtFrame="_blank" w:history="1">
              <w:r w:rsidRPr="00C02063">
                <w:rPr>
                  <w:rFonts w:ascii="Century" w:eastAsia="Times New Roman" w:hAnsi="Century" w:cs="Times New Roman"/>
                  <w:color w:val="23761A"/>
                  <w:sz w:val="20"/>
                  <w:szCs w:val="20"/>
                </w:rPr>
                <w:t>194I</w:t>
              </w:r>
            </w:hyperlink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Rent (Land &amp; building)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180000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180000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63" w:rsidRPr="00C02063" w:rsidRDefault="00C02063" w:rsidP="00C02063">
            <w:pPr>
              <w:spacing w:after="0" w:line="240" w:lineRule="auto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63" w:rsidRPr="00C02063" w:rsidRDefault="00C02063" w:rsidP="00C02063">
            <w:pPr>
              <w:spacing w:after="0" w:line="240" w:lineRule="auto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Rent (P &amp; M , Equipment, furniture &amp; fittings)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180000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180000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</w:t>
            </w:r>
          </w:p>
        </w:tc>
      </w:tr>
      <w:tr w:rsidR="00C02063" w:rsidRPr="00C02063" w:rsidTr="00C02063">
        <w:trPr>
          <w:trHeight w:val="765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hyperlink r:id="rId7" w:tgtFrame="_blank" w:history="1">
              <w:r w:rsidRPr="00C02063">
                <w:rPr>
                  <w:rFonts w:ascii="Century" w:eastAsia="Times New Roman" w:hAnsi="Century" w:cs="Times New Roman"/>
                  <w:color w:val="23761A"/>
                  <w:sz w:val="20"/>
                  <w:szCs w:val="20"/>
                </w:rPr>
                <w:t>194J</w:t>
              </w:r>
            </w:hyperlink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Professional/Technical charges/Royalty &amp; Non-compete fees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30000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102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194J(1)(</w:t>
            </w:r>
            <w:proofErr w:type="spellStart"/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ba</w:t>
            </w:r>
            <w:proofErr w:type="spellEnd"/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)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Any remuneration or commission paid to director of the company</w:t>
            </w: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(Effective from 1 July 2012)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NA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NIL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194LA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Compensation on acquisition of immovable property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200000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10</w:t>
            </w:r>
          </w:p>
        </w:tc>
      </w:tr>
      <w:tr w:rsidR="00C02063" w:rsidRPr="00C02063" w:rsidTr="00C02063">
        <w:trPr>
          <w:trHeight w:val="2275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194LLA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Payment on transfer of certain immovable property other than agricultural land</w:t>
            </w: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 </w:t>
            </w:r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(</w:t>
            </w:r>
            <w:hyperlink r:id="rId8" w:tgtFrame="_blank" w:history="1">
              <w:r w:rsidRPr="00C02063">
                <w:rPr>
                  <w:rFonts w:ascii="Century" w:eastAsia="Times New Roman" w:hAnsi="Century" w:cs="Times New Roman"/>
                  <w:b/>
                  <w:bCs/>
                  <w:color w:val="23761A"/>
                  <w:sz w:val="20"/>
                  <w:szCs w:val="20"/>
                </w:rPr>
                <w:t xml:space="preserve">Finance Minister has </w:t>
              </w:r>
              <w:proofErr w:type="spellStart"/>
              <w:r w:rsidRPr="00C02063">
                <w:rPr>
                  <w:rFonts w:ascii="Century" w:eastAsia="Times New Roman" w:hAnsi="Century" w:cs="Times New Roman"/>
                  <w:b/>
                  <w:bCs/>
                  <w:color w:val="23761A"/>
                  <w:sz w:val="20"/>
                  <w:szCs w:val="20"/>
                </w:rPr>
                <w:t>withdraw</w:t>
              </w:r>
              <w:proofErr w:type="spellEnd"/>
              <w:r w:rsidRPr="00C02063">
                <w:rPr>
                  <w:rFonts w:ascii="Century" w:eastAsia="Times New Roman" w:hAnsi="Century" w:cs="Times New Roman"/>
                  <w:b/>
                  <w:bCs/>
                  <w:color w:val="23761A"/>
                  <w:sz w:val="20"/>
                  <w:szCs w:val="20"/>
                </w:rPr>
                <w:t xml:space="preserve"> TDS on such transaction on 07/05/2012</w:t>
              </w:r>
            </w:hyperlink>
            <w:r w:rsidRPr="00C02063">
              <w:rPr>
                <w:rFonts w:ascii="Century" w:eastAsia="Times New Roman" w:hAnsi="Century" w:cs="Times New Roman"/>
                <w:b/>
                <w:bCs/>
                <w:color w:val="3E3E3E"/>
                <w:sz w:val="20"/>
                <w:szCs w:val="20"/>
              </w:rPr>
              <w:t>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 (a) INR 50 lakhs in case such property is situated in a specified urban agglomeration; or(b) INR 20 lakhs in case such property is situated in any other area)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hyperlink r:id="rId9" w:tgtFrame="_blank" w:history="1">
              <w:r w:rsidRPr="00C02063">
                <w:rPr>
                  <w:rFonts w:ascii="Century" w:eastAsia="Times New Roman" w:hAnsi="Century" w:cs="Times New Roman"/>
                  <w:color w:val="23761A"/>
                  <w:sz w:val="20"/>
                  <w:szCs w:val="20"/>
                </w:rPr>
                <w:t xml:space="preserve">withdrawn by Finance Minister on 07/05/2012 </w:t>
              </w:r>
            </w:hyperlink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 xml:space="preserve">no </w:t>
            </w:r>
            <w:proofErr w:type="spellStart"/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>tds</w:t>
            </w:r>
            <w:proofErr w:type="spellEnd"/>
            <w:r w:rsidRPr="00C02063">
              <w:rPr>
                <w:rFonts w:ascii="Century" w:eastAsia="Times New Roman" w:hAnsi="Century" w:cs="Times New Roman"/>
                <w:color w:val="3E3E3E"/>
                <w:sz w:val="20"/>
                <w:szCs w:val="20"/>
              </w:rPr>
              <w:t xml:space="preserve"> on such transactions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63" w:rsidRPr="00C02063" w:rsidRDefault="00C02063" w:rsidP="00C02063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</w:pPr>
            <w:hyperlink r:id="rId10" w:tgtFrame="_blank" w:history="1">
              <w:r w:rsidRPr="00C02063">
                <w:rPr>
                  <w:rFonts w:ascii="Century" w:eastAsia="Times New Roman" w:hAnsi="Century" w:cs="Times New Roman"/>
                  <w:color w:val="23761A"/>
                  <w:sz w:val="20"/>
                  <w:szCs w:val="20"/>
                </w:rPr>
                <w:t xml:space="preserve">withdrawn by Finance Minister no </w:t>
              </w:r>
              <w:proofErr w:type="spellStart"/>
              <w:r w:rsidRPr="00C02063">
                <w:rPr>
                  <w:rFonts w:ascii="Century" w:eastAsia="Times New Roman" w:hAnsi="Century" w:cs="Times New Roman"/>
                  <w:color w:val="23761A"/>
                  <w:sz w:val="20"/>
                  <w:szCs w:val="20"/>
                </w:rPr>
                <w:t>no</w:t>
              </w:r>
              <w:proofErr w:type="spellEnd"/>
              <w:r w:rsidRPr="00C02063">
                <w:rPr>
                  <w:rFonts w:ascii="Century" w:eastAsia="Times New Roman" w:hAnsi="Century" w:cs="Times New Roman"/>
                  <w:color w:val="23761A"/>
                  <w:sz w:val="20"/>
                  <w:szCs w:val="20"/>
                </w:rPr>
                <w:t xml:space="preserve"> </w:t>
              </w:r>
              <w:proofErr w:type="spellStart"/>
              <w:r w:rsidRPr="00C02063">
                <w:rPr>
                  <w:rFonts w:ascii="Century" w:eastAsia="Times New Roman" w:hAnsi="Century" w:cs="Times New Roman"/>
                  <w:color w:val="23761A"/>
                  <w:sz w:val="20"/>
                  <w:szCs w:val="20"/>
                </w:rPr>
                <w:t>tds</w:t>
              </w:r>
              <w:proofErr w:type="spellEnd"/>
              <w:r w:rsidRPr="00C02063">
                <w:rPr>
                  <w:rFonts w:ascii="Century" w:eastAsia="Times New Roman" w:hAnsi="Century" w:cs="Times New Roman"/>
                  <w:color w:val="23761A"/>
                  <w:sz w:val="20"/>
                  <w:szCs w:val="20"/>
                </w:rPr>
                <w:t xml:space="preserve"> on transfer of immovable property</w:t>
              </w:r>
            </w:hyperlink>
            <w:r w:rsidRPr="00C02063">
              <w:rPr>
                <w:rFonts w:ascii="Helvetica" w:eastAsia="Times New Roman" w:hAnsi="Helvetica" w:cs="Times New Roman"/>
                <w:color w:val="3E3E3E"/>
                <w:sz w:val="17"/>
                <w:szCs w:val="17"/>
              </w:rPr>
              <w:t> </w:t>
            </w:r>
          </w:p>
        </w:tc>
      </w:tr>
    </w:tbl>
    <w:p w:rsidR="00C02063" w:rsidRPr="00C02063" w:rsidRDefault="00C02063" w:rsidP="00C0206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</w:rPr>
      </w:pPr>
    </w:p>
    <w:p w:rsidR="00C02063" w:rsidRDefault="00C02063" w:rsidP="00C0206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000000"/>
          <w:sz w:val="17"/>
          <w:szCs w:val="17"/>
        </w:rPr>
      </w:pPr>
    </w:p>
    <w:p w:rsidR="00C02063" w:rsidRDefault="00C02063" w:rsidP="00C0206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000000"/>
          <w:sz w:val="17"/>
          <w:szCs w:val="17"/>
        </w:rPr>
      </w:pPr>
    </w:p>
    <w:p w:rsidR="00C02063" w:rsidRDefault="00C02063" w:rsidP="00C0206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000000"/>
          <w:sz w:val="17"/>
          <w:szCs w:val="17"/>
        </w:rPr>
      </w:pPr>
      <w:bookmarkStart w:id="0" w:name="_GoBack"/>
      <w:bookmarkEnd w:id="0"/>
    </w:p>
    <w:p w:rsidR="00C02063" w:rsidRDefault="00C02063" w:rsidP="00C0206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000000"/>
          <w:sz w:val="17"/>
          <w:szCs w:val="17"/>
        </w:rPr>
      </w:pPr>
    </w:p>
    <w:p w:rsidR="00C02063" w:rsidRDefault="00C02063" w:rsidP="00C0206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000000"/>
          <w:sz w:val="17"/>
          <w:szCs w:val="17"/>
        </w:rPr>
      </w:pPr>
    </w:p>
    <w:p w:rsidR="00C02063" w:rsidRPr="00C02063" w:rsidRDefault="00C02063" w:rsidP="00C0206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17"/>
          <w:szCs w:val="17"/>
        </w:rPr>
      </w:pPr>
      <w:r w:rsidRPr="00C02063">
        <w:rPr>
          <w:rFonts w:ascii="Helvetica" w:eastAsia="Times New Roman" w:hAnsi="Helvetica" w:cs="Times New Roman"/>
          <w:b/>
          <w:bCs/>
          <w:color w:val="000000"/>
          <w:sz w:val="17"/>
          <w:szCs w:val="17"/>
        </w:rPr>
        <w:t>Note:</w:t>
      </w:r>
    </w:p>
    <w:p w:rsidR="00C02063" w:rsidRPr="00C02063" w:rsidRDefault="00C02063" w:rsidP="00C0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C02063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Yearly Limit u/s 194C</w:t>
      </w:r>
      <w:proofErr w:type="gram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:Also</w:t>
      </w:r>
      <w:proofErr w:type="gram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where the aggregate of the amounts paid/credited or likely to be paid/credited to Contactor or Sub-contractor exceeds Rs.75,000 during the financial year, TDS has to be made u/s 194C.</w:t>
      </w:r>
    </w:p>
    <w:p w:rsidR="00C02063" w:rsidRPr="00C02063" w:rsidRDefault="00C02063" w:rsidP="00C0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C02063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 xml:space="preserve">TDS at higher rate </w:t>
      </w:r>
      <w:proofErr w:type="spellStart"/>
      <w:r w:rsidRPr="00C02063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ie</w:t>
      </w:r>
      <w:proofErr w:type="spellEnd"/>
      <w:r w:rsidRPr="00C02063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., 20%</w:t>
      </w:r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 has to be made if the </w:t>
      </w:r>
      <w:proofErr w:type="spell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deductee</w:t>
      </w:r>
      <w:proofErr w:type="spell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does not provide PAN to the </w:t>
      </w:r>
      <w:proofErr w:type="spell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deductor</w:t>
      </w:r>
      <w:proofErr w:type="spell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.(</w:t>
      </w:r>
      <w:hyperlink r:id="rId11" w:history="1">
        <w:r w:rsidRPr="00C02063">
          <w:rPr>
            <w:rFonts w:ascii="Helvetica" w:eastAsia="Times New Roman" w:hAnsi="Helvetica" w:cs="Times New Roman"/>
            <w:color w:val="23761A"/>
            <w:sz w:val="20"/>
            <w:szCs w:val="20"/>
          </w:rPr>
          <w:t>read detail u/s 206AA</w:t>
        </w:r>
      </w:hyperlink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)</w:t>
      </w:r>
    </w:p>
    <w:p w:rsidR="00C02063" w:rsidRPr="00C02063" w:rsidRDefault="00C02063" w:rsidP="00C0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C02063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No TDS on Goods Transport </w:t>
      </w:r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 :No deduction shall be made from any sum credited or paid or likely to be credited or paid during the previous year to the account of a contractor during the course of business of plying, hiring or leasing goods carriages on furnishing of his Permanent Account Number, to the person paying or crediting such sum.(read details here </w:t>
      </w:r>
      <w:hyperlink w:history="1">
        <w:r w:rsidRPr="00C02063">
          <w:rPr>
            <w:rFonts w:ascii="Helvetica" w:eastAsia="Times New Roman" w:hAnsi="Helvetica" w:cs="Times New Roman"/>
            <w:b/>
            <w:bCs/>
            <w:color w:val="23761A"/>
            <w:sz w:val="20"/>
            <w:szCs w:val="20"/>
          </w:rPr>
          <w:t>No TDS on Goods Transport</w:t>
        </w:r>
      </w:hyperlink>
      <w:r w:rsidRPr="00C02063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 </w:t>
      </w:r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)</w:t>
      </w:r>
    </w:p>
    <w:p w:rsidR="00C02063" w:rsidRPr="00C02063" w:rsidRDefault="00C02063" w:rsidP="00C0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</w:pPr>
      <w:r w:rsidRPr="00C02063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Surcharge on Income-tax is not deductible</w:t>
      </w:r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/collectible at source in case </w:t>
      </w:r>
      <w:proofErr w:type="gram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of  individual</w:t>
      </w:r>
      <w:proofErr w:type="gram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/ HUF /Firm/ AOP / BOI/Domestic Company in respect of payment of income other than salary.</w:t>
      </w:r>
    </w:p>
    <w:p w:rsidR="00C02063" w:rsidRPr="00C02063" w:rsidRDefault="00C02063" w:rsidP="00C0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In the case of Company other than Domestic Company, the rate of surcharge is @ 2.5% of Income-tax, where the income or the aggregate of such income paid or likely to be paid exceeds Rs.1</w:t>
      </w:r>
      <w:proofErr w:type="gram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,00,00,000</w:t>
      </w:r>
      <w:proofErr w:type="gram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. </w:t>
      </w:r>
    </w:p>
    <w:p w:rsidR="00C02063" w:rsidRPr="00C02063" w:rsidRDefault="00C02063" w:rsidP="00C020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000000"/>
          <w:sz w:val="20"/>
          <w:szCs w:val="20"/>
        </w:rPr>
      </w:pPr>
      <w:hyperlink r:id="rId12" w:history="1">
        <w:proofErr w:type="spellStart"/>
        <w:r w:rsidRPr="00C02063">
          <w:rPr>
            <w:rFonts w:ascii="Helvetica" w:eastAsia="Times New Roman" w:hAnsi="Helvetica" w:cs="Times New Roman"/>
            <w:b/>
            <w:bCs/>
            <w:color w:val="23761A"/>
            <w:sz w:val="20"/>
            <w:szCs w:val="20"/>
          </w:rPr>
          <w:t>NoCess</w:t>
        </w:r>
        <w:proofErr w:type="spellEnd"/>
        <w:r w:rsidRPr="00C02063">
          <w:rPr>
            <w:rFonts w:ascii="Helvetica" w:eastAsia="Times New Roman" w:hAnsi="Helvetica" w:cs="Times New Roman"/>
            <w:b/>
            <w:bCs/>
            <w:color w:val="23761A"/>
            <w:sz w:val="20"/>
            <w:szCs w:val="20"/>
          </w:rPr>
          <w:t xml:space="preserve"> on payment made to </w:t>
        </w:r>
        <w:proofErr w:type="spellStart"/>
        <w:r w:rsidRPr="00C02063">
          <w:rPr>
            <w:rFonts w:ascii="Helvetica" w:eastAsia="Times New Roman" w:hAnsi="Helvetica" w:cs="Times New Roman"/>
            <w:b/>
            <w:bCs/>
            <w:color w:val="23761A"/>
            <w:sz w:val="20"/>
            <w:szCs w:val="20"/>
          </w:rPr>
          <w:t>resident:</w:t>
        </w:r>
      </w:hyperlink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Education</w:t>
      </w:r>
      <w:proofErr w:type="spell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spell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Cess</w:t>
      </w:r>
      <w:proofErr w:type="spell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is not deductible/collectible at source in case of resident Individual/HUF/Firm/ AOP/ BOI/ Domestic Company in respect of payment of income other than </w:t>
      </w:r>
      <w:proofErr w:type="spell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salary.Education</w:t>
      </w:r>
      <w:proofErr w:type="spell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proofErr w:type="spell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Cess</w:t>
      </w:r>
      <w:proofErr w:type="spell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@ 2% plus secondary &amp; Higher Education </w:t>
      </w:r>
      <w:proofErr w:type="spellStart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>Cess</w:t>
      </w:r>
      <w:proofErr w:type="spellEnd"/>
      <w:r w:rsidRPr="00C02063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@ 1% is deductible at source in case of non-residents and foreign company.</w:t>
      </w:r>
    </w:p>
    <w:p w:rsidR="00C02063" w:rsidRPr="00C02063" w:rsidRDefault="00C02063" w:rsidP="00C02063">
      <w:pPr>
        <w:shd w:val="clear" w:color="auto" w:fill="FFFFFF"/>
        <w:spacing w:after="100" w:line="240" w:lineRule="auto"/>
        <w:rPr>
          <w:rFonts w:ascii="Helvetica" w:eastAsia="Times New Roman" w:hAnsi="Helvetica" w:cs="Times New Roman"/>
          <w:color w:val="000000"/>
          <w:sz w:val="17"/>
          <w:szCs w:val="17"/>
        </w:rPr>
      </w:pPr>
      <w:r w:rsidRPr="00C02063">
        <w:rPr>
          <w:rFonts w:ascii="Helvetica" w:eastAsia="Times New Roman" w:hAnsi="Helvetica" w:cs="Times New Roman"/>
          <w:color w:val="000000"/>
          <w:sz w:val="17"/>
          <w:szCs w:val="17"/>
        </w:rPr>
        <w:br/>
      </w:r>
    </w:p>
    <w:p w:rsidR="00386BCE" w:rsidRDefault="00386BCE"/>
    <w:sectPr w:rsidR="00386BCE" w:rsidSect="00C02063">
      <w:pgSz w:w="11907" w:h="16839" w:code="9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71C2B"/>
    <w:multiLevelType w:val="multilevel"/>
    <w:tmpl w:val="B2F8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63"/>
    <w:rsid w:val="00386BCE"/>
    <w:rsid w:val="00C0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2063"/>
    <w:rPr>
      <w:strike w:val="0"/>
      <w:dstrike w:val="0"/>
      <w:color w:val="23761A"/>
      <w:u w:val="none"/>
      <w:effect w:val="none"/>
    </w:rPr>
  </w:style>
  <w:style w:type="character" w:customStyle="1" w:styleId="apple-style-span">
    <w:name w:val="apple-style-span"/>
    <w:basedOn w:val="DefaultParagraphFont"/>
    <w:rsid w:val="00C0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2063"/>
    <w:rPr>
      <w:strike w:val="0"/>
      <w:dstrike w:val="0"/>
      <w:color w:val="23761A"/>
      <w:u w:val="none"/>
      <w:effect w:val="none"/>
    </w:rPr>
  </w:style>
  <w:style w:type="character" w:customStyle="1" w:styleId="apple-style-span">
    <w:name w:val="apple-style-span"/>
    <w:basedOn w:val="DefaultParagraphFont"/>
    <w:rsid w:val="00C0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544469">
      <w:bodyDiv w:val="1"/>
      <w:marLeft w:val="0"/>
      <w:marRight w:val="0"/>
      <w:marTop w:val="100"/>
      <w:marBottom w:val="100"/>
      <w:divBdr>
        <w:top w:val="single" w:sz="6" w:space="0" w:color="A4A4A4"/>
        <w:left w:val="single" w:sz="6" w:space="0" w:color="A4A4A4"/>
        <w:bottom w:val="single" w:sz="6" w:space="0" w:color="A4A4A4"/>
        <w:right w:val="single" w:sz="6" w:space="0" w:color="A4A4A4"/>
      </w:divBdr>
      <w:divsChild>
        <w:div w:id="3320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104">
              <w:marLeft w:val="0"/>
              <w:marRight w:val="0"/>
              <w:marTop w:val="0"/>
              <w:marBottom w:val="0"/>
              <w:divBdr>
                <w:top w:val="single" w:sz="6" w:space="0" w:color="A4A4A4"/>
                <w:left w:val="single" w:sz="6" w:space="0" w:color="A4A4A4"/>
                <w:bottom w:val="single" w:sz="6" w:space="0" w:color="A4A4A4"/>
                <w:right w:val="single" w:sz="6" w:space="0" w:color="A4A4A4"/>
              </w:divBdr>
              <w:divsChild>
                <w:div w:id="922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1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2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9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3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3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1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1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6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4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mpletaxindia.net/2012/05/finance-minister-speech-on-07052012-on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impletaxindia.net/2012/06/tds-on-fees-for-professional-or.html" TargetMode="External"/><Relationship Id="rId12" Type="http://schemas.openxmlformats.org/officeDocument/2006/relationships/hyperlink" Target="http://www.simpletaxindia.org/2009/09/tds-rate-applicability-frequently-aske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mpletaxindia.net/2012/06/tds-on-rent-section-194i-brief-notes.html" TargetMode="External"/><Relationship Id="rId11" Type="http://schemas.openxmlformats.org/officeDocument/2006/relationships/hyperlink" Target="http://www.simpletaxindia.org/2010/01/tds-at-maximum-rate-without-pan-pres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impletaxindia.net/2012/05/finance-minister-speech-on-07052012-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mpletaxindia.net/2012/05/finance-minister-speech-on-07052012-o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Malu</dc:creator>
  <cp:lastModifiedBy>Manish Malu</cp:lastModifiedBy>
  <cp:revision>1</cp:revision>
  <cp:lastPrinted>2012-07-05T05:34:00Z</cp:lastPrinted>
  <dcterms:created xsi:type="dcterms:W3CDTF">2012-07-05T05:33:00Z</dcterms:created>
  <dcterms:modified xsi:type="dcterms:W3CDTF">2012-07-05T05:43:00Z</dcterms:modified>
</cp:coreProperties>
</file>