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9185422"/>
        <w:docPartObj>
          <w:docPartGallery w:val="Cover Pages"/>
          <w:docPartUnique/>
        </w:docPartObj>
      </w:sdtPr>
      <w:sdtEndPr>
        <w:rPr>
          <w:rFonts w:eastAsiaTheme="minorEastAsia"/>
          <w:b/>
          <w:bCs/>
        </w:rPr>
      </w:sdtEndPr>
      <w:sdtContent>
        <w:p w:rsidR="00A53D55" w:rsidRDefault="00A53D55">
          <w:r>
            <w:rPr>
              <w:noProof/>
              <w:lang w:eastAsia="zh-TW"/>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ffd878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ffd878 [1620]" stroked="f">
                    <v:path arrowok="t"/>
                  </v:shape>
                  <v:oval id="_x0000_s1030" style="position:absolute;left:6117;top:10212;width:4526;height:4258;rotation:41366637fd;flip:y" fillcolor="#ffecbc [820]" stroked="f" strokecolor="#ffd878 [1620]"/>
                  <v:oval id="_x0000_s1031" style="position:absolute;left:6217;top:10481;width:3424;height:3221;rotation:41366637fd;flip:y" fillcolor="#ffc534 [2420]" stroked="f" strokecolor="#ffd878 [1620]"/>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ffd878 [1620]"/>
                <v:group id="_x0000_s1039" style="position:absolute;left:7095;top:5418;width:2216;height:2216" coordorigin="7907,4350" coordsize="2216,2216">
                  <v:oval id="_x0000_s1040" style="position:absolute;left:7907;top:4350;width:2216;height:2216" fillcolor="#ffd878 [1620]" stroked="f"/>
                  <v:oval id="_x0000_s1041" style="position:absolute;left:7961;top:4684;width:1813;height:1813" fillcolor="#ffecbc [820]" stroked="f"/>
                  <v:oval id="_x0000_s1042" style="position:absolute;left:8006;top:5027;width:1375;height:1375" fillcolor="#ffc534 [2420]" stroked="f"/>
                </v:group>
                <w10:wrap anchorx="page" anchory="page"/>
              </v:group>
            </w:pict>
          </w:r>
          <w:r>
            <w:rPr>
              <w:noProof/>
              <w:lang w:eastAsia="zh-TW"/>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ffd878 [1620]"/>
                <v:oval id="_x0000_s1034" style="position:absolute;left:6674;top:444;width:4116;height:4116" fillcolor="#ffd878 [1620]" stroked="f"/>
                <v:oval id="_x0000_s1035" style="position:absolute;left:6773;top:1058;width:3367;height:3367" fillcolor="#ffecbc [820]" stroked="f"/>
                <v:oval id="_x0000_s1036" style="position:absolute;left:6856;top:1709;width:2553;height:2553" fillcolor="#ffc534 [2420]" stroked="f"/>
                <w10:wrap anchorx="margin" anchory="page"/>
              </v:group>
            </w:pict>
          </w:r>
        </w:p>
        <w:tbl>
          <w:tblPr>
            <w:tblpPr w:leftFromText="187" w:rightFromText="187" w:vertAnchor="page" w:horzAnchor="margin" w:tblpY="9841"/>
            <w:tblW w:w="3000" w:type="pct"/>
            <w:tblLook w:val="04A0"/>
          </w:tblPr>
          <w:tblGrid>
            <w:gridCol w:w="5584"/>
          </w:tblGrid>
          <w:tr w:rsidR="00A53D55" w:rsidTr="00A53D55">
            <w:tc>
              <w:tcPr>
                <w:tcW w:w="5584" w:type="dxa"/>
              </w:tcPr>
              <w:p w:rsidR="00A53D55" w:rsidRDefault="00A53D55" w:rsidP="00A53D55">
                <w:pPr>
                  <w:pStyle w:val="NoSpacing"/>
                  <w:rPr>
                    <w:rFonts w:asciiTheme="majorHAnsi" w:eastAsiaTheme="majorEastAsia" w:hAnsiTheme="majorHAnsi" w:cstheme="majorBidi"/>
                    <w:b/>
                    <w:bCs/>
                    <w:color w:val="B38000" w:themeColor="accent1" w:themeShade="BF"/>
                    <w:sz w:val="48"/>
                    <w:szCs w:val="48"/>
                  </w:rPr>
                </w:pPr>
                <w:sdt>
                  <w:sdtPr>
                    <w:rPr>
                      <w:rFonts w:asciiTheme="majorHAnsi" w:eastAsiaTheme="majorEastAsia" w:hAnsiTheme="majorHAnsi" w:cstheme="majorBidi"/>
                      <w:b/>
                      <w:bCs/>
                      <w:color w:val="B38000" w:themeColor="accent1" w:themeShade="BF"/>
                      <w:sz w:val="48"/>
                      <w:szCs w:val="48"/>
                    </w:rPr>
                    <w:alias w:val="Title"/>
                    <w:id w:val="703864190"/>
                    <w:placeholder>
                      <w:docPart w:val="73BEE5B8AE0448C9A8D6A0A712051180"/>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bCs/>
                        <w:color w:val="B38000" w:themeColor="accent1" w:themeShade="BF"/>
                        <w:sz w:val="48"/>
                        <w:szCs w:val="48"/>
                      </w:rPr>
                      <w:t>Amendments in Direct &amp; Indirect tax</w:t>
                    </w:r>
                  </w:sdtContent>
                </w:sdt>
              </w:p>
            </w:tc>
          </w:tr>
          <w:tr w:rsidR="00A53D55" w:rsidTr="00A53D55">
            <w:tc>
              <w:tcPr>
                <w:tcW w:w="5584" w:type="dxa"/>
              </w:tcPr>
              <w:p w:rsidR="00A53D55" w:rsidRDefault="00A53D55" w:rsidP="00A53D55">
                <w:pPr>
                  <w:pStyle w:val="NoSpacing"/>
                </w:pPr>
              </w:p>
            </w:tc>
          </w:tr>
          <w:tr w:rsidR="00A53D55" w:rsidTr="00A53D55">
            <w:tc>
              <w:tcPr>
                <w:tcW w:w="5584" w:type="dxa"/>
              </w:tcPr>
              <w:p w:rsidR="00A53D55" w:rsidRDefault="00A53D55" w:rsidP="00A53D55">
                <w:pPr>
                  <w:pStyle w:val="NoSpacing"/>
                  <w:rPr>
                    <w:b/>
                    <w:bCs/>
                  </w:rPr>
                </w:pPr>
              </w:p>
            </w:tc>
          </w:tr>
          <w:tr w:rsidR="00A53D55" w:rsidTr="00A53D55">
            <w:sdt>
              <w:sdtPr>
                <w:rPr>
                  <w:b/>
                  <w:bCs/>
                </w:rPr>
                <w:alias w:val="Date"/>
                <w:id w:val="703864210"/>
                <w:placeholder>
                  <w:docPart w:val="24CC4E315CF14D1F9A6B077492D5BD01"/>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584" w:type="dxa"/>
                  </w:tcPr>
                  <w:p w:rsidR="00A53D55" w:rsidRDefault="00A53D55" w:rsidP="00A53D55">
                    <w:pPr>
                      <w:pStyle w:val="NoSpacing"/>
                      <w:rPr>
                        <w:b/>
                        <w:bCs/>
                      </w:rPr>
                    </w:pPr>
                    <w:r>
                      <w:rPr>
                        <w:b/>
                        <w:bCs/>
                      </w:rPr>
                      <w:t>2012-13</w:t>
                    </w:r>
                  </w:p>
                </w:tc>
              </w:sdtContent>
            </w:sdt>
          </w:tr>
          <w:tr w:rsidR="00A53D55" w:rsidTr="00A53D55">
            <w:tc>
              <w:tcPr>
                <w:tcW w:w="5584" w:type="dxa"/>
              </w:tcPr>
              <w:p w:rsidR="00A53D55" w:rsidRDefault="00A53D55" w:rsidP="00A53D55">
                <w:pPr>
                  <w:pStyle w:val="NoSpacing"/>
                  <w:rPr>
                    <w:b/>
                    <w:bCs/>
                  </w:rPr>
                </w:pPr>
              </w:p>
            </w:tc>
          </w:tr>
        </w:tbl>
        <w:p w:rsidR="00A53D55" w:rsidRDefault="00A53D55">
          <w:pPr>
            <w:rPr>
              <w:rFonts w:eastAsiaTheme="minorEastAsia"/>
            </w:rPr>
          </w:pPr>
          <w:r>
            <w:rPr>
              <w:rFonts w:eastAsiaTheme="minorEastAsia"/>
              <w:b/>
              <w:bCs/>
            </w:rPr>
            <w:br w:type="page"/>
          </w:r>
        </w:p>
      </w:sdtContent>
    </w:sdt>
    <w:sdt>
      <w:sdtPr>
        <w:rPr>
          <w:rFonts w:asciiTheme="minorHAnsi" w:eastAsiaTheme="minorEastAsia" w:hAnsiTheme="minorHAnsi" w:cstheme="minorBidi"/>
          <w:b w:val="0"/>
          <w:bCs w:val="0"/>
          <w:color w:val="auto"/>
          <w:sz w:val="22"/>
          <w:szCs w:val="22"/>
        </w:rPr>
        <w:id w:val="10067079"/>
        <w:docPartObj>
          <w:docPartGallery w:val="Table of Contents"/>
          <w:docPartUnique/>
        </w:docPartObj>
      </w:sdtPr>
      <w:sdtContent>
        <w:p w:rsidR="005C56E2" w:rsidRDefault="005C56E2" w:rsidP="005C55E7">
          <w:pPr>
            <w:pStyle w:val="TOCHeading"/>
            <w:jc w:val="both"/>
          </w:pPr>
          <w:r>
            <w:t>Table of Contents</w:t>
          </w:r>
        </w:p>
        <w:p w:rsidR="009E3006" w:rsidRPr="00040B29" w:rsidRDefault="009E3006" w:rsidP="005C55E7">
          <w:pPr>
            <w:pStyle w:val="ListParagraph"/>
            <w:numPr>
              <w:ilvl w:val="0"/>
              <w:numId w:val="83"/>
            </w:numPr>
            <w:spacing w:line="240" w:lineRule="auto"/>
            <w:ind w:left="270" w:hanging="270"/>
            <w:jc w:val="both"/>
            <w:rPr>
              <w:rFonts w:ascii="Arial" w:hAnsi="Arial" w:cs="Arial"/>
              <w:sz w:val="20"/>
              <w:szCs w:val="20"/>
            </w:rPr>
          </w:pPr>
          <w:r w:rsidRPr="00040B29">
            <w:rPr>
              <w:rFonts w:ascii="Arial" w:hAnsi="Arial" w:cs="Arial"/>
              <w:sz w:val="20"/>
              <w:szCs w:val="20"/>
            </w:rPr>
            <w:t>Table of</w:t>
          </w:r>
          <w:r w:rsidR="005A059C" w:rsidRPr="00040B29">
            <w:rPr>
              <w:rFonts w:ascii="Arial" w:hAnsi="Arial" w:cs="Arial"/>
              <w:sz w:val="20"/>
              <w:szCs w:val="20"/>
            </w:rPr>
            <w:t xml:space="preserve"> Content………………</w:t>
          </w:r>
          <w:r w:rsidR="00040B29">
            <w:rPr>
              <w:rFonts w:ascii="Arial" w:hAnsi="Arial" w:cs="Arial"/>
              <w:sz w:val="20"/>
              <w:szCs w:val="20"/>
            </w:rPr>
            <w:t>…………</w:t>
          </w:r>
          <w:r w:rsidR="005A059C" w:rsidRPr="00040B29">
            <w:rPr>
              <w:rFonts w:ascii="Arial" w:hAnsi="Arial" w:cs="Arial"/>
              <w:sz w:val="20"/>
              <w:szCs w:val="20"/>
            </w:rPr>
            <w:t>……….……......……………</w:t>
          </w:r>
          <w:r w:rsidR="00040B29" w:rsidRPr="00040B29">
            <w:rPr>
              <w:rFonts w:ascii="Arial" w:hAnsi="Arial" w:cs="Arial"/>
              <w:sz w:val="20"/>
              <w:szCs w:val="20"/>
            </w:rPr>
            <w:t>…...…………..</w:t>
          </w:r>
          <w:r w:rsidRPr="00040B29">
            <w:rPr>
              <w:rFonts w:ascii="Arial" w:hAnsi="Arial" w:cs="Arial"/>
              <w:sz w:val="20"/>
              <w:szCs w:val="20"/>
            </w:rPr>
            <w:t>………………</w:t>
          </w:r>
          <w:r w:rsidR="00217D00" w:rsidRPr="00040B29">
            <w:rPr>
              <w:rFonts w:ascii="Arial" w:hAnsi="Arial" w:cs="Arial"/>
              <w:sz w:val="20"/>
              <w:szCs w:val="20"/>
            </w:rPr>
            <w:t>.</w:t>
          </w:r>
          <w:r w:rsidRPr="00040B29">
            <w:rPr>
              <w:rFonts w:ascii="Arial" w:hAnsi="Arial" w:cs="Arial"/>
              <w:sz w:val="20"/>
              <w:szCs w:val="20"/>
            </w:rPr>
            <w:t>….1</w:t>
          </w:r>
        </w:p>
        <w:p w:rsidR="00E16BAC" w:rsidRPr="00040B29" w:rsidRDefault="00287397" w:rsidP="005C55E7">
          <w:pPr>
            <w:pStyle w:val="ListParagraph"/>
            <w:numPr>
              <w:ilvl w:val="0"/>
              <w:numId w:val="83"/>
            </w:numPr>
            <w:spacing w:line="240" w:lineRule="auto"/>
            <w:jc w:val="both"/>
            <w:rPr>
              <w:rFonts w:ascii="Arial" w:hAnsi="Arial" w:cs="Arial"/>
              <w:sz w:val="20"/>
              <w:szCs w:val="20"/>
            </w:rPr>
          </w:pPr>
          <w:hyperlink w:anchor="DIRECT" w:history="1">
            <w:r w:rsidR="00E16BAC" w:rsidRPr="00040B29">
              <w:rPr>
                <w:rStyle w:val="Hyperlink"/>
                <w:rFonts w:ascii="Arial" w:hAnsi="Arial" w:cs="Arial"/>
                <w:sz w:val="20"/>
                <w:szCs w:val="20"/>
                <w:u w:val="none"/>
              </w:rPr>
              <w:t>Di</w:t>
            </w:r>
            <w:r w:rsidR="005A059C" w:rsidRPr="00040B29">
              <w:rPr>
                <w:rStyle w:val="Hyperlink"/>
                <w:rFonts w:ascii="Arial" w:hAnsi="Arial" w:cs="Arial"/>
                <w:sz w:val="20"/>
                <w:szCs w:val="20"/>
                <w:u w:val="none"/>
              </w:rPr>
              <w:t>rect Tax Amendments…………</w:t>
            </w:r>
            <w:r w:rsidR="00040B29">
              <w:rPr>
                <w:rStyle w:val="Hyperlink"/>
                <w:rFonts w:ascii="Arial" w:hAnsi="Arial" w:cs="Arial"/>
                <w:sz w:val="20"/>
                <w:szCs w:val="20"/>
                <w:u w:val="none"/>
              </w:rPr>
              <w:t>……</w:t>
            </w:r>
            <w:r w:rsidR="005A059C" w:rsidRP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217D00" w:rsidRP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AD2305">
              <w:rPr>
                <w:rStyle w:val="Hyperlink"/>
                <w:rFonts w:ascii="Arial" w:hAnsi="Arial" w:cs="Arial"/>
                <w:sz w:val="20"/>
                <w:szCs w:val="20"/>
                <w:u w:val="none"/>
              </w:rPr>
              <w:t>3</w:t>
            </w:r>
          </w:hyperlink>
          <w:r w:rsidR="005C56E2" w:rsidRPr="00040B29">
            <w:rPr>
              <w:rFonts w:ascii="Arial" w:hAnsi="Arial" w:cs="Arial"/>
              <w:sz w:val="20"/>
              <w:szCs w:val="20"/>
            </w:rPr>
            <w:ptab w:relativeTo="margin" w:alignment="left" w:leader="none"/>
          </w:r>
          <w:hyperlink w:anchor="_A._Tax_Rates_1" w:history="1">
            <w:r w:rsidR="005A059C" w:rsidRPr="00040B29">
              <w:rPr>
                <w:rStyle w:val="Hyperlink"/>
                <w:rFonts w:ascii="Arial" w:hAnsi="Arial" w:cs="Arial"/>
                <w:sz w:val="20"/>
                <w:szCs w:val="20"/>
                <w:u w:val="none"/>
              </w:rPr>
              <w:t>Tax Rate……………………………</w:t>
            </w:r>
            <w:r w:rsidR="00040B29">
              <w:rPr>
                <w:rStyle w:val="Hyperlink"/>
                <w:rFonts w:ascii="Arial" w:hAnsi="Arial" w:cs="Arial"/>
                <w:sz w:val="20"/>
                <w:szCs w:val="20"/>
                <w:u w:val="none"/>
              </w:rPr>
              <w:t>…</w:t>
            </w:r>
            <w:r w:rsidR="005A059C" w:rsidRP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5A059C" w:rsidRPr="00040B29">
              <w:rPr>
                <w:rStyle w:val="Hyperlink"/>
                <w:rFonts w:ascii="Arial" w:hAnsi="Arial" w:cs="Arial"/>
                <w:sz w:val="20"/>
                <w:szCs w:val="20"/>
                <w:u w:val="none"/>
              </w:rPr>
              <w:t>…</w:t>
            </w:r>
            <w:r w:rsid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AD2305">
              <w:rPr>
                <w:rStyle w:val="Hyperlink"/>
                <w:rFonts w:ascii="Arial" w:hAnsi="Arial" w:cs="Arial"/>
                <w:sz w:val="20"/>
                <w:szCs w:val="20"/>
                <w:u w:val="none"/>
              </w:rPr>
              <w:t>3</w:t>
            </w:r>
          </w:hyperlink>
        </w:p>
        <w:p w:rsidR="00E16BAC" w:rsidRPr="00040B29" w:rsidRDefault="00287397" w:rsidP="005C55E7">
          <w:pPr>
            <w:pStyle w:val="ListParagraph"/>
            <w:numPr>
              <w:ilvl w:val="0"/>
              <w:numId w:val="83"/>
            </w:numPr>
            <w:spacing w:line="240" w:lineRule="auto"/>
            <w:jc w:val="both"/>
            <w:rPr>
              <w:rFonts w:ascii="Arial" w:hAnsi="Arial" w:cs="Arial"/>
              <w:sz w:val="20"/>
              <w:szCs w:val="20"/>
            </w:rPr>
          </w:pPr>
          <w:hyperlink w:anchor="Personal" w:history="1">
            <w:r w:rsidR="00040B29">
              <w:rPr>
                <w:rStyle w:val="Hyperlink"/>
                <w:rFonts w:ascii="Arial" w:hAnsi="Arial" w:cs="Arial"/>
                <w:sz w:val="20"/>
                <w:szCs w:val="20"/>
                <w:u w:val="none"/>
              </w:rPr>
              <w:t>Personal Tax</w:t>
            </w:r>
            <w:r w:rsidR="005A059C" w:rsidRP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5A059C" w:rsidRP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217D00" w:rsidRPr="00040B29">
              <w:rPr>
                <w:rStyle w:val="Hyperlink"/>
                <w:rFonts w:ascii="Arial" w:hAnsi="Arial" w:cs="Arial"/>
                <w:sz w:val="20"/>
                <w:szCs w:val="20"/>
                <w:u w:val="none"/>
              </w:rPr>
              <w:t>.</w:t>
            </w:r>
            <w:r w:rsidR="00E16BAC" w:rsidRPr="00040B29">
              <w:rPr>
                <w:rStyle w:val="Hyperlink"/>
                <w:rFonts w:ascii="Arial" w:hAnsi="Arial" w:cs="Arial"/>
                <w:sz w:val="20"/>
                <w:szCs w:val="20"/>
                <w:u w:val="none"/>
              </w:rPr>
              <w:t>……………………………</w:t>
            </w:r>
            <w:r w:rsidR="00AD2305">
              <w:rPr>
                <w:rStyle w:val="Hyperlink"/>
                <w:rFonts w:ascii="Arial" w:hAnsi="Arial" w:cs="Arial"/>
                <w:sz w:val="20"/>
                <w:szCs w:val="20"/>
                <w:u w:val="none"/>
              </w:rPr>
              <w:t>3</w:t>
            </w:r>
          </w:hyperlink>
        </w:p>
        <w:p w:rsidR="00E16BAC"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Corporate_Tax_Rate" w:history="1">
            <w:r w:rsidR="00E16BAC" w:rsidRPr="00217D00">
              <w:rPr>
                <w:rStyle w:val="Hyperlink"/>
                <w:rFonts w:ascii="Arial" w:hAnsi="Arial" w:cs="Arial"/>
                <w:bCs/>
                <w:sz w:val="20"/>
                <w:szCs w:val="20"/>
                <w:u w:val="none"/>
              </w:rPr>
              <w:t>Corporate Tax R</w:t>
            </w:r>
            <w:r w:rsidR="005A059C">
              <w:rPr>
                <w:rStyle w:val="Hyperlink"/>
                <w:rFonts w:ascii="Arial" w:hAnsi="Arial" w:cs="Arial"/>
                <w:bCs/>
                <w:sz w:val="20"/>
                <w:szCs w:val="20"/>
                <w:u w:val="none"/>
              </w:rPr>
              <w:t>ate &amp; Surcharge…….</w:t>
            </w:r>
            <w:r w:rsidR="001E7AD5">
              <w:rPr>
                <w:rStyle w:val="Hyperlink"/>
                <w:rFonts w:ascii="Arial" w:hAnsi="Arial" w:cs="Arial"/>
                <w:bCs/>
                <w:sz w:val="20"/>
                <w:szCs w:val="20"/>
                <w:u w:val="none"/>
              </w:rPr>
              <w:t>.</w:t>
            </w:r>
            <w:r w:rsidR="005A059C">
              <w:rPr>
                <w:rStyle w:val="Hyperlink"/>
                <w:rFonts w:ascii="Arial" w:hAnsi="Arial" w:cs="Arial"/>
                <w:bCs/>
                <w:sz w:val="20"/>
                <w:szCs w:val="20"/>
                <w:u w:val="none"/>
              </w:rPr>
              <w:t>………..………………………</w:t>
            </w:r>
            <w:r w:rsidR="00E16BAC" w:rsidRPr="00217D00">
              <w:rPr>
                <w:rStyle w:val="Hyperlink"/>
                <w:rFonts w:ascii="Arial" w:hAnsi="Arial" w:cs="Arial"/>
                <w:bCs/>
                <w:sz w:val="20"/>
                <w:szCs w:val="20"/>
                <w:u w:val="none"/>
              </w:rPr>
              <w:t>………………………………….</w:t>
            </w:r>
            <w:r w:rsidR="00AD2305">
              <w:rPr>
                <w:rStyle w:val="Hyperlink"/>
                <w:rFonts w:ascii="Arial" w:hAnsi="Arial" w:cs="Arial"/>
                <w:bCs/>
                <w:sz w:val="20"/>
                <w:szCs w:val="20"/>
                <w:u w:val="none"/>
              </w:rPr>
              <w:t>4</w:t>
            </w:r>
          </w:hyperlink>
        </w:p>
        <w:p w:rsidR="00E16BAC"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Tax_Deduction_at" w:history="1">
            <w:r w:rsidR="00E16BAC" w:rsidRPr="00217D00">
              <w:rPr>
                <w:rStyle w:val="Hyperlink"/>
                <w:rFonts w:ascii="Arial" w:hAnsi="Arial" w:cs="Arial"/>
                <w:bCs/>
                <w:sz w:val="20"/>
                <w:szCs w:val="20"/>
                <w:u w:val="none"/>
              </w:rPr>
              <w:t>Tax Deduction at Sou</w:t>
            </w:r>
            <w:r w:rsidR="005A059C">
              <w:rPr>
                <w:rStyle w:val="Hyperlink"/>
                <w:rFonts w:ascii="Arial" w:hAnsi="Arial" w:cs="Arial"/>
                <w:bCs/>
                <w:sz w:val="20"/>
                <w:szCs w:val="20"/>
                <w:u w:val="none"/>
              </w:rPr>
              <w:t>rce (TDS)…….…………………………..……………………</w:t>
            </w:r>
            <w:r w:rsidR="00E16BAC" w:rsidRPr="00217D00">
              <w:rPr>
                <w:rStyle w:val="Hyperlink"/>
                <w:rFonts w:ascii="Arial" w:hAnsi="Arial" w:cs="Arial"/>
                <w:bCs/>
                <w:sz w:val="20"/>
                <w:szCs w:val="20"/>
                <w:u w:val="none"/>
              </w:rPr>
              <w:t>…………………….</w:t>
            </w:r>
            <w:r w:rsidR="00AD2305">
              <w:rPr>
                <w:rStyle w:val="Hyperlink"/>
                <w:rFonts w:ascii="Arial" w:hAnsi="Arial" w:cs="Arial"/>
                <w:bCs/>
                <w:sz w:val="20"/>
                <w:szCs w:val="20"/>
                <w:u w:val="none"/>
              </w:rPr>
              <w:t>5</w:t>
            </w:r>
          </w:hyperlink>
        </w:p>
        <w:p w:rsidR="000D60F8"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Rates_of_TDS" w:history="1">
            <w:r w:rsidR="000D60F8" w:rsidRPr="00217D00">
              <w:rPr>
                <w:rStyle w:val="Hyperlink"/>
                <w:rFonts w:ascii="Arial" w:hAnsi="Arial" w:cs="Arial"/>
                <w:bCs/>
                <w:sz w:val="20"/>
                <w:szCs w:val="20"/>
                <w:u w:val="none"/>
              </w:rPr>
              <w:t>Rates of TDS for income o</w:t>
            </w:r>
            <w:r w:rsidR="005A059C">
              <w:rPr>
                <w:rStyle w:val="Hyperlink"/>
                <w:rFonts w:ascii="Arial" w:hAnsi="Arial" w:cs="Arial"/>
                <w:bCs/>
                <w:sz w:val="20"/>
                <w:szCs w:val="20"/>
                <w:u w:val="none"/>
              </w:rPr>
              <w:t>ther than Salaries……..…………………………</w:t>
            </w:r>
            <w:r w:rsidR="000D60F8" w:rsidRPr="00217D00">
              <w:rPr>
                <w:rStyle w:val="Hyperlink"/>
                <w:rFonts w:ascii="Arial" w:hAnsi="Arial" w:cs="Arial"/>
                <w:bCs/>
                <w:sz w:val="20"/>
                <w:szCs w:val="20"/>
                <w:u w:val="none"/>
              </w:rPr>
              <w:t>…………………………...</w:t>
            </w:r>
            <w:r w:rsidR="00AD2305">
              <w:rPr>
                <w:rStyle w:val="Hyperlink"/>
                <w:rFonts w:ascii="Arial" w:hAnsi="Arial" w:cs="Arial"/>
                <w:bCs/>
                <w:sz w:val="20"/>
                <w:szCs w:val="20"/>
                <w:u w:val="none"/>
              </w:rPr>
              <w:t>5</w:t>
            </w:r>
          </w:hyperlink>
        </w:p>
        <w:p w:rsidR="000D60F8"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B._Widening_of" w:history="1">
            <w:r w:rsidR="005A059C">
              <w:rPr>
                <w:rStyle w:val="Hyperlink"/>
                <w:rFonts w:ascii="Arial" w:hAnsi="Arial" w:cs="Arial"/>
                <w:bCs/>
                <w:sz w:val="20"/>
                <w:szCs w:val="20"/>
                <w:u w:val="none"/>
              </w:rPr>
              <w:t xml:space="preserve">Widening </w:t>
            </w:r>
            <w:r w:rsidR="000D60F8" w:rsidRPr="00217D00">
              <w:rPr>
                <w:rStyle w:val="Hyperlink"/>
                <w:rFonts w:ascii="Arial" w:hAnsi="Arial" w:cs="Arial"/>
                <w:bCs/>
                <w:sz w:val="20"/>
                <w:szCs w:val="20"/>
                <w:u w:val="none"/>
              </w:rPr>
              <w:t>of tax base………………………………</w:t>
            </w:r>
            <w:r w:rsidR="00F75D25" w:rsidRPr="00217D00">
              <w:rPr>
                <w:rStyle w:val="Hyperlink"/>
                <w:rFonts w:ascii="Arial" w:hAnsi="Arial" w:cs="Arial"/>
                <w:bCs/>
                <w:sz w:val="20"/>
                <w:szCs w:val="20"/>
                <w:u w:val="none"/>
              </w:rPr>
              <w:t>....</w:t>
            </w:r>
            <w:r w:rsidR="000D60F8"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0D60F8" w:rsidRPr="00217D00">
              <w:rPr>
                <w:rStyle w:val="Hyperlink"/>
                <w:rFonts w:ascii="Arial" w:hAnsi="Arial" w:cs="Arial"/>
                <w:bCs/>
                <w:sz w:val="20"/>
                <w:szCs w:val="20"/>
                <w:u w:val="none"/>
              </w:rPr>
              <w:t>……………………………………………</w:t>
            </w:r>
            <w:r w:rsidR="00AD2305">
              <w:rPr>
                <w:rStyle w:val="Hyperlink"/>
                <w:rFonts w:ascii="Arial" w:hAnsi="Arial" w:cs="Arial"/>
                <w:bCs/>
                <w:sz w:val="20"/>
                <w:szCs w:val="20"/>
                <w:u w:val="none"/>
              </w:rPr>
              <w:t>5</w:t>
            </w:r>
          </w:hyperlink>
        </w:p>
        <w:p w:rsidR="000D60F8"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Alternate_Minimum_Tax" w:history="1">
            <w:r w:rsidR="000D60F8" w:rsidRPr="00217D00">
              <w:rPr>
                <w:rStyle w:val="Hyperlink"/>
                <w:rFonts w:ascii="Arial" w:hAnsi="Arial" w:cs="Arial"/>
                <w:bCs/>
                <w:sz w:val="20"/>
                <w:szCs w:val="20"/>
                <w:u w:val="none"/>
              </w:rPr>
              <w:t>Alternat</w:t>
            </w:r>
            <w:r w:rsidR="005A059C">
              <w:rPr>
                <w:rStyle w:val="Hyperlink"/>
                <w:rFonts w:ascii="Arial" w:hAnsi="Arial" w:cs="Arial"/>
                <w:bCs/>
                <w:sz w:val="20"/>
                <w:szCs w:val="20"/>
                <w:u w:val="none"/>
              </w:rPr>
              <w:t>e Minimum Tax (AMT)…………………...………</w:t>
            </w:r>
            <w:r w:rsidR="000D60F8" w:rsidRPr="00217D00">
              <w:rPr>
                <w:rStyle w:val="Hyperlink"/>
                <w:rFonts w:ascii="Arial" w:hAnsi="Arial" w:cs="Arial"/>
                <w:bCs/>
                <w:sz w:val="20"/>
                <w:szCs w:val="20"/>
                <w:u w:val="none"/>
              </w:rPr>
              <w:t>.…………………………………………..……</w:t>
            </w:r>
            <w:r w:rsidR="00AD2305">
              <w:rPr>
                <w:rStyle w:val="Hyperlink"/>
                <w:rFonts w:ascii="Arial" w:hAnsi="Arial" w:cs="Arial"/>
                <w:bCs/>
                <w:sz w:val="20"/>
                <w:szCs w:val="20"/>
                <w:u w:val="none"/>
              </w:rPr>
              <w:t>5</w:t>
            </w:r>
          </w:hyperlink>
        </w:p>
        <w:p w:rsidR="0044083A"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TDS" w:history="1">
            <w:r w:rsidR="0044083A" w:rsidRPr="00217D00">
              <w:rPr>
                <w:rStyle w:val="Hyperlink"/>
                <w:rFonts w:ascii="Arial" w:hAnsi="Arial" w:cs="Arial"/>
                <w:bCs/>
                <w:sz w:val="20"/>
                <w:szCs w:val="20"/>
                <w:u w:val="none"/>
              </w:rPr>
              <w:t>TDS on remun</w:t>
            </w:r>
            <w:r w:rsidR="005A059C">
              <w:rPr>
                <w:rStyle w:val="Hyperlink"/>
                <w:rFonts w:ascii="Arial" w:hAnsi="Arial" w:cs="Arial"/>
                <w:bCs/>
                <w:sz w:val="20"/>
                <w:szCs w:val="20"/>
                <w:u w:val="none"/>
              </w:rPr>
              <w:t>eration to a director……………...………</w:t>
            </w:r>
            <w:r w:rsidR="0044083A" w:rsidRPr="00217D00">
              <w:rPr>
                <w:rStyle w:val="Hyperlink"/>
                <w:rFonts w:ascii="Arial" w:hAnsi="Arial" w:cs="Arial"/>
                <w:bCs/>
                <w:sz w:val="20"/>
                <w:szCs w:val="20"/>
                <w:u w:val="none"/>
              </w:rPr>
              <w:t>…………………………………………………</w:t>
            </w:r>
            <w:r w:rsidR="00AD2305">
              <w:rPr>
                <w:rStyle w:val="Hyperlink"/>
                <w:rFonts w:ascii="Arial" w:hAnsi="Arial" w:cs="Arial"/>
                <w:bCs/>
                <w:sz w:val="20"/>
                <w:szCs w:val="20"/>
                <w:u w:val="none"/>
              </w:rPr>
              <w:t>6</w:t>
            </w:r>
          </w:hyperlink>
        </w:p>
        <w:p w:rsidR="0044083A"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TCS" w:history="1">
            <w:r w:rsidR="0044083A" w:rsidRPr="00217D00">
              <w:rPr>
                <w:rStyle w:val="Hyperlink"/>
                <w:rFonts w:ascii="Arial" w:hAnsi="Arial" w:cs="Arial"/>
                <w:bCs/>
                <w:sz w:val="20"/>
                <w:szCs w:val="20"/>
                <w:u w:val="none"/>
              </w:rPr>
              <w:t>Tax Col</w:t>
            </w:r>
            <w:r w:rsidR="005A059C">
              <w:rPr>
                <w:rStyle w:val="Hyperlink"/>
                <w:rFonts w:ascii="Arial" w:hAnsi="Arial" w:cs="Arial"/>
                <w:bCs/>
                <w:sz w:val="20"/>
                <w:szCs w:val="20"/>
                <w:u w:val="none"/>
              </w:rPr>
              <w:t>lected at Source (TCS)………………..……</w:t>
            </w:r>
            <w:r w:rsidR="0044083A" w:rsidRPr="00217D00">
              <w:rPr>
                <w:rStyle w:val="Hyperlink"/>
                <w:rFonts w:ascii="Arial" w:hAnsi="Arial" w:cs="Arial"/>
                <w:bCs/>
                <w:sz w:val="20"/>
                <w:szCs w:val="20"/>
                <w:u w:val="none"/>
              </w:rPr>
              <w:t>……………………………………………...………</w:t>
            </w:r>
            <w:r w:rsidR="00AD2305">
              <w:rPr>
                <w:rStyle w:val="Hyperlink"/>
                <w:rFonts w:ascii="Arial" w:hAnsi="Arial" w:cs="Arial"/>
                <w:bCs/>
                <w:sz w:val="20"/>
                <w:szCs w:val="20"/>
                <w:u w:val="none"/>
              </w:rPr>
              <w:t>6</w:t>
            </w:r>
          </w:hyperlink>
        </w:p>
        <w:p w:rsidR="0044083A"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jewellery" w:history="1">
            <w:r w:rsidR="0044083A" w:rsidRPr="00217D00">
              <w:rPr>
                <w:rStyle w:val="Hyperlink"/>
                <w:rFonts w:ascii="Arial" w:hAnsi="Arial" w:cs="Arial"/>
                <w:bCs/>
                <w:sz w:val="20"/>
                <w:szCs w:val="20"/>
                <w:u w:val="none"/>
              </w:rPr>
              <w:t xml:space="preserve">TCS on cash sale of </w:t>
            </w:r>
            <w:r w:rsidR="005A059C">
              <w:rPr>
                <w:rStyle w:val="Hyperlink"/>
                <w:rFonts w:ascii="Arial" w:hAnsi="Arial" w:cs="Arial"/>
                <w:bCs/>
                <w:sz w:val="20"/>
                <w:szCs w:val="20"/>
                <w:u w:val="none"/>
              </w:rPr>
              <w:t>bullion and jewellery...…...…………</w:t>
            </w:r>
            <w:r w:rsidR="0044083A" w:rsidRPr="00217D00">
              <w:rPr>
                <w:rStyle w:val="Hyperlink"/>
                <w:rFonts w:ascii="Arial" w:hAnsi="Arial" w:cs="Arial"/>
                <w:bCs/>
                <w:sz w:val="20"/>
                <w:szCs w:val="20"/>
                <w:u w:val="none"/>
              </w:rPr>
              <w:t>....……………………………………………</w:t>
            </w:r>
            <w:r w:rsidR="00AD2305">
              <w:rPr>
                <w:rStyle w:val="Hyperlink"/>
                <w:rFonts w:ascii="Arial" w:hAnsi="Arial" w:cs="Arial"/>
                <w:bCs/>
                <w:sz w:val="20"/>
                <w:szCs w:val="20"/>
                <w:u w:val="none"/>
              </w:rPr>
              <w:t>6</w:t>
            </w:r>
          </w:hyperlink>
        </w:p>
        <w:p w:rsidR="0044083A"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_C._Measures_to" w:history="1">
            <w:r w:rsidR="0044083A" w:rsidRPr="00217D00">
              <w:rPr>
                <w:rStyle w:val="Hyperlink"/>
                <w:rFonts w:ascii="Arial" w:hAnsi="Arial" w:cs="Arial"/>
                <w:bCs/>
                <w:sz w:val="20"/>
                <w:szCs w:val="20"/>
                <w:u w:val="none"/>
              </w:rPr>
              <w:t>Measures to prevent Generation &amp; Circulation of unaccounted Money</w:t>
            </w:r>
            <w:r w:rsidR="00D318B6"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D318B6" w:rsidRPr="00217D00">
              <w:rPr>
                <w:rStyle w:val="Hyperlink"/>
                <w:rFonts w:ascii="Arial" w:hAnsi="Arial" w:cs="Arial"/>
                <w:bCs/>
                <w:sz w:val="20"/>
                <w:szCs w:val="20"/>
                <w:u w:val="none"/>
              </w:rPr>
              <w:t>………………</w:t>
            </w:r>
            <w:r w:rsidR="00AD2305">
              <w:rPr>
                <w:rStyle w:val="Hyperlink"/>
                <w:rFonts w:ascii="Arial" w:hAnsi="Arial" w:cs="Arial"/>
                <w:bCs/>
                <w:sz w:val="20"/>
                <w:szCs w:val="20"/>
                <w:u w:val="none"/>
              </w:rPr>
              <w:t>6</w:t>
            </w:r>
          </w:hyperlink>
        </w:p>
        <w:p w:rsidR="00613BFB"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Cash_credits_–" w:history="1">
            <w:r w:rsidR="00613BFB" w:rsidRPr="00217D00">
              <w:rPr>
                <w:rStyle w:val="Hyperlink"/>
                <w:rFonts w:ascii="Arial" w:hAnsi="Arial" w:cs="Arial"/>
                <w:bCs/>
                <w:sz w:val="20"/>
                <w:szCs w:val="20"/>
                <w:u w:val="none"/>
              </w:rPr>
              <w:t>Cash credits – Additional onus to</w:t>
            </w:r>
            <w:r w:rsidR="005A059C">
              <w:rPr>
                <w:rStyle w:val="Hyperlink"/>
                <w:rFonts w:ascii="Arial" w:hAnsi="Arial" w:cs="Arial"/>
                <w:bCs/>
                <w:sz w:val="20"/>
                <w:szCs w:val="20"/>
                <w:u w:val="none"/>
              </w:rPr>
              <w:t xml:space="preserve"> prove about the Investor…….…</w:t>
            </w:r>
            <w:r w:rsidR="00613BFB"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613BFB" w:rsidRPr="00217D00">
              <w:rPr>
                <w:rStyle w:val="Hyperlink"/>
                <w:rFonts w:ascii="Arial" w:hAnsi="Arial" w:cs="Arial"/>
                <w:bCs/>
                <w:sz w:val="20"/>
                <w:szCs w:val="20"/>
                <w:u w:val="none"/>
              </w:rPr>
              <w:t>………………………..</w:t>
            </w:r>
            <w:r w:rsidR="00AD2305">
              <w:rPr>
                <w:rStyle w:val="Hyperlink"/>
                <w:rFonts w:ascii="Arial" w:hAnsi="Arial" w:cs="Arial"/>
                <w:bCs/>
                <w:sz w:val="20"/>
                <w:szCs w:val="20"/>
                <w:u w:val="none"/>
              </w:rPr>
              <w:t>6</w:t>
            </w:r>
          </w:hyperlink>
        </w:p>
        <w:p w:rsidR="00613BFB"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Taxation" w:history="1">
            <w:r w:rsidR="00613BFB" w:rsidRPr="00217D00">
              <w:rPr>
                <w:rStyle w:val="Hyperlink"/>
                <w:rFonts w:ascii="Arial" w:hAnsi="Arial" w:cs="Arial"/>
                <w:bCs/>
                <w:sz w:val="20"/>
                <w:szCs w:val="20"/>
                <w:u w:val="none"/>
              </w:rPr>
              <w:t>Taxation of cash credits, unexplained</w:t>
            </w:r>
            <w:r w:rsidR="005A059C">
              <w:rPr>
                <w:rStyle w:val="Hyperlink"/>
                <w:rFonts w:ascii="Arial" w:hAnsi="Arial" w:cs="Arial"/>
                <w:bCs/>
                <w:sz w:val="20"/>
                <w:szCs w:val="20"/>
                <w:u w:val="none"/>
              </w:rPr>
              <w:t xml:space="preserve"> money, investments etc…………………</w:t>
            </w:r>
            <w:r w:rsidR="00613BFB"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613BFB" w:rsidRPr="00217D00">
              <w:rPr>
                <w:rStyle w:val="Hyperlink"/>
                <w:rFonts w:ascii="Arial" w:hAnsi="Arial" w:cs="Arial"/>
                <w:bCs/>
                <w:sz w:val="20"/>
                <w:szCs w:val="20"/>
                <w:u w:val="none"/>
              </w:rPr>
              <w:t>……………….6</w:t>
            </w:r>
          </w:hyperlink>
        </w:p>
        <w:p w:rsidR="00613BFB"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Complusory" w:history="1">
            <w:r w:rsidR="00613BFB" w:rsidRPr="00217D00">
              <w:rPr>
                <w:rStyle w:val="Hyperlink"/>
                <w:rFonts w:ascii="Arial" w:hAnsi="Arial" w:cs="Arial"/>
                <w:bCs/>
                <w:sz w:val="20"/>
                <w:szCs w:val="20"/>
                <w:u w:val="none"/>
              </w:rPr>
              <w:t>Compulsory Filing of Income-tax return in relation to as</w:t>
            </w:r>
            <w:r w:rsidR="005A059C">
              <w:rPr>
                <w:rStyle w:val="Hyperlink"/>
                <w:rFonts w:ascii="Arial" w:hAnsi="Arial" w:cs="Arial"/>
                <w:bCs/>
                <w:sz w:val="20"/>
                <w:szCs w:val="20"/>
                <w:u w:val="none"/>
              </w:rPr>
              <w:t>sets located outside India….………</w:t>
            </w:r>
            <w:r w:rsidR="00613BFB" w:rsidRPr="00217D00">
              <w:rPr>
                <w:rStyle w:val="Hyperlink"/>
                <w:rFonts w:ascii="Arial" w:hAnsi="Arial" w:cs="Arial"/>
                <w:bCs/>
                <w:sz w:val="20"/>
                <w:szCs w:val="20"/>
                <w:u w:val="none"/>
              </w:rPr>
              <w:t>………</w:t>
            </w:r>
            <w:r w:rsidR="00AD2305">
              <w:rPr>
                <w:rStyle w:val="Hyperlink"/>
                <w:rFonts w:ascii="Arial" w:hAnsi="Arial" w:cs="Arial"/>
                <w:bCs/>
                <w:sz w:val="20"/>
                <w:szCs w:val="20"/>
                <w:u w:val="none"/>
              </w:rPr>
              <w:t>7</w:t>
            </w:r>
          </w:hyperlink>
        </w:p>
        <w:p w:rsidR="00613BFB"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_D._Tax_incentives" w:history="1">
            <w:r w:rsidR="00613BFB" w:rsidRPr="00217D00">
              <w:rPr>
                <w:rStyle w:val="Hyperlink"/>
                <w:rFonts w:ascii="Arial" w:hAnsi="Arial" w:cs="Arial"/>
                <w:sz w:val="20"/>
                <w:szCs w:val="20"/>
                <w:u w:val="none"/>
              </w:rPr>
              <w:t>Tax incentives and reliefs...............</w:t>
            </w:r>
            <w:r w:rsidR="009C1F08" w:rsidRPr="00217D00">
              <w:rPr>
                <w:rStyle w:val="Hyperlink"/>
                <w:rFonts w:ascii="Arial" w:hAnsi="Arial" w:cs="Arial"/>
                <w:sz w:val="20"/>
                <w:szCs w:val="20"/>
                <w:u w:val="none"/>
              </w:rPr>
              <w:t>....................</w:t>
            </w:r>
            <w:r w:rsidR="009C1F08" w:rsidRPr="00217D00">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9C1F08"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613BFB" w:rsidRPr="00217D00">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613BFB" w:rsidRPr="00217D00">
              <w:rPr>
                <w:rStyle w:val="Hyperlink"/>
                <w:rFonts w:ascii="Arial" w:hAnsi="Arial" w:cs="Arial"/>
                <w:bCs/>
                <w:sz w:val="20"/>
                <w:szCs w:val="20"/>
                <w:u w:val="none"/>
              </w:rPr>
              <w:t>...</w:t>
            </w:r>
            <w:r w:rsidR="00613BFB" w:rsidRPr="00217D00">
              <w:rPr>
                <w:rStyle w:val="Hyperlink"/>
                <w:rFonts w:ascii="Arial" w:hAnsi="Arial" w:cs="Arial"/>
                <w:sz w:val="20"/>
                <w:szCs w:val="20"/>
                <w:u w:val="none"/>
              </w:rPr>
              <w:t>...........</w:t>
            </w:r>
            <w:r w:rsidR="00AD2305">
              <w:rPr>
                <w:rStyle w:val="Hyperlink"/>
                <w:rFonts w:ascii="Arial" w:hAnsi="Arial" w:cs="Arial"/>
                <w:sz w:val="20"/>
                <w:szCs w:val="20"/>
                <w:u w:val="none"/>
              </w:rPr>
              <w:t>7</w:t>
            </w:r>
          </w:hyperlink>
        </w:p>
        <w:p w:rsidR="00613BFB"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_Removal_of_Cascading" w:history="1">
            <w:r w:rsidR="00613BFB" w:rsidRPr="00217D00">
              <w:rPr>
                <w:rStyle w:val="Hyperlink"/>
                <w:rFonts w:ascii="Arial" w:hAnsi="Arial" w:cs="Arial"/>
                <w:bCs/>
                <w:sz w:val="20"/>
                <w:szCs w:val="20"/>
                <w:u w:val="none"/>
              </w:rPr>
              <w:t xml:space="preserve">Removal of cascading effect </w:t>
            </w:r>
            <w:r w:rsidR="009C1F08" w:rsidRPr="00217D00">
              <w:rPr>
                <w:rStyle w:val="Hyperlink"/>
                <w:rFonts w:ascii="Arial" w:hAnsi="Arial" w:cs="Arial"/>
                <w:bCs/>
                <w:sz w:val="20"/>
                <w:szCs w:val="20"/>
                <w:u w:val="none"/>
              </w:rPr>
              <w:t>of</w:t>
            </w:r>
            <w:r w:rsidR="00613BFB" w:rsidRPr="00217D00">
              <w:rPr>
                <w:rStyle w:val="Hyperlink"/>
                <w:rFonts w:ascii="Arial" w:hAnsi="Arial" w:cs="Arial"/>
                <w:bCs/>
                <w:sz w:val="20"/>
                <w:szCs w:val="20"/>
                <w:u w:val="none"/>
              </w:rPr>
              <w:t xml:space="preserve"> Dividend Distribution Tax (DDT)</w:t>
            </w:r>
            <w:r w:rsidR="006F24E5"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613BFB" w:rsidRPr="00217D00">
              <w:rPr>
                <w:rStyle w:val="Hyperlink"/>
                <w:rFonts w:ascii="Arial" w:hAnsi="Arial" w:cs="Arial"/>
                <w:bCs/>
                <w:sz w:val="20"/>
                <w:szCs w:val="20"/>
                <w:u w:val="none"/>
              </w:rPr>
              <w:t>..</w:t>
            </w:r>
            <w:r w:rsidR="00AD2305">
              <w:rPr>
                <w:rStyle w:val="Hyperlink"/>
                <w:rFonts w:ascii="Arial" w:hAnsi="Arial" w:cs="Arial"/>
                <w:bCs/>
                <w:sz w:val="20"/>
                <w:szCs w:val="20"/>
                <w:u w:val="none"/>
              </w:rPr>
              <w:t>7</w:t>
            </w:r>
          </w:hyperlink>
        </w:p>
        <w:p w:rsidR="00613BFB" w:rsidRPr="00217D00"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Weighted" w:history="1">
            <w:r w:rsidR="009E3006" w:rsidRPr="00217D00">
              <w:rPr>
                <w:rStyle w:val="Hyperlink"/>
                <w:rFonts w:ascii="Arial" w:hAnsi="Arial" w:cs="Arial"/>
                <w:bCs/>
                <w:sz w:val="20"/>
                <w:szCs w:val="20"/>
                <w:u w:val="none"/>
              </w:rPr>
              <w:t>Weighted deduction for expenditure for skill development</w:t>
            </w:r>
            <w:r w:rsidR="000F61DB"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217D00"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0F61DB" w:rsidRPr="00217D00">
              <w:rPr>
                <w:rStyle w:val="Hyperlink"/>
                <w:rFonts w:ascii="Arial" w:hAnsi="Arial" w:cs="Arial"/>
                <w:bCs/>
                <w:sz w:val="20"/>
                <w:szCs w:val="20"/>
                <w:u w:val="none"/>
              </w:rPr>
              <w:t>……….....</w:t>
            </w:r>
            <w:r w:rsidR="009E3006" w:rsidRPr="00217D00">
              <w:rPr>
                <w:rStyle w:val="Hyperlink"/>
                <w:rFonts w:ascii="Arial" w:hAnsi="Arial" w:cs="Arial"/>
                <w:bCs/>
                <w:sz w:val="20"/>
                <w:szCs w:val="20"/>
                <w:u w:val="none"/>
              </w:rPr>
              <w:t>7</w:t>
            </w:r>
          </w:hyperlink>
        </w:p>
        <w:p w:rsidR="009E3006"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sz w:val="20"/>
              <w:szCs w:val="20"/>
            </w:rPr>
          </w:pPr>
          <w:hyperlink w:anchor="Turnover" w:history="1">
            <w:r w:rsidR="005A059C">
              <w:rPr>
                <w:rStyle w:val="Hyperlink"/>
                <w:rFonts w:ascii="Arial" w:hAnsi="Arial" w:cs="Arial"/>
                <w:bCs/>
                <w:sz w:val="20"/>
                <w:szCs w:val="20"/>
                <w:u w:val="none"/>
              </w:rPr>
              <w:t xml:space="preserve">Turnover </w:t>
            </w:r>
            <w:r w:rsidR="009E3006" w:rsidRPr="00217D00">
              <w:rPr>
                <w:rStyle w:val="Hyperlink"/>
                <w:rFonts w:ascii="Arial" w:hAnsi="Arial" w:cs="Arial"/>
                <w:bCs/>
                <w:sz w:val="20"/>
                <w:szCs w:val="20"/>
                <w:u w:val="none"/>
              </w:rPr>
              <w:t>gross receipts for audit of acco</w:t>
            </w:r>
            <w:r w:rsidR="006F24E5" w:rsidRPr="00217D00">
              <w:rPr>
                <w:rStyle w:val="Hyperlink"/>
                <w:rFonts w:ascii="Arial" w:hAnsi="Arial" w:cs="Arial"/>
                <w:bCs/>
                <w:sz w:val="20"/>
                <w:szCs w:val="20"/>
                <w:u w:val="none"/>
              </w:rPr>
              <w:t>unts and presumptive taxation…</w:t>
            </w:r>
            <w:r w:rsidR="005A059C">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217D00" w:rsidRPr="00217D00">
              <w:rPr>
                <w:rStyle w:val="Hyperlink"/>
                <w:rFonts w:ascii="Arial" w:hAnsi="Arial" w:cs="Arial"/>
                <w:bCs/>
                <w:sz w:val="20"/>
                <w:szCs w:val="20"/>
                <w:u w:val="none"/>
              </w:rPr>
              <w:t>…</w:t>
            </w:r>
            <w:r w:rsidR="009E3006"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9E3006"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9E3006" w:rsidRPr="00217D00">
              <w:rPr>
                <w:rStyle w:val="Hyperlink"/>
                <w:rFonts w:ascii="Arial" w:hAnsi="Arial" w:cs="Arial"/>
                <w:bCs/>
                <w:sz w:val="20"/>
                <w:szCs w:val="20"/>
                <w:u w:val="none"/>
              </w:rPr>
              <w:t>….</w:t>
            </w:r>
            <w:r w:rsidR="00AD2305">
              <w:rPr>
                <w:rStyle w:val="Hyperlink"/>
                <w:rFonts w:ascii="Arial" w:hAnsi="Arial" w:cs="Arial"/>
                <w:bCs/>
                <w:sz w:val="20"/>
                <w:szCs w:val="20"/>
                <w:u w:val="none"/>
              </w:rPr>
              <w:t>8</w:t>
            </w:r>
          </w:hyperlink>
        </w:p>
        <w:p w:rsidR="009E3006" w:rsidRPr="00217D00"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Exemption" w:history="1">
            <w:r w:rsidR="009E3006" w:rsidRPr="00217D00">
              <w:rPr>
                <w:rStyle w:val="Hyperlink"/>
                <w:rFonts w:ascii="Arial" w:hAnsi="Arial" w:cs="Arial"/>
                <w:bCs/>
                <w:sz w:val="20"/>
                <w:szCs w:val="20"/>
                <w:u w:val="none"/>
              </w:rPr>
              <w:t>Exemption for senior citizens from payment of advance tax…………</w:t>
            </w:r>
            <w:r w:rsidR="006F24E5" w:rsidRPr="00217D00">
              <w:rPr>
                <w:rStyle w:val="Hyperlink"/>
                <w:rFonts w:ascii="Arial" w:hAnsi="Arial" w:cs="Arial"/>
                <w:bCs/>
                <w:sz w:val="20"/>
                <w:szCs w:val="20"/>
                <w:u w:val="none"/>
              </w:rPr>
              <w:t>..</w:t>
            </w:r>
            <w:r w:rsidR="005A059C">
              <w:rPr>
                <w:rStyle w:val="Hyperlink"/>
                <w:rFonts w:ascii="Arial" w:hAnsi="Arial" w:cs="Arial"/>
                <w:bCs/>
                <w:sz w:val="20"/>
                <w:szCs w:val="20"/>
                <w:u w:val="none"/>
              </w:rPr>
              <w:t>……….</w:t>
            </w:r>
            <w:r w:rsidR="009E3006"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9E3006" w:rsidRPr="00217D00">
              <w:rPr>
                <w:rStyle w:val="Hyperlink"/>
                <w:rFonts w:ascii="Arial" w:hAnsi="Arial" w:cs="Arial"/>
                <w:bCs/>
                <w:sz w:val="20"/>
                <w:szCs w:val="20"/>
                <w:u w:val="none"/>
              </w:rPr>
              <w:t>………</w:t>
            </w:r>
            <w:r w:rsidR="006F24E5" w:rsidRPr="00217D00">
              <w:rPr>
                <w:rStyle w:val="Hyperlink"/>
                <w:rFonts w:ascii="Arial" w:hAnsi="Arial" w:cs="Arial"/>
                <w:bCs/>
                <w:sz w:val="20"/>
                <w:szCs w:val="20"/>
                <w:u w:val="none"/>
              </w:rPr>
              <w:t>..</w:t>
            </w:r>
            <w:r w:rsidR="009E3006" w:rsidRPr="00217D00">
              <w:rPr>
                <w:rStyle w:val="Hyperlink"/>
                <w:rFonts w:ascii="Arial" w:hAnsi="Arial" w:cs="Arial"/>
                <w:bCs/>
                <w:sz w:val="20"/>
                <w:szCs w:val="20"/>
                <w:u w:val="none"/>
              </w:rPr>
              <w:t>….</w:t>
            </w:r>
            <w:r w:rsidR="00812A1D">
              <w:rPr>
                <w:rStyle w:val="Hyperlink"/>
                <w:rFonts w:ascii="Arial" w:hAnsi="Arial" w:cs="Arial"/>
                <w:bCs/>
                <w:sz w:val="20"/>
                <w:szCs w:val="20"/>
                <w:u w:val="none"/>
              </w:rPr>
              <w:t>8</w:t>
            </w:r>
          </w:hyperlink>
        </w:p>
        <w:p w:rsidR="00613BFB"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Relief" w:history="1">
            <w:r w:rsidR="000F61DB" w:rsidRPr="005A059C">
              <w:rPr>
                <w:rStyle w:val="Hyperlink"/>
                <w:rFonts w:ascii="Arial" w:hAnsi="Arial" w:cs="Arial"/>
                <w:bCs/>
                <w:sz w:val="20"/>
                <w:szCs w:val="20"/>
                <w:u w:val="none"/>
              </w:rPr>
              <w:t>Relief from LTCG</w:t>
            </w:r>
            <w:r w:rsidR="00B72813" w:rsidRPr="005A059C">
              <w:rPr>
                <w:rStyle w:val="Hyperlink"/>
                <w:rFonts w:ascii="Arial" w:hAnsi="Arial" w:cs="Arial"/>
                <w:bCs/>
                <w:sz w:val="20"/>
                <w:szCs w:val="20"/>
                <w:u w:val="none"/>
              </w:rPr>
              <w:t xml:space="preserve"> tax on transfer of resident</w:t>
            </w:r>
            <w:r w:rsidR="000F61DB" w:rsidRPr="005A059C">
              <w:rPr>
                <w:rStyle w:val="Hyperlink"/>
                <w:rFonts w:ascii="Arial" w:hAnsi="Arial" w:cs="Arial"/>
                <w:bCs/>
                <w:sz w:val="20"/>
                <w:szCs w:val="20"/>
                <w:u w:val="none"/>
              </w:rPr>
              <w:t xml:space="preserve"> property if inves</w:t>
            </w:r>
            <w:r w:rsidR="00954BCC">
              <w:rPr>
                <w:rStyle w:val="Hyperlink"/>
                <w:rFonts w:ascii="Arial" w:hAnsi="Arial" w:cs="Arial"/>
                <w:bCs/>
                <w:sz w:val="20"/>
                <w:szCs w:val="20"/>
                <w:u w:val="none"/>
              </w:rPr>
              <w:t>ted in a manufacturing small an</w:t>
            </w:r>
            <w:r w:rsidR="000F61DB" w:rsidRPr="005A059C">
              <w:rPr>
                <w:rStyle w:val="Hyperlink"/>
                <w:rFonts w:ascii="Arial" w:hAnsi="Arial" w:cs="Arial"/>
                <w:bCs/>
                <w:sz w:val="20"/>
                <w:szCs w:val="20"/>
                <w:u w:val="none"/>
              </w:rPr>
              <w:t xml:space="preserve"> medium enterpris</w:t>
            </w:r>
            <w:r w:rsidR="005A059C" w:rsidRPr="005A059C">
              <w:rPr>
                <w:rStyle w:val="Hyperlink"/>
                <w:rFonts w:ascii="Arial" w:hAnsi="Arial" w:cs="Arial"/>
                <w:bCs/>
                <w:sz w:val="20"/>
                <w:szCs w:val="20"/>
                <w:u w:val="none"/>
              </w:rPr>
              <w:t>e.</w:t>
            </w:r>
            <w:r w:rsidR="00217D00" w:rsidRPr="005A059C">
              <w:rPr>
                <w:rStyle w:val="Hyperlink"/>
                <w:rFonts w:ascii="Arial" w:hAnsi="Arial" w:cs="Arial"/>
                <w:bCs/>
                <w:sz w:val="20"/>
                <w:szCs w:val="20"/>
                <w:u w:val="none"/>
              </w:rPr>
              <w:t>……</w:t>
            </w:r>
            <w:r w:rsidR="008047AF">
              <w:rPr>
                <w:rStyle w:val="Hyperlink"/>
                <w:rFonts w:ascii="Arial" w:hAnsi="Arial" w:cs="Arial"/>
                <w:bCs/>
                <w:sz w:val="20"/>
                <w:szCs w:val="20"/>
                <w:u w:val="none"/>
              </w:rPr>
              <w:t>…</w:t>
            </w:r>
            <w:r w:rsidR="00217D00" w:rsidRPr="005A059C">
              <w:rPr>
                <w:rStyle w:val="Hyperlink"/>
                <w:rFonts w:ascii="Arial" w:hAnsi="Arial" w:cs="Arial"/>
                <w:bCs/>
                <w:sz w:val="20"/>
                <w:szCs w:val="20"/>
                <w:u w:val="none"/>
              </w:rPr>
              <w:t>……</w:t>
            </w:r>
            <w:r w:rsidR="005A059C" w:rsidRPr="005A059C">
              <w:rPr>
                <w:rStyle w:val="Hyperlink"/>
                <w:rFonts w:ascii="Arial" w:hAnsi="Arial" w:cs="Arial"/>
                <w:bCs/>
                <w:sz w:val="20"/>
                <w:szCs w:val="20"/>
                <w:u w:val="none"/>
              </w:rPr>
              <w:t>…………………………...……………………………..</w:t>
            </w:r>
            <w:r w:rsidR="00217D00" w:rsidRPr="005A059C">
              <w:rPr>
                <w:rStyle w:val="Hyperlink"/>
                <w:rFonts w:ascii="Arial" w:hAnsi="Arial" w:cs="Arial"/>
                <w:bCs/>
                <w:sz w:val="20"/>
                <w:szCs w:val="20"/>
                <w:u w:val="none"/>
              </w:rPr>
              <w:t>…………….…...</w:t>
            </w:r>
            <w:r w:rsidR="00812A1D">
              <w:rPr>
                <w:rStyle w:val="Hyperlink"/>
                <w:rFonts w:ascii="Arial" w:hAnsi="Arial" w:cs="Arial"/>
                <w:bCs/>
                <w:sz w:val="20"/>
                <w:szCs w:val="20"/>
                <w:u w:val="none"/>
              </w:rPr>
              <w:t>9</w:t>
            </w:r>
          </w:hyperlink>
        </w:p>
        <w:p w:rsidR="005A059C" w:rsidRPr="003C2FE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Deduction_for_expenditure" w:history="1">
            <w:r w:rsidR="005A059C" w:rsidRPr="003C2FE9">
              <w:rPr>
                <w:rStyle w:val="Hyperlink"/>
                <w:rFonts w:ascii="Arial" w:hAnsi="Arial" w:cs="Arial"/>
                <w:bCs/>
                <w:sz w:val="20"/>
                <w:szCs w:val="20"/>
                <w:u w:val="none"/>
              </w:rPr>
              <w:t>Deduction for expenditure on preventive health check up………….…………………………………..9</w:t>
            </w:r>
          </w:hyperlink>
        </w:p>
        <w:p w:rsidR="005A059C" w:rsidRPr="003C2FE9" w:rsidRDefault="00287397" w:rsidP="005C55E7">
          <w:pPr>
            <w:pStyle w:val="ListParagraph"/>
            <w:numPr>
              <w:ilvl w:val="0"/>
              <w:numId w:val="83"/>
            </w:numPr>
            <w:autoSpaceDE w:val="0"/>
            <w:autoSpaceDN w:val="0"/>
            <w:adjustRightInd w:val="0"/>
            <w:spacing w:after="0" w:line="240" w:lineRule="auto"/>
            <w:jc w:val="both"/>
            <w:outlineLvl w:val="0"/>
            <w:rPr>
              <w:rFonts w:ascii="Arial" w:hAnsi="Arial" w:cs="Arial"/>
              <w:bCs/>
              <w:sz w:val="20"/>
              <w:szCs w:val="20"/>
            </w:rPr>
          </w:pPr>
          <w:hyperlink w:anchor="Reduction" w:history="1">
            <w:r w:rsidR="005A059C" w:rsidRPr="003C2FE9">
              <w:rPr>
                <w:rStyle w:val="Hyperlink"/>
                <w:rFonts w:ascii="Arial" w:hAnsi="Arial" w:cs="Arial"/>
                <w:bCs/>
                <w:sz w:val="20"/>
                <w:szCs w:val="20"/>
                <w:u w:val="none"/>
              </w:rPr>
              <w:t>Reduction of elig</w:t>
            </w:r>
            <w:r w:rsidR="00812A1D">
              <w:rPr>
                <w:rStyle w:val="Hyperlink"/>
                <w:rFonts w:ascii="Arial" w:hAnsi="Arial" w:cs="Arial"/>
                <w:bCs/>
                <w:sz w:val="20"/>
                <w:szCs w:val="20"/>
                <w:u w:val="none"/>
              </w:rPr>
              <w:t>ible age for senior citizens…….…</w:t>
            </w:r>
            <w:r w:rsidR="005A059C" w:rsidRPr="003C2FE9">
              <w:rPr>
                <w:rStyle w:val="Hyperlink"/>
                <w:rFonts w:ascii="Arial" w:hAnsi="Arial" w:cs="Arial"/>
                <w:bCs/>
                <w:sz w:val="20"/>
                <w:szCs w:val="20"/>
                <w:u w:val="none"/>
              </w:rPr>
              <w:t>.…………………</w:t>
            </w:r>
            <w:r w:rsidR="00C72EF8">
              <w:rPr>
                <w:rStyle w:val="Hyperlink"/>
                <w:rFonts w:ascii="Arial" w:hAnsi="Arial" w:cs="Arial"/>
                <w:bCs/>
                <w:sz w:val="20"/>
                <w:szCs w:val="20"/>
                <w:u w:val="none"/>
              </w:rPr>
              <w:t>.</w:t>
            </w:r>
            <w:r w:rsidR="005A059C" w:rsidRPr="003C2FE9">
              <w:rPr>
                <w:rStyle w:val="Hyperlink"/>
                <w:rFonts w:ascii="Arial" w:hAnsi="Arial" w:cs="Arial"/>
                <w:bCs/>
                <w:sz w:val="20"/>
                <w:szCs w:val="20"/>
                <w:u w:val="none"/>
              </w:rPr>
              <w:t>………………………………..</w:t>
            </w:r>
            <w:r w:rsidR="00812A1D">
              <w:rPr>
                <w:rStyle w:val="Hyperlink"/>
                <w:rFonts w:ascii="Arial" w:hAnsi="Arial" w:cs="Arial"/>
                <w:bCs/>
                <w:sz w:val="20"/>
                <w:szCs w:val="20"/>
                <w:u w:val="none"/>
              </w:rPr>
              <w:t>10</w:t>
            </w:r>
          </w:hyperlink>
        </w:p>
        <w:p w:rsidR="005A059C" w:rsidRPr="003C2FE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Deduction_in_respect" w:history="1">
            <w:r w:rsidR="005A059C" w:rsidRPr="003C2FE9">
              <w:rPr>
                <w:rStyle w:val="Hyperlink"/>
                <w:rFonts w:ascii="Arial" w:hAnsi="Arial" w:cs="Arial"/>
                <w:bCs/>
                <w:sz w:val="20"/>
                <w:szCs w:val="20"/>
                <w:u w:val="none"/>
              </w:rPr>
              <w:t>Deduction in respect of Interest on deposit in saving</w:t>
            </w:r>
            <w:r w:rsidR="00812A1D">
              <w:rPr>
                <w:rStyle w:val="Hyperlink"/>
                <w:rFonts w:ascii="Arial" w:hAnsi="Arial" w:cs="Arial"/>
                <w:bCs/>
                <w:sz w:val="20"/>
                <w:szCs w:val="20"/>
                <w:u w:val="none"/>
              </w:rPr>
              <w:t xml:space="preserve"> accounts…</w:t>
            </w:r>
            <w:r w:rsidR="00C72EF8">
              <w:rPr>
                <w:rStyle w:val="Hyperlink"/>
                <w:rFonts w:ascii="Arial" w:hAnsi="Arial" w:cs="Arial"/>
                <w:bCs/>
                <w:sz w:val="20"/>
                <w:szCs w:val="20"/>
                <w:u w:val="none"/>
              </w:rPr>
              <w:t>.</w:t>
            </w:r>
            <w:r w:rsidR="00812A1D">
              <w:rPr>
                <w:rStyle w:val="Hyperlink"/>
                <w:rFonts w:ascii="Arial" w:hAnsi="Arial" w:cs="Arial"/>
                <w:bCs/>
                <w:sz w:val="20"/>
                <w:szCs w:val="20"/>
                <w:u w:val="none"/>
              </w:rPr>
              <w:t>…</w:t>
            </w:r>
            <w:r w:rsidR="008047AF" w:rsidRPr="003C2FE9">
              <w:rPr>
                <w:rStyle w:val="Hyperlink"/>
                <w:rFonts w:ascii="Arial" w:hAnsi="Arial" w:cs="Arial"/>
                <w:bCs/>
                <w:sz w:val="20"/>
                <w:szCs w:val="20"/>
                <w:u w:val="none"/>
              </w:rPr>
              <w:t>………………………...………</w:t>
            </w:r>
            <w:r w:rsidR="00812A1D">
              <w:rPr>
                <w:rStyle w:val="Hyperlink"/>
                <w:rFonts w:ascii="Arial" w:hAnsi="Arial" w:cs="Arial"/>
                <w:bCs/>
                <w:sz w:val="20"/>
                <w:szCs w:val="20"/>
                <w:u w:val="none"/>
              </w:rPr>
              <w:t>10</w:t>
            </w:r>
          </w:hyperlink>
        </w:p>
        <w:p w:rsidR="008047AF" w:rsidRPr="003C2FE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E._Rationalisation_of" w:history="1">
            <w:r w:rsidR="008047AF" w:rsidRPr="003C2FE9">
              <w:rPr>
                <w:rStyle w:val="Hyperlink"/>
                <w:rFonts w:ascii="Arial" w:hAnsi="Arial" w:cs="Arial"/>
                <w:sz w:val="20"/>
                <w:szCs w:val="20"/>
                <w:u w:val="none"/>
              </w:rPr>
              <w:t>Rationalisation of tax deduction at source…………………..…………………………………………..10</w:t>
            </w:r>
          </w:hyperlink>
        </w:p>
        <w:p w:rsidR="008047AF" w:rsidRPr="003C2FE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Deemed_date_of" w:history="1">
            <w:r w:rsidR="008047AF" w:rsidRPr="003C2FE9">
              <w:rPr>
                <w:rStyle w:val="Hyperlink"/>
                <w:rFonts w:ascii="Arial" w:hAnsi="Arial" w:cs="Arial"/>
                <w:bCs/>
                <w:sz w:val="20"/>
                <w:szCs w:val="20"/>
                <w:u w:val="none"/>
              </w:rPr>
              <w:t>Deemed Date of payment of tax by resident payee……...…………………………………………….10</w:t>
            </w:r>
          </w:hyperlink>
        </w:p>
        <w:p w:rsidR="00B84C28" w:rsidRPr="003C2FE9"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Disallowance_of_business" w:history="1">
            <w:r w:rsidR="00B84C28" w:rsidRPr="003C2FE9">
              <w:rPr>
                <w:rStyle w:val="Hyperlink"/>
                <w:rFonts w:ascii="Arial" w:hAnsi="Arial" w:cs="Arial"/>
                <w:bCs/>
                <w:sz w:val="20"/>
                <w:szCs w:val="20"/>
                <w:u w:val="none"/>
              </w:rPr>
              <w:t>Disallowance of business expenses on account of non-deduction of tax on payment to resident payee………...….…………………………………………………………………………………………..1</w:t>
            </w:r>
            <w:r w:rsidR="002C7D42">
              <w:rPr>
                <w:rStyle w:val="Hyperlink"/>
                <w:rFonts w:ascii="Arial" w:hAnsi="Arial" w:cs="Arial"/>
                <w:bCs/>
                <w:sz w:val="20"/>
                <w:szCs w:val="20"/>
                <w:u w:val="none"/>
              </w:rPr>
              <w:t>1</w:t>
            </w:r>
          </w:hyperlink>
        </w:p>
        <w:p w:rsidR="00F569E2" w:rsidRPr="00040B29"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Fees_for_delay" w:history="1">
            <w:r w:rsidR="00F569E2" w:rsidRPr="00040B29">
              <w:rPr>
                <w:rStyle w:val="Hyperlink"/>
                <w:rFonts w:ascii="Arial" w:hAnsi="Arial" w:cs="Arial"/>
                <w:bCs/>
                <w:sz w:val="20"/>
                <w:szCs w:val="20"/>
                <w:u w:val="none"/>
              </w:rPr>
              <w:t>Fees for delay in furnishing of TDS/TCS statement……………………………………………………11</w:t>
            </w:r>
          </w:hyperlink>
        </w:p>
        <w:p w:rsidR="008047AF" w:rsidRPr="00040B2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Penalty_for_delay" w:history="1">
            <w:r w:rsidR="00F569E2" w:rsidRPr="00040B29">
              <w:rPr>
                <w:rStyle w:val="Hyperlink"/>
                <w:rFonts w:ascii="Arial" w:hAnsi="Arial" w:cs="Arial"/>
                <w:bCs/>
                <w:sz w:val="20"/>
                <w:szCs w:val="20"/>
                <w:u w:val="none"/>
              </w:rPr>
              <w:t>Penalty for delay in furnishing of TDS/TCS statement &amp;</w:t>
            </w:r>
            <w:r w:rsidR="00FD6087" w:rsidRPr="00040B29">
              <w:rPr>
                <w:rStyle w:val="Hyperlink"/>
                <w:rFonts w:ascii="Arial" w:hAnsi="Arial" w:cs="Arial"/>
                <w:bCs/>
                <w:sz w:val="20"/>
                <w:szCs w:val="20"/>
                <w:u w:val="none"/>
              </w:rPr>
              <w:t xml:space="preserve"> for</w:t>
            </w:r>
            <w:r w:rsidR="00F569E2" w:rsidRPr="00040B29">
              <w:rPr>
                <w:rStyle w:val="Hyperlink"/>
                <w:rFonts w:ascii="Arial" w:hAnsi="Arial" w:cs="Arial"/>
                <w:bCs/>
                <w:sz w:val="20"/>
                <w:szCs w:val="20"/>
                <w:u w:val="none"/>
              </w:rPr>
              <w:t xml:space="preserve"> incorrect information in TDS/TCS        statement………………...………………………………………………………………………………….11</w:t>
            </w:r>
          </w:hyperlink>
        </w:p>
        <w:p w:rsidR="00FD6087" w:rsidRPr="00040B2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Intimation_after_processing" w:history="1">
            <w:r w:rsidR="00FD6087" w:rsidRPr="00040B29">
              <w:rPr>
                <w:rStyle w:val="Hyperlink"/>
                <w:rFonts w:ascii="Arial" w:hAnsi="Arial" w:cs="Arial"/>
                <w:bCs/>
                <w:sz w:val="20"/>
                <w:szCs w:val="20"/>
                <w:u w:val="none"/>
              </w:rPr>
              <w:t>Intimation after processing of TDS statement…………………………………..………………………1</w:t>
            </w:r>
            <w:r w:rsidR="002C7D42">
              <w:rPr>
                <w:rStyle w:val="Hyperlink"/>
                <w:rFonts w:ascii="Arial" w:hAnsi="Arial" w:cs="Arial"/>
                <w:bCs/>
                <w:sz w:val="20"/>
                <w:szCs w:val="20"/>
                <w:u w:val="none"/>
              </w:rPr>
              <w:t>2</w:t>
            </w:r>
          </w:hyperlink>
        </w:p>
        <w:p w:rsidR="00FD6087" w:rsidRPr="00040B2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Extension_of_time" w:history="1">
            <w:r w:rsidR="00FD6087" w:rsidRPr="00040B29">
              <w:rPr>
                <w:rStyle w:val="Hyperlink"/>
                <w:rFonts w:ascii="Arial" w:hAnsi="Arial" w:cs="Arial"/>
                <w:bCs/>
                <w:sz w:val="20"/>
                <w:szCs w:val="20"/>
                <w:u w:val="none"/>
              </w:rPr>
              <w:t>Extension of time for passing an order u/s 201 treating a person to be an assessee in default…..1</w:t>
            </w:r>
            <w:r w:rsidR="002C7D42">
              <w:rPr>
                <w:rStyle w:val="Hyperlink"/>
                <w:rFonts w:ascii="Arial" w:hAnsi="Arial" w:cs="Arial"/>
                <w:bCs/>
                <w:sz w:val="20"/>
                <w:szCs w:val="20"/>
                <w:u w:val="none"/>
              </w:rPr>
              <w:t>2</w:t>
            </w:r>
          </w:hyperlink>
        </w:p>
        <w:p w:rsidR="00CA0FBF" w:rsidRPr="00040B29"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Threshold_for_TDS" w:history="1">
            <w:r w:rsidR="00CA0FBF" w:rsidRPr="00040B29">
              <w:rPr>
                <w:rStyle w:val="Hyperlink"/>
                <w:rFonts w:ascii="Arial" w:hAnsi="Arial" w:cs="Arial"/>
                <w:bCs/>
                <w:sz w:val="20"/>
                <w:szCs w:val="20"/>
                <w:u w:val="none"/>
              </w:rPr>
              <w:t>Threshold for TDS on payment of interest on debenture……………….……………………………..12</w:t>
            </w:r>
          </w:hyperlink>
        </w:p>
        <w:p w:rsidR="00CA0FBF" w:rsidRPr="00040B29"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F._Rationalisation_of" w:history="1">
            <w:r w:rsidR="00CA0FBF" w:rsidRPr="00040B29">
              <w:rPr>
                <w:rStyle w:val="Hyperlink"/>
                <w:rFonts w:ascii="Arial" w:hAnsi="Arial" w:cs="Arial"/>
                <w:bCs/>
                <w:sz w:val="20"/>
                <w:szCs w:val="20"/>
                <w:u w:val="none"/>
              </w:rPr>
              <w:t>Rationalisation of international taxation provisions……………………….…………………………….12</w:t>
            </w:r>
          </w:hyperlink>
        </w:p>
        <w:p w:rsidR="00040B29" w:rsidRPr="004653AE"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Amendment_in_Section" w:history="1">
            <w:r w:rsidR="00040B29" w:rsidRPr="00040B29">
              <w:rPr>
                <w:rStyle w:val="Hyperlink"/>
                <w:rFonts w:ascii="Arial" w:hAnsi="Arial" w:cs="Arial"/>
                <w:sz w:val="20"/>
                <w:szCs w:val="20"/>
                <w:u w:val="none"/>
              </w:rPr>
              <w:t>Amendment in Sec. 9: Post outcome of Vodafone Verdict……...…………………………………….12</w:t>
            </w:r>
          </w:hyperlink>
        </w:p>
        <w:p w:rsidR="004653AE" w:rsidRPr="004653AE"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Further_Clarification_on" w:history="1">
            <w:r w:rsidR="004653AE" w:rsidRPr="004653AE">
              <w:rPr>
                <w:rStyle w:val="Hyperlink"/>
                <w:rFonts w:ascii="Arial" w:hAnsi="Arial" w:cs="Arial"/>
                <w:bCs/>
                <w:sz w:val="20"/>
                <w:szCs w:val="20"/>
                <w:u w:val="none"/>
              </w:rPr>
              <w:t>Further Clarification on the definition of Capital Asset………………...……………………………….13</w:t>
            </w:r>
          </w:hyperlink>
        </w:p>
        <w:p w:rsidR="004653AE" w:rsidRPr="004653AE"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Amendment_in_the" w:history="1">
            <w:r w:rsidR="004653AE" w:rsidRPr="004653AE">
              <w:rPr>
                <w:rStyle w:val="Hyperlink"/>
                <w:rFonts w:ascii="Arial" w:hAnsi="Arial" w:cs="Arial"/>
                <w:bCs/>
                <w:sz w:val="20"/>
                <w:szCs w:val="20"/>
                <w:u w:val="none"/>
              </w:rPr>
              <w:t>Amendment in Definition of transfer…………...…………………………………………………………13</w:t>
            </w:r>
          </w:hyperlink>
        </w:p>
        <w:p w:rsidR="004653AE"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Expansion_of_definition" w:history="1">
            <w:r w:rsidR="004653AE" w:rsidRPr="004653AE">
              <w:rPr>
                <w:rStyle w:val="Hyperlink"/>
                <w:rFonts w:ascii="Arial" w:hAnsi="Arial" w:cs="Arial"/>
                <w:bCs/>
                <w:sz w:val="20"/>
                <w:szCs w:val="20"/>
                <w:u w:val="none"/>
              </w:rPr>
              <w:t>Expansion of Definition of Royalty-Disposition of unsettled issue…………………………………….1</w:t>
            </w:r>
            <w:r w:rsidR="002C7D42">
              <w:rPr>
                <w:rStyle w:val="Hyperlink"/>
                <w:rFonts w:ascii="Arial" w:hAnsi="Arial" w:cs="Arial"/>
                <w:bCs/>
                <w:sz w:val="20"/>
                <w:szCs w:val="20"/>
                <w:u w:val="none"/>
              </w:rPr>
              <w:t>4</w:t>
            </w:r>
          </w:hyperlink>
        </w:p>
        <w:p w:rsidR="00E3336D" w:rsidRPr="0063557C"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Amendments_in_Withholding" w:history="1">
            <w:r w:rsidR="00E3336D" w:rsidRPr="0063557C">
              <w:rPr>
                <w:rStyle w:val="Hyperlink"/>
                <w:rFonts w:ascii="Arial" w:hAnsi="Arial" w:cs="Arial"/>
                <w:bCs/>
                <w:sz w:val="20"/>
                <w:szCs w:val="20"/>
                <w:u w:val="none"/>
              </w:rPr>
              <w:t>Amendments in Withholding of Taxes………………………</w:t>
            </w:r>
            <w:r w:rsidR="00876BDB" w:rsidRPr="0063557C">
              <w:rPr>
                <w:rStyle w:val="Hyperlink"/>
                <w:rFonts w:ascii="Arial" w:hAnsi="Arial" w:cs="Arial"/>
                <w:bCs/>
                <w:sz w:val="20"/>
                <w:szCs w:val="20"/>
                <w:u w:val="none"/>
              </w:rPr>
              <w:t>.</w:t>
            </w:r>
            <w:r w:rsidR="00E3336D" w:rsidRPr="0063557C">
              <w:rPr>
                <w:rStyle w:val="Hyperlink"/>
                <w:rFonts w:ascii="Arial" w:hAnsi="Arial" w:cs="Arial"/>
                <w:bCs/>
                <w:sz w:val="20"/>
                <w:szCs w:val="20"/>
                <w:u w:val="none"/>
              </w:rPr>
              <w:t>…………………………………………..14</w:t>
            </w:r>
          </w:hyperlink>
        </w:p>
        <w:p w:rsidR="00876BDB" w:rsidRPr="0063557C" w:rsidRDefault="00287397" w:rsidP="005C55E7">
          <w:pPr>
            <w:pStyle w:val="ListParagraph"/>
            <w:numPr>
              <w:ilvl w:val="0"/>
              <w:numId w:val="83"/>
            </w:numPr>
            <w:autoSpaceDE w:val="0"/>
            <w:autoSpaceDN w:val="0"/>
            <w:adjustRightInd w:val="0"/>
            <w:spacing w:after="0" w:line="240" w:lineRule="auto"/>
            <w:jc w:val="both"/>
            <w:rPr>
              <w:rFonts w:ascii="Arial" w:hAnsi="Arial" w:cs="Arial"/>
              <w:bCs/>
              <w:sz w:val="20"/>
              <w:szCs w:val="20"/>
            </w:rPr>
          </w:pPr>
          <w:hyperlink w:anchor="_Validation_clause_for" w:history="1">
            <w:r w:rsidR="00876BDB" w:rsidRPr="0063557C">
              <w:rPr>
                <w:rStyle w:val="Hyperlink"/>
                <w:rFonts w:ascii="Arial" w:hAnsi="Arial" w:cs="Arial"/>
                <w:bCs/>
                <w:sz w:val="20"/>
                <w:szCs w:val="20"/>
                <w:u w:val="none"/>
              </w:rPr>
              <w:t>Validation Clause for notice issued for non-withholding of tax on cross border transaction……….14</w:t>
            </w:r>
          </w:hyperlink>
        </w:p>
        <w:p w:rsidR="00876BDB" w:rsidRPr="0063557C" w:rsidRDefault="00287397" w:rsidP="005C55E7">
          <w:pPr>
            <w:pStyle w:val="ListParagraph"/>
            <w:numPr>
              <w:ilvl w:val="0"/>
              <w:numId w:val="83"/>
            </w:numPr>
            <w:autoSpaceDE w:val="0"/>
            <w:autoSpaceDN w:val="0"/>
            <w:adjustRightInd w:val="0"/>
            <w:spacing w:after="0" w:line="240" w:lineRule="auto"/>
            <w:jc w:val="both"/>
            <w:rPr>
              <w:rStyle w:val="Hyperlink"/>
              <w:rFonts w:ascii="Arial" w:hAnsi="Arial" w:cs="Arial"/>
              <w:sz w:val="20"/>
              <w:szCs w:val="20"/>
              <w:u w:val="none"/>
            </w:rPr>
          </w:pPr>
          <w:r w:rsidRPr="0063557C">
            <w:rPr>
              <w:rFonts w:ascii="Arial" w:hAnsi="Arial" w:cs="Arial"/>
              <w:sz w:val="20"/>
              <w:szCs w:val="20"/>
            </w:rPr>
            <w:fldChar w:fldCharType="begin"/>
          </w:r>
          <w:r w:rsidR="00876BDB" w:rsidRPr="0063557C">
            <w:rPr>
              <w:rFonts w:ascii="Arial" w:hAnsi="Arial" w:cs="Arial"/>
              <w:sz w:val="20"/>
              <w:szCs w:val="20"/>
            </w:rPr>
            <w:instrText xml:space="preserve"> HYPERLINK  \l "_Extension_of_time_1" </w:instrText>
          </w:r>
          <w:r w:rsidRPr="0063557C">
            <w:rPr>
              <w:rFonts w:ascii="Arial" w:hAnsi="Arial" w:cs="Arial"/>
              <w:sz w:val="20"/>
              <w:szCs w:val="20"/>
            </w:rPr>
            <w:fldChar w:fldCharType="separate"/>
          </w:r>
          <w:r w:rsidR="00876BDB" w:rsidRPr="0063557C">
            <w:rPr>
              <w:rStyle w:val="Hyperlink"/>
              <w:rFonts w:ascii="Arial" w:hAnsi="Arial" w:cs="Arial"/>
              <w:sz w:val="20"/>
              <w:szCs w:val="20"/>
              <w:u w:val="none"/>
            </w:rPr>
            <w:t xml:space="preserve">Extension of time limit for completion of assessment &amp; reassessment where information is </w:t>
          </w:r>
        </w:p>
        <w:p w:rsidR="00876BDB" w:rsidRPr="0063557C" w:rsidRDefault="00C72EF8" w:rsidP="005C55E7">
          <w:pPr>
            <w:autoSpaceDE w:val="0"/>
            <w:autoSpaceDN w:val="0"/>
            <w:adjustRightInd w:val="0"/>
            <w:spacing w:after="0" w:line="240" w:lineRule="auto"/>
            <w:ind w:left="450" w:hanging="450"/>
            <w:jc w:val="both"/>
            <w:rPr>
              <w:rFonts w:ascii="Arial" w:hAnsi="Arial" w:cs="Arial"/>
              <w:sz w:val="20"/>
              <w:szCs w:val="20"/>
            </w:rPr>
          </w:pPr>
          <w:r>
            <w:rPr>
              <w:rStyle w:val="Hyperlink"/>
              <w:rFonts w:ascii="Arial" w:hAnsi="Arial" w:cs="Arial"/>
              <w:sz w:val="20"/>
              <w:szCs w:val="20"/>
              <w:u w:val="none"/>
            </w:rPr>
            <w:t xml:space="preserve">       </w:t>
          </w:r>
          <w:r w:rsidR="00876BDB" w:rsidRPr="0063557C">
            <w:rPr>
              <w:rStyle w:val="Hyperlink"/>
              <w:rFonts w:ascii="Arial" w:hAnsi="Arial" w:cs="Arial"/>
              <w:sz w:val="20"/>
              <w:szCs w:val="20"/>
              <w:u w:val="none"/>
            </w:rPr>
            <w:t>sought under the D</w:t>
          </w:r>
          <w:r>
            <w:rPr>
              <w:rStyle w:val="Hyperlink"/>
              <w:rFonts w:ascii="Arial" w:hAnsi="Arial" w:cs="Arial"/>
              <w:sz w:val="20"/>
              <w:szCs w:val="20"/>
              <w:u w:val="none"/>
            </w:rPr>
            <w:t>TAA……………………………………</w:t>
          </w:r>
          <w:r w:rsidR="00876BDB" w:rsidRPr="0063557C">
            <w:rPr>
              <w:rStyle w:val="Hyperlink"/>
              <w:rFonts w:ascii="Arial" w:hAnsi="Arial" w:cs="Arial"/>
              <w:sz w:val="20"/>
              <w:szCs w:val="20"/>
              <w:u w:val="none"/>
            </w:rPr>
            <w:t>…………………………………………</w:t>
          </w:r>
          <w:r>
            <w:rPr>
              <w:rStyle w:val="Hyperlink"/>
              <w:rFonts w:ascii="Arial" w:hAnsi="Arial" w:cs="Arial"/>
              <w:sz w:val="20"/>
              <w:szCs w:val="20"/>
              <w:u w:val="none"/>
            </w:rPr>
            <w:t>...</w:t>
          </w:r>
          <w:r w:rsidR="00876BDB" w:rsidRPr="0063557C">
            <w:rPr>
              <w:rStyle w:val="Hyperlink"/>
              <w:rFonts w:ascii="Arial" w:hAnsi="Arial" w:cs="Arial"/>
              <w:sz w:val="20"/>
              <w:szCs w:val="20"/>
              <w:u w:val="none"/>
            </w:rPr>
            <w:t>…1</w:t>
          </w:r>
          <w:r w:rsidR="002C7D42">
            <w:rPr>
              <w:rStyle w:val="Hyperlink"/>
              <w:rFonts w:ascii="Arial" w:hAnsi="Arial" w:cs="Arial"/>
              <w:sz w:val="20"/>
              <w:szCs w:val="20"/>
              <w:u w:val="none"/>
            </w:rPr>
            <w:t>5</w:t>
          </w:r>
          <w:r w:rsidR="00287397" w:rsidRPr="0063557C">
            <w:rPr>
              <w:rFonts w:ascii="Arial" w:hAnsi="Arial" w:cs="Arial"/>
              <w:sz w:val="20"/>
              <w:szCs w:val="20"/>
            </w:rPr>
            <w:fldChar w:fldCharType="end"/>
          </w:r>
        </w:p>
        <w:p w:rsidR="00876BDB" w:rsidRPr="0063557C"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G._Rationalisation_of" w:history="1">
            <w:r w:rsidR="00876BDB" w:rsidRPr="0063557C">
              <w:rPr>
                <w:rStyle w:val="Hyperlink"/>
                <w:rFonts w:ascii="Arial" w:hAnsi="Arial" w:cs="Arial"/>
                <w:sz w:val="20"/>
                <w:szCs w:val="20"/>
                <w:u w:val="none"/>
              </w:rPr>
              <w:t>Rationalisation of transfer pricing provisions……………………………………………………………15</w:t>
            </w:r>
          </w:hyperlink>
        </w:p>
        <w:p w:rsidR="000E67D5" w:rsidRPr="0063557C"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Advance_price_agreement" w:history="1">
            <w:r w:rsidR="000E67D5" w:rsidRPr="0063557C">
              <w:rPr>
                <w:rStyle w:val="Hyperlink"/>
                <w:rFonts w:ascii="Arial" w:hAnsi="Arial" w:cs="Arial"/>
                <w:sz w:val="20"/>
                <w:szCs w:val="20"/>
                <w:u w:val="none"/>
              </w:rPr>
              <w:t>Advance pricing agreement(APA)……………………….……………………………………………….15</w:t>
            </w:r>
          </w:hyperlink>
        </w:p>
        <w:p w:rsidR="000E67D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H._General_anti-avoidance" w:history="1">
            <w:r w:rsidR="000E67D5" w:rsidRPr="0063557C">
              <w:rPr>
                <w:rStyle w:val="Hyperlink"/>
                <w:rFonts w:ascii="Arial" w:hAnsi="Arial" w:cs="Arial"/>
                <w:sz w:val="20"/>
                <w:szCs w:val="20"/>
                <w:u w:val="none"/>
              </w:rPr>
              <w:t>General anti-avoidance Rule (GAAR)………………….………………</w:t>
            </w:r>
            <w:r w:rsidR="0063557C" w:rsidRPr="0063557C">
              <w:rPr>
                <w:rStyle w:val="Hyperlink"/>
                <w:rFonts w:ascii="Arial" w:hAnsi="Arial" w:cs="Arial"/>
                <w:sz w:val="20"/>
                <w:szCs w:val="20"/>
                <w:u w:val="none"/>
              </w:rPr>
              <w:t>.</w:t>
            </w:r>
            <w:r w:rsidR="000E67D5" w:rsidRPr="0063557C">
              <w:rPr>
                <w:rStyle w:val="Hyperlink"/>
                <w:rFonts w:ascii="Arial" w:hAnsi="Arial" w:cs="Arial"/>
                <w:sz w:val="20"/>
                <w:szCs w:val="20"/>
                <w:u w:val="none"/>
              </w:rPr>
              <w:t>……………………………….1</w:t>
            </w:r>
            <w:r w:rsidR="002C7D42">
              <w:rPr>
                <w:rStyle w:val="Hyperlink"/>
                <w:rFonts w:ascii="Arial" w:hAnsi="Arial" w:cs="Arial"/>
                <w:sz w:val="20"/>
                <w:szCs w:val="20"/>
                <w:u w:val="none"/>
              </w:rPr>
              <w:t>6</w:t>
            </w:r>
          </w:hyperlink>
        </w:p>
        <w:p w:rsidR="002A33A5" w:rsidRPr="002A33A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I._Other_clarifications" w:history="1">
            <w:r w:rsidR="002A33A5" w:rsidRPr="002A33A5">
              <w:rPr>
                <w:rStyle w:val="Hyperlink"/>
                <w:rFonts w:ascii="Arial" w:hAnsi="Arial" w:cs="Arial"/>
                <w:sz w:val="20"/>
                <w:szCs w:val="20"/>
                <w:u w:val="none"/>
              </w:rPr>
              <w:t>Other clarifications…………………………………………………………………………………………17</w:t>
            </w:r>
          </w:hyperlink>
        </w:p>
        <w:p w:rsidR="002A33A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Extension_of_Time_2" w:history="1">
            <w:r w:rsidR="002A33A5" w:rsidRPr="002A33A5">
              <w:rPr>
                <w:rStyle w:val="Hyperlink"/>
                <w:rFonts w:ascii="Arial" w:hAnsi="Arial" w:cs="Arial"/>
                <w:sz w:val="20"/>
                <w:szCs w:val="20"/>
                <w:u w:val="none"/>
              </w:rPr>
              <w:t>Extension for time limit for completion of assessment &amp; reassessment……...……………………...17</w:t>
            </w:r>
          </w:hyperlink>
        </w:p>
        <w:p w:rsidR="00A4622F" w:rsidRPr="00504155" w:rsidRDefault="00287397" w:rsidP="005C55E7">
          <w:pPr>
            <w:pStyle w:val="ListParagraph"/>
            <w:numPr>
              <w:ilvl w:val="0"/>
              <w:numId w:val="83"/>
            </w:numPr>
            <w:autoSpaceDE w:val="0"/>
            <w:autoSpaceDN w:val="0"/>
            <w:adjustRightInd w:val="0"/>
            <w:spacing w:after="0" w:line="240" w:lineRule="auto"/>
            <w:jc w:val="both"/>
            <w:rPr>
              <w:rStyle w:val="Hyperlink"/>
              <w:rFonts w:ascii="Arial" w:hAnsi="Arial" w:cs="Arial"/>
              <w:bCs/>
              <w:sz w:val="20"/>
              <w:szCs w:val="20"/>
              <w:u w:val="none"/>
            </w:rPr>
          </w:pPr>
          <w:r w:rsidRPr="00504155">
            <w:rPr>
              <w:rFonts w:ascii="Arial" w:hAnsi="Arial" w:cs="Arial"/>
              <w:bCs/>
              <w:sz w:val="20"/>
              <w:szCs w:val="20"/>
            </w:rPr>
            <w:fldChar w:fldCharType="begin"/>
          </w:r>
          <w:r w:rsidR="00A4622F" w:rsidRPr="00504155">
            <w:rPr>
              <w:rFonts w:ascii="Arial" w:hAnsi="Arial" w:cs="Arial"/>
              <w:bCs/>
              <w:sz w:val="20"/>
              <w:szCs w:val="20"/>
            </w:rPr>
            <w:instrText xml:space="preserve"> HYPERLINK  \l "_Due_date_for" </w:instrText>
          </w:r>
          <w:r w:rsidRPr="00504155">
            <w:rPr>
              <w:rFonts w:ascii="Arial" w:hAnsi="Arial" w:cs="Arial"/>
              <w:bCs/>
              <w:sz w:val="20"/>
              <w:szCs w:val="20"/>
            </w:rPr>
            <w:fldChar w:fldCharType="separate"/>
          </w:r>
          <w:r w:rsidR="00A4622F" w:rsidRPr="00504155">
            <w:rPr>
              <w:rStyle w:val="Hyperlink"/>
              <w:rFonts w:ascii="Arial" w:hAnsi="Arial" w:cs="Arial"/>
              <w:bCs/>
              <w:sz w:val="20"/>
              <w:szCs w:val="20"/>
              <w:u w:val="none"/>
            </w:rPr>
            <w:t>Due date for furnishing audit report in case of international transactions……………………………18</w:t>
          </w:r>
        </w:p>
        <w:p w:rsidR="00A4622F"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r w:rsidRPr="00504155">
            <w:rPr>
              <w:rFonts w:ascii="Arial" w:hAnsi="Arial" w:cs="Arial"/>
              <w:bCs/>
              <w:sz w:val="20"/>
              <w:szCs w:val="20"/>
            </w:rPr>
            <w:fldChar w:fldCharType="end"/>
          </w:r>
          <w:hyperlink w:anchor="_Minimum_Alternate_Tax" w:history="1">
            <w:r w:rsidR="00A4622F" w:rsidRPr="00504155">
              <w:rPr>
                <w:rStyle w:val="Hyperlink"/>
                <w:rFonts w:ascii="Arial" w:hAnsi="Arial" w:cs="Arial"/>
                <w:bCs/>
                <w:sz w:val="20"/>
                <w:szCs w:val="20"/>
                <w:u w:val="none"/>
              </w:rPr>
              <w:t>Minimum Alternate Tax (MAT) u/s 115JB………….……………………………………………………18</w:t>
            </w:r>
          </w:hyperlink>
        </w:p>
        <w:p w:rsidR="00A4622F"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Liability_to_pay" w:history="1">
            <w:r w:rsidR="00A4622F" w:rsidRPr="00504155">
              <w:rPr>
                <w:rStyle w:val="Hyperlink"/>
                <w:rFonts w:ascii="Arial" w:hAnsi="Arial" w:cs="Arial"/>
                <w:sz w:val="20"/>
                <w:szCs w:val="20"/>
                <w:u w:val="none"/>
              </w:rPr>
              <w:t>Liability to pay tax in case on non- deduction of tax…………...……………………………………….1</w:t>
            </w:r>
            <w:r w:rsidR="002C7D42">
              <w:rPr>
                <w:rStyle w:val="Hyperlink"/>
                <w:rFonts w:ascii="Arial" w:hAnsi="Arial" w:cs="Arial"/>
                <w:sz w:val="20"/>
                <w:szCs w:val="20"/>
                <w:u w:val="none"/>
              </w:rPr>
              <w:t>9</w:t>
            </w:r>
          </w:hyperlink>
        </w:p>
        <w:p w:rsidR="00363559"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Rate_of_tax" w:history="1">
            <w:r w:rsidR="00363559" w:rsidRPr="00504155">
              <w:rPr>
                <w:rStyle w:val="Hyperlink"/>
                <w:rFonts w:ascii="Arial" w:hAnsi="Arial" w:cs="Arial"/>
                <w:bCs/>
                <w:sz w:val="20"/>
                <w:szCs w:val="20"/>
                <w:u w:val="none"/>
              </w:rPr>
              <w:t>Rate of tax for short term capital gain under Section 111A…….……………………………………..19</w:t>
            </w:r>
          </w:hyperlink>
        </w:p>
        <w:p w:rsidR="00363559"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Consideration_received_by" w:history="1">
            <w:r w:rsidR="00363559" w:rsidRPr="00504155">
              <w:rPr>
                <w:rStyle w:val="Hyperlink"/>
                <w:rFonts w:ascii="Arial" w:hAnsi="Arial" w:cs="Arial"/>
                <w:sz w:val="20"/>
                <w:szCs w:val="20"/>
                <w:u w:val="none"/>
              </w:rPr>
              <w:t>Consideration received by closely held company for issue of Shares…………...…………………..19</w:t>
            </w:r>
          </w:hyperlink>
        </w:p>
        <w:p w:rsidR="00363559"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Processing_of_return" w:history="1">
            <w:r w:rsidR="00363559" w:rsidRPr="00504155">
              <w:rPr>
                <w:rStyle w:val="Hyperlink"/>
                <w:rFonts w:ascii="Arial" w:hAnsi="Arial" w:cs="Arial"/>
                <w:sz w:val="20"/>
                <w:szCs w:val="20"/>
                <w:u w:val="none"/>
              </w:rPr>
              <w:t>Processing of return of Income where Scrutiny notice issued…………..…………………………….</w:t>
            </w:r>
            <w:r w:rsidR="002C7D42">
              <w:rPr>
                <w:rStyle w:val="Hyperlink"/>
                <w:rFonts w:ascii="Arial" w:hAnsi="Arial" w:cs="Arial"/>
                <w:sz w:val="20"/>
                <w:szCs w:val="20"/>
                <w:u w:val="none"/>
              </w:rPr>
              <w:t>20</w:t>
            </w:r>
          </w:hyperlink>
        </w:p>
        <w:p w:rsidR="0035436A"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Prohibition_of_cash" w:history="1">
            <w:r w:rsidR="0035436A" w:rsidRPr="00504155">
              <w:rPr>
                <w:rStyle w:val="Hyperlink"/>
                <w:rFonts w:ascii="Arial" w:hAnsi="Arial" w:cs="Arial"/>
                <w:bCs/>
                <w:sz w:val="20"/>
                <w:szCs w:val="20"/>
                <w:u w:val="none"/>
              </w:rPr>
              <w:t>Prohibition of cash donation………………………………………………………………………………20</w:t>
            </w:r>
          </w:hyperlink>
        </w:p>
        <w:p w:rsidR="00363559"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Eligibility" w:history="1">
            <w:r w:rsidR="00504155" w:rsidRPr="00504155">
              <w:rPr>
                <w:rStyle w:val="Hyperlink"/>
                <w:rFonts w:ascii="Arial" w:hAnsi="Arial" w:cs="Arial"/>
                <w:bCs/>
                <w:sz w:val="20"/>
                <w:szCs w:val="20"/>
                <w:u w:val="none"/>
              </w:rPr>
              <w:t>Eligibility conditions for exempt life insurance policies…………………………………………………20</w:t>
            </w:r>
          </w:hyperlink>
        </w:p>
        <w:p w:rsid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Eligibility_condition_for" w:history="1">
            <w:r w:rsidR="00504155" w:rsidRPr="00044EB0">
              <w:rPr>
                <w:rStyle w:val="Hyperlink"/>
                <w:rFonts w:ascii="Arial" w:hAnsi="Arial" w:cs="Arial"/>
                <w:sz w:val="20"/>
                <w:szCs w:val="20"/>
              </w:rPr>
              <w:t>Eligibility condition for deduction in respect of life insurance policies…</w:t>
            </w:r>
            <w:r w:rsidR="00553DC2" w:rsidRPr="00044EB0">
              <w:rPr>
                <w:rStyle w:val="Hyperlink"/>
                <w:rFonts w:ascii="Arial" w:hAnsi="Arial" w:cs="Arial"/>
                <w:sz w:val="20"/>
                <w:szCs w:val="20"/>
              </w:rPr>
              <w:t>.</w:t>
            </w:r>
            <w:r w:rsidR="00504155" w:rsidRPr="00044EB0">
              <w:rPr>
                <w:rStyle w:val="Hyperlink"/>
                <w:rFonts w:ascii="Arial" w:hAnsi="Arial" w:cs="Arial"/>
                <w:sz w:val="20"/>
                <w:szCs w:val="20"/>
              </w:rPr>
              <w:t>…………………………….2</w:t>
            </w:r>
            <w:r w:rsidR="00553DC2" w:rsidRPr="00044EB0">
              <w:rPr>
                <w:rStyle w:val="Hyperlink"/>
                <w:rFonts w:ascii="Arial" w:hAnsi="Arial" w:cs="Arial"/>
                <w:sz w:val="20"/>
                <w:szCs w:val="20"/>
              </w:rPr>
              <w:t>0</w:t>
            </w:r>
          </w:hyperlink>
        </w:p>
        <w:p w:rsid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2._INDIRECT_TAX" w:history="1">
            <w:r w:rsidR="00553DC2" w:rsidRPr="00553DC2">
              <w:rPr>
                <w:rStyle w:val="Hyperlink"/>
                <w:rFonts w:ascii="Arial" w:hAnsi="Arial" w:cs="Arial"/>
                <w:sz w:val="20"/>
                <w:szCs w:val="20"/>
              </w:rPr>
              <w:t>Indirect Tax Amendments…………..………………………………………………………………...…..21</w:t>
            </w:r>
          </w:hyperlink>
        </w:p>
        <w:p w:rsidR="00553DC2"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A._Service_Tax" w:history="1">
            <w:r w:rsidR="00553DC2" w:rsidRPr="00553DC2">
              <w:rPr>
                <w:rStyle w:val="Hyperlink"/>
                <w:rFonts w:ascii="Arial" w:hAnsi="Arial" w:cs="Arial"/>
                <w:sz w:val="20"/>
                <w:szCs w:val="20"/>
              </w:rPr>
              <w:t xml:space="preserve">Service Tax </w:t>
            </w:r>
            <w:r w:rsidR="00553DC2">
              <w:rPr>
                <w:rStyle w:val="Hyperlink"/>
                <w:rFonts w:ascii="Arial" w:hAnsi="Arial" w:cs="Arial"/>
                <w:sz w:val="20"/>
                <w:szCs w:val="20"/>
              </w:rPr>
              <w:t>…...</w:t>
            </w:r>
            <w:r w:rsidR="00553DC2" w:rsidRPr="00553DC2">
              <w:rPr>
                <w:rStyle w:val="Hyperlink"/>
                <w:rFonts w:ascii="Arial" w:hAnsi="Arial" w:cs="Arial"/>
                <w:sz w:val="20"/>
                <w:szCs w:val="20"/>
              </w:rPr>
              <w:t>……….……………………………..…………………………………………………….21</w:t>
            </w:r>
          </w:hyperlink>
        </w:p>
        <w:p w:rsidR="00553DC2" w:rsidRPr="00504155" w:rsidRDefault="00287397" w:rsidP="005C55E7">
          <w:pPr>
            <w:pStyle w:val="ListParagraph"/>
            <w:numPr>
              <w:ilvl w:val="0"/>
              <w:numId w:val="83"/>
            </w:numPr>
            <w:autoSpaceDE w:val="0"/>
            <w:autoSpaceDN w:val="0"/>
            <w:adjustRightInd w:val="0"/>
            <w:spacing w:after="0" w:line="240" w:lineRule="auto"/>
            <w:jc w:val="both"/>
            <w:rPr>
              <w:rFonts w:ascii="Arial" w:hAnsi="Arial" w:cs="Arial"/>
              <w:sz w:val="20"/>
              <w:szCs w:val="20"/>
            </w:rPr>
          </w:pPr>
          <w:hyperlink w:anchor="_Negative_List_of" w:history="1">
            <w:r w:rsidR="00553DC2" w:rsidRPr="00553DC2">
              <w:rPr>
                <w:rStyle w:val="Hyperlink"/>
                <w:rFonts w:ascii="Arial" w:hAnsi="Arial" w:cs="Arial"/>
                <w:sz w:val="20"/>
                <w:szCs w:val="20"/>
              </w:rPr>
              <w:t>Negative List</w:t>
            </w:r>
            <w:r w:rsidR="00553DC2">
              <w:rPr>
                <w:rStyle w:val="Hyperlink"/>
                <w:rFonts w:ascii="Arial" w:hAnsi="Arial" w:cs="Arial"/>
                <w:sz w:val="20"/>
                <w:szCs w:val="20"/>
              </w:rPr>
              <w:t xml:space="preserve"> of Services</w:t>
            </w:r>
            <w:r w:rsidR="00553DC2" w:rsidRPr="00553DC2">
              <w:rPr>
                <w:rStyle w:val="Hyperlink"/>
                <w:rFonts w:ascii="Arial" w:hAnsi="Arial" w:cs="Arial"/>
                <w:sz w:val="20"/>
                <w:szCs w:val="20"/>
              </w:rPr>
              <w:t>……………</w:t>
            </w:r>
            <w:r w:rsidR="00553DC2">
              <w:rPr>
                <w:rStyle w:val="Hyperlink"/>
                <w:rFonts w:ascii="Arial" w:hAnsi="Arial" w:cs="Arial"/>
                <w:sz w:val="20"/>
                <w:szCs w:val="20"/>
              </w:rPr>
              <w:t>...</w:t>
            </w:r>
            <w:r w:rsidR="00553DC2" w:rsidRPr="00553DC2">
              <w:rPr>
                <w:rStyle w:val="Hyperlink"/>
                <w:rFonts w:ascii="Arial" w:hAnsi="Arial" w:cs="Arial"/>
                <w:sz w:val="20"/>
                <w:szCs w:val="20"/>
              </w:rPr>
              <w:t>…………………………………………………………………..21</w:t>
            </w:r>
          </w:hyperlink>
        </w:p>
        <w:p w:rsidR="004653AE" w:rsidRPr="00876BDB" w:rsidRDefault="00876BDB" w:rsidP="005C55E7">
          <w:pPr>
            <w:autoSpaceDE w:val="0"/>
            <w:autoSpaceDN w:val="0"/>
            <w:adjustRightInd w:val="0"/>
            <w:spacing w:after="0" w:line="240" w:lineRule="auto"/>
            <w:jc w:val="both"/>
            <w:rPr>
              <w:rFonts w:ascii="Arial" w:hAnsi="Arial" w:cs="Arial"/>
              <w:sz w:val="20"/>
              <w:szCs w:val="20"/>
            </w:rPr>
          </w:pPr>
          <w:r w:rsidRPr="00876BDB">
            <w:rPr>
              <w:rFonts w:ascii="Arial" w:hAnsi="Arial" w:cs="Arial"/>
              <w:sz w:val="20"/>
              <w:szCs w:val="20"/>
            </w:rPr>
            <w:t xml:space="preserve">  </w:t>
          </w:r>
        </w:p>
        <w:p w:rsidR="008047AF" w:rsidRPr="005A059C" w:rsidRDefault="008047AF" w:rsidP="005C55E7">
          <w:pPr>
            <w:pStyle w:val="ListParagraph"/>
            <w:autoSpaceDE w:val="0"/>
            <w:autoSpaceDN w:val="0"/>
            <w:adjustRightInd w:val="0"/>
            <w:spacing w:after="0" w:line="240" w:lineRule="auto"/>
            <w:ind w:left="360"/>
            <w:jc w:val="both"/>
            <w:rPr>
              <w:rFonts w:ascii="Arial" w:hAnsi="Arial" w:cs="Arial"/>
              <w:bCs/>
              <w:sz w:val="20"/>
              <w:szCs w:val="20"/>
            </w:rPr>
          </w:pPr>
        </w:p>
        <w:p w:rsidR="0044083A" w:rsidRPr="0044083A" w:rsidRDefault="0044083A" w:rsidP="005C55E7">
          <w:pPr>
            <w:autoSpaceDE w:val="0"/>
            <w:autoSpaceDN w:val="0"/>
            <w:adjustRightInd w:val="0"/>
            <w:spacing w:after="0" w:line="240" w:lineRule="auto"/>
            <w:jc w:val="both"/>
            <w:outlineLvl w:val="0"/>
            <w:rPr>
              <w:rFonts w:ascii="Arial" w:hAnsi="Arial" w:cs="Arial"/>
              <w:bCs/>
              <w:sz w:val="20"/>
              <w:szCs w:val="20"/>
            </w:rPr>
          </w:pPr>
        </w:p>
        <w:p w:rsidR="0044083A" w:rsidRPr="000D60F8" w:rsidRDefault="0044083A" w:rsidP="005C55E7">
          <w:pPr>
            <w:autoSpaceDE w:val="0"/>
            <w:autoSpaceDN w:val="0"/>
            <w:adjustRightInd w:val="0"/>
            <w:spacing w:after="0" w:line="240" w:lineRule="auto"/>
            <w:jc w:val="both"/>
            <w:rPr>
              <w:rFonts w:ascii="Arial" w:hAnsi="Arial" w:cs="Arial"/>
              <w:bCs/>
              <w:sz w:val="20"/>
              <w:szCs w:val="20"/>
            </w:rPr>
          </w:pPr>
        </w:p>
        <w:p w:rsidR="000D60F8" w:rsidRPr="000D60F8" w:rsidRDefault="000D60F8" w:rsidP="005C55E7">
          <w:pPr>
            <w:autoSpaceDE w:val="0"/>
            <w:autoSpaceDN w:val="0"/>
            <w:adjustRightInd w:val="0"/>
            <w:spacing w:after="0" w:line="240" w:lineRule="auto"/>
            <w:jc w:val="both"/>
            <w:rPr>
              <w:rFonts w:ascii="Arial" w:hAnsi="Arial" w:cs="Arial"/>
              <w:sz w:val="20"/>
              <w:szCs w:val="20"/>
            </w:rPr>
          </w:pPr>
        </w:p>
        <w:p w:rsidR="00E16BAC" w:rsidRPr="00E16BAC" w:rsidRDefault="00E16BAC" w:rsidP="005C55E7">
          <w:pPr>
            <w:autoSpaceDE w:val="0"/>
            <w:autoSpaceDN w:val="0"/>
            <w:adjustRightInd w:val="0"/>
            <w:spacing w:after="0" w:line="240" w:lineRule="auto"/>
            <w:jc w:val="both"/>
            <w:rPr>
              <w:rFonts w:ascii="Arial" w:hAnsi="Arial" w:cs="Arial"/>
              <w:bCs/>
              <w:sz w:val="20"/>
              <w:szCs w:val="20"/>
            </w:rPr>
          </w:pPr>
        </w:p>
        <w:p w:rsidR="00E16BAC" w:rsidRPr="00E16BAC" w:rsidRDefault="00E16BAC" w:rsidP="005C55E7">
          <w:pPr>
            <w:autoSpaceDE w:val="0"/>
            <w:autoSpaceDN w:val="0"/>
            <w:adjustRightInd w:val="0"/>
            <w:spacing w:after="0" w:line="240" w:lineRule="auto"/>
            <w:jc w:val="both"/>
            <w:rPr>
              <w:rFonts w:ascii="Arial" w:hAnsi="Arial" w:cs="Arial"/>
              <w:bCs/>
              <w:sz w:val="20"/>
              <w:szCs w:val="20"/>
            </w:rPr>
          </w:pPr>
        </w:p>
        <w:p w:rsidR="00E16BAC" w:rsidRDefault="00E16BAC" w:rsidP="005C55E7">
          <w:pPr>
            <w:spacing w:line="240" w:lineRule="auto"/>
            <w:jc w:val="both"/>
          </w:pPr>
        </w:p>
        <w:p w:rsidR="00E16BAC" w:rsidRPr="00E16BAC" w:rsidRDefault="00E16BAC" w:rsidP="005C55E7">
          <w:pPr>
            <w:spacing w:line="240" w:lineRule="auto"/>
            <w:jc w:val="both"/>
          </w:pPr>
        </w:p>
        <w:p w:rsidR="005C56E2" w:rsidRDefault="00287397" w:rsidP="005C55E7">
          <w:pPr>
            <w:pStyle w:val="TOC2"/>
            <w:spacing w:line="240" w:lineRule="auto"/>
            <w:ind w:left="0"/>
            <w:jc w:val="both"/>
          </w:pPr>
        </w:p>
      </w:sdtContent>
    </w:sdt>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5C56E2" w:rsidRDefault="005C56E2" w:rsidP="005C55E7">
      <w:pPr>
        <w:spacing w:line="240" w:lineRule="auto"/>
        <w:jc w:val="both"/>
        <w:rPr>
          <w:rFonts w:ascii="Arial" w:hAnsi="Arial" w:cs="Arial"/>
          <w:b/>
          <w:sz w:val="32"/>
          <w:szCs w:val="32"/>
          <w:u w:val="single"/>
        </w:rPr>
      </w:pPr>
    </w:p>
    <w:p w:rsidR="007A4626" w:rsidRPr="00497D67" w:rsidRDefault="009D03D2" w:rsidP="005C55E7">
      <w:pPr>
        <w:shd w:val="clear" w:color="auto" w:fill="000000" w:themeFill="text1"/>
        <w:spacing w:line="240" w:lineRule="auto"/>
        <w:jc w:val="center"/>
        <w:rPr>
          <w:rFonts w:ascii="Arial" w:hAnsi="Arial" w:cs="Arial"/>
          <w:b/>
          <w:sz w:val="32"/>
          <w:szCs w:val="32"/>
          <w:u w:val="single"/>
        </w:rPr>
      </w:pPr>
      <w:r w:rsidRPr="00497D67">
        <w:rPr>
          <w:rFonts w:ascii="Arial" w:hAnsi="Arial" w:cs="Arial"/>
          <w:b/>
          <w:sz w:val="32"/>
          <w:szCs w:val="32"/>
          <w:u w:val="single"/>
        </w:rPr>
        <w:lastRenderedPageBreak/>
        <w:t>BUDGET 2012-13</w:t>
      </w:r>
    </w:p>
    <w:p w:rsidR="009D03D2" w:rsidRPr="00497D67" w:rsidRDefault="009D03D2" w:rsidP="005C55E7">
      <w:pPr>
        <w:spacing w:line="240" w:lineRule="auto"/>
        <w:jc w:val="both"/>
        <w:rPr>
          <w:rFonts w:ascii="Arial" w:hAnsi="Arial" w:cs="Arial"/>
          <w:b/>
          <w:sz w:val="24"/>
          <w:szCs w:val="24"/>
        </w:rPr>
      </w:pPr>
    </w:p>
    <w:p w:rsidR="009D03D2" w:rsidRPr="00E16BAC" w:rsidRDefault="009D03D2" w:rsidP="005C55E7">
      <w:pPr>
        <w:pStyle w:val="ListParagraph"/>
        <w:shd w:val="clear" w:color="auto" w:fill="BABFCB" w:themeFill="text2" w:themeFillTint="66"/>
        <w:autoSpaceDE w:val="0"/>
        <w:autoSpaceDN w:val="0"/>
        <w:adjustRightInd w:val="0"/>
        <w:spacing w:after="0" w:line="240" w:lineRule="auto"/>
        <w:ind w:left="0"/>
        <w:rPr>
          <w:rFonts w:ascii="Arial" w:hAnsi="Arial" w:cs="Arial"/>
          <w:b/>
          <w:bCs/>
          <w:sz w:val="20"/>
          <w:szCs w:val="20"/>
        </w:rPr>
      </w:pPr>
      <w:bookmarkStart w:id="0" w:name="DIRECT"/>
      <w:r w:rsidRPr="00497D67">
        <w:rPr>
          <w:rFonts w:ascii="Arial" w:hAnsi="Arial" w:cs="Arial"/>
          <w:b/>
          <w:sz w:val="24"/>
          <w:szCs w:val="24"/>
        </w:rPr>
        <w:t xml:space="preserve">1. </w:t>
      </w:r>
      <w:r w:rsidR="00E16BAC">
        <w:rPr>
          <w:rFonts w:ascii="Arial" w:hAnsi="Arial" w:cs="Arial"/>
          <w:b/>
          <w:bCs/>
          <w:sz w:val="20"/>
          <w:szCs w:val="20"/>
        </w:rPr>
        <w:t>DIRECT TAX AMENDMENTS:</w:t>
      </w:r>
      <w:bookmarkStart w:id="1" w:name="_:"/>
      <w:bookmarkEnd w:id="1"/>
    </w:p>
    <w:p w:rsidR="00E16BAC" w:rsidRDefault="00E16BAC" w:rsidP="005C55E7">
      <w:pPr>
        <w:jc w:val="both"/>
        <w:rPr>
          <w:rFonts w:ascii="Arial" w:hAnsi="Arial" w:cs="Arial"/>
          <w:b/>
          <w:sz w:val="24"/>
          <w:szCs w:val="24"/>
        </w:rPr>
      </w:pPr>
      <w:bookmarkStart w:id="2" w:name="_A._Tax_Rates"/>
      <w:bookmarkEnd w:id="0"/>
      <w:bookmarkEnd w:id="2"/>
    </w:p>
    <w:p w:rsidR="009D03D2" w:rsidRPr="00497D67" w:rsidRDefault="00D250E8" w:rsidP="005C55E7">
      <w:pPr>
        <w:jc w:val="both"/>
        <w:rPr>
          <w:rFonts w:ascii="Arial" w:hAnsi="Arial" w:cs="Arial"/>
          <w:b/>
          <w:sz w:val="24"/>
          <w:szCs w:val="24"/>
        </w:rPr>
      </w:pPr>
      <w:bookmarkStart w:id="3" w:name="_A._Tax_Rates_1"/>
      <w:bookmarkEnd w:id="3"/>
      <w:r w:rsidRPr="00497D67">
        <w:rPr>
          <w:rFonts w:ascii="Arial" w:hAnsi="Arial" w:cs="Arial"/>
          <w:b/>
          <w:sz w:val="24"/>
          <w:szCs w:val="24"/>
        </w:rPr>
        <w:t>A. Tax</w:t>
      </w:r>
      <w:r w:rsidR="009D03D2" w:rsidRPr="00497D67">
        <w:rPr>
          <w:rFonts w:ascii="Arial" w:hAnsi="Arial" w:cs="Arial"/>
          <w:b/>
          <w:sz w:val="24"/>
          <w:szCs w:val="24"/>
        </w:rPr>
        <w:t xml:space="preserve"> Rates</w:t>
      </w:r>
    </w:p>
    <w:p w:rsidR="009D03D2" w:rsidRPr="00497D67" w:rsidRDefault="009D03D2" w:rsidP="005C55E7">
      <w:pPr>
        <w:pStyle w:val="ListParagraph"/>
        <w:spacing w:line="240" w:lineRule="auto"/>
        <w:ind w:left="270"/>
        <w:jc w:val="both"/>
        <w:rPr>
          <w:rFonts w:ascii="Arial" w:hAnsi="Arial" w:cs="Arial"/>
          <w:b/>
          <w:sz w:val="24"/>
          <w:szCs w:val="24"/>
        </w:rPr>
      </w:pPr>
    </w:p>
    <w:p w:rsidR="009D03D2" w:rsidRPr="00497D67" w:rsidRDefault="009D03D2" w:rsidP="005C55E7">
      <w:pPr>
        <w:pStyle w:val="ListParagraph"/>
        <w:spacing w:line="240" w:lineRule="auto"/>
        <w:ind w:left="270"/>
        <w:jc w:val="both"/>
        <w:outlineLvl w:val="0"/>
        <w:rPr>
          <w:rFonts w:ascii="Arial" w:hAnsi="Arial" w:cs="Arial"/>
          <w:b/>
          <w:sz w:val="24"/>
          <w:szCs w:val="24"/>
        </w:rPr>
      </w:pPr>
      <w:bookmarkStart w:id="4" w:name="Personal"/>
      <w:r w:rsidRPr="00497D67">
        <w:rPr>
          <w:rFonts w:ascii="Arial" w:hAnsi="Arial" w:cs="Arial"/>
          <w:b/>
          <w:sz w:val="24"/>
          <w:szCs w:val="24"/>
        </w:rPr>
        <w:t>Personal Tax</w:t>
      </w:r>
    </w:p>
    <w:bookmarkEnd w:id="4"/>
    <w:p w:rsidR="00CD5668" w:rsidRPr="00497D67" w:rsidRDefault="009D03D2" w:rsidP="005C55E7">
      <w:pPr>
        <w:pStyle w:val="ListParagraph"/>
        <w:numPr>
          <w:ilvl w:val="0"/>
          <w:numId w:val="1"/>
        </w:numPr>
        <w:spacing w:line="240" w:lineRule="auto"/>
        <w:ind w:hanging="450"/>
        <w:jc w:val="both"/>
        <w:rPr>
          <w:rFonts w:ascii="Arial" w:hAnsi="Arial" w:cs="Arial"/>
          <w:b/>
          <w:sz w:val="24"/>
          <w:szCs w:val="24"/>
        </w:rPr>
      </w:pPr>
      <w:r w:rsidRPr="00497D67">
        <w:rPr>
          <w:rFonts w:ascii="Arial" w:hAnsi="Arial" w:cs="Arial"/>
        </w:rPr>
        <w:t xml:space="preserve">At present, the income upto </w:t>
      </w:r>
      <w:r w:rsidR="00CD5668" w:rsidRPr="00497D67">
        <w:rPr>
          <w:rFonts w:ascii="Arial" w:hAnsi="Arial" w:cs="Arial"/>
        </w:rPr>
        <w:t>Rs.</w:t>
      </w:r>
      <w:r w:rsidRPr="00497D67">
        <w:rPr>
          <w:rFonts w:ascii="Arial" w:hAnsi="Arial" w:cs="Arial"/>
        </w:rPr>
        <w:t>1,80,000/- is exempt in respect of individuals</w:t>
      </w:r>
      <w:r w:rsidR="00CD5668" w:rsidRPr="00497D67">
        <w:rPr>
          <w:rFonts w:ascii="Arial" w:hAnsi="Arial" w:cs="Arial"/>
        </w:rPr>
        <w:t xml:space="preserve"> (Other than women below the age of sixty years, senior citizens between the age of sixty years and eighty years and senior citizens above the age of eighty years), Hindu Undivided Families (HUF), Association of Persons (AOP), Body of Individuals (BOI) etc. In respect of resident assessee being women below the age of sixty years, senior citizens between the age of sixty years and eighty years and senior citizens above the age of eighty years the income up to Rs.1,90,000/-, Rs.2,50,000/- and up to Rs.5,00,000/- respectively is exempt.</w:t>
      </w:r>
    </w:p>
    <w:p w:rsidR="00CD5668" w:rsidRPr="00497D67" w:rsidRDefault="00CD5668" w:rsidP="005C55E7">
      <w:pPr>
        <w:autoSpaceDE w:val="0"/>
        <w:autoSpaceDN w:val="0"/>
        <w:adjustRightInd w:val="0"/>
        <w:spacing w:after="0" w:line="240" w:lineRule="auto"/>
        <w:jc w:val="both"/>
        <w:rPr>
          <w:rFonts w:ascii="Arial" w:hAnsi="Arial" w:cs="Arial"/>
        </w:rPr>
      </w:pPr>
    </w:p>
    <w:p w:rsidR="00CD5668" w:rsidRPr="00497D67" w:rsidRDefault="00CD5668" w:rsidP="005C55E7">
      <w:pPr>
        <w:pStyle w:val="ListParagraph"/>
        <w:numPr>
          <w:ilvl w:val="0"/>
          <w:numId w:val="1"/>
        </w:numPr>
        <w:autoSpaceDE w:val="0"/>
        <w:autoSpaceDN w:val="0"/>
        <w:adjustRightInd w:val="0"/>
        <w:spacing w:after="0" w:line="240" w:lineRule="auto"/>
        <w:jc w:val="both"/>
        <w:rPr>
          <w:rFonts w:ascii="Arial" w:hAnsi="Arial" w:cs="Arial"/>
        </w:rPr>
      </w:pPr>
      <w:r w:rsidRPr="00497D67">
        <w:rPr>
          <w:rFonts w:ascii="Arial" w:hAnsi="Arial" w:cs="Arial"/>
        </w:rPr>
        <w:t>It is proposed to increase the threshold limit of exemption. The proposed changes are as below:</w:t>
      </w:r>
    </w:p>
    <w:p w:rsidR="00CD5668" w:rsidRPr="00497D67" w:rsidRDefault="00CD5668" w:rsidP="005C55E7">
      <w:pPr>
        <w:autoSpaceDE w:val="0"/>
        <w:autoSpaceDN w:val="0"/>
        <w:adjustRightInd w:val="0"/>
        <w:spacing w:after="0" w:line="240" w:lineRule="auto"/>
        <w:ind w:left="720"/>
        <w:jc w:val="both"/>
        <w:rPr>
          <w:rFonts w:ascii="Arial" w:hAnsi="Arial" w:cs="Arial"/>
        </w:rPr>
      </w:pPr>
    </w:p>
    <w:p w:rsidR="00CD5668" w:rsidRPr="00497D67" w:rsidRDefault="00CD5668" w:rsidP="005C55E7">
      <w:pPr>
        <w:autoSpaceDE w:val="0"/>
        <w:autoSpaceDN w:val="0"/>
        <w:adjustRightInd w:val="0"/>
        <w:spacing w:after="0" w:line="240" w:lineRule="auto"/>
        <w:ind w:left="720"/>
        <w:jc w:val="both"/>
        <w:rPr>
          <w:rFonts w:ascii="Arial" w:hAnsi="Arial" w:cs="Arial"/>
        </w:rPr>
      </w:pPr>
      <w:r w:rsidRPr="00497D67">
        <w:rPr>
          <w:rFonts w:ascii="Arial" w:hAnsi="Arial" w:cs="Arial"/>
        </w:rPr>
        <w:t xml:space="preserve">Individual Assessee (other than women &amp; senior-citizen) (Assuming Income of </w:t>
      </w:r>
    </w:p>
    <w:p w:rsidR="00CD5668" w:rsidRPr="00497D67" w:rsidRDefault="00CD5668" w:rsidP="005C55E7">
      <w:pPr>
        <w:pStyle w:val="ListParagraph"/>
        <w:autoSpaceDE w:val="0"/>
        <w:autoSpaceDN w:val="0"/>
        <w:adjustRightInd w:val="0"/>
        <w:spacing w:after="0" w:line="240" w:lineRule="auto"/>
        <w:jc w:val="both"/>
        <w:rPr>
          <w:rFonts w:ascii="Arial" w:hAnsi="Arial" w:cs="Arial"/>
        </w:rPr>
      </w:pPr>
      <w:r w:rsidRPr="00497D67">
        <w:rPr>
          <w:rFonts w:ascii="Arial" w:hAnsi="Arial" w:cs="Arial"/>
        </w:rPr>
        <w:t>Rs.10,00,000/-)</w:t>
      </w:r>
    </w:p>
    <w:p w:rsidR="00CD5668" w:rsidRPr="00497D67" w:rsidRDefault="00CD5668" w:rsidP="005C55E7">
      <w:pPr>
        <w:pStyle w:val="ListParagraph"/>
        <w:autoSpaceDE w:val="0"/>
        <w:autoSpaceDN w:val="0"/>
        <w:adjustRightInd w:val="0"/>
        <w:spacing w:after="0" w:line="240" w:lineRule="auto"/>
        <w:jc w:val="both"/>
        <w:rPr>
          <w:rFonts w:ascii="Arial" w:hAnsi="Arial" w:cs="Arial"/>
        </w:rPr>
      </w:pPr>
    </w:p>
    <w:tbl>
      <w:tblPr>
        <w:tblStyle w:val="LightList-Accent5"/>
        <w:tblW w:w="5850" w:type="dxa"/>
        <w:tblInd w:w="1908" w:type="dxa"/>
        <w:tblLayout w:type="fixed"/>
        <w:tblLook w:val="04A0"/>
      </w:tblPr>
      <w:tblGrid>
        <w:gridCol w:w="1558"/>
        <w:gridCol w:w="2402"/>
        <w:gridCol w:w="907"/>
        <w:gridCol w:w="983"/>
      </w:tblGrid>
      <w:tr w:rsidR="008B4266" w:rsidRPr="00497D67" w:rsidTr="008B4266">
        <w:trPr>
          <w:cnfStyle w:val="100000000000"/>
          <w:trHeight w:val="361"/>
        </w:trPr>
        <w:tc>
          <w:tcPr>
            <w:cnfStyle w:val="001000000000"/>
            <w:tcW w:w="1558"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rPr>
                <w:rFonts w:ascii="Arial" w:hAnsi="Arial" w:cs="Arial"/>
                <w:sz w:val="20"/>
                <w:szCs w:val="20"/>
              </w:rPr>
            </w:pPr>
            <w:r w:rsidRPr="008B4266">
              <w:rPr>
                <w:rFonts w:ascii="Arial" w:hAnsi="Arial" w:cs="Arial"/>
                <w:b w:val="0"/>
                <w:bCs w:val="0"/>
                <w:color w:val="FFFFFF"/>
                <w:sz w:val="20"/>
                <w:szCs w:val="20"/>
              </w:rPr>
              <w:t>Last Limit</w:t>
            </w:r>
          </w:p>
        </w:tc>
        <w:tc>
          <w:tcPr>
            <w:tcW w:w="2402" w:type="dxa"/>
            <w:tcBorders>
              <w:left w:val="single" w:sz="4" w:space="0" w:color="F5CEB9" w:themeColor="accent5" w:themeTint="66"/>
              <w:right w:val="single" w:sz="4" w:space="0" w:color="F5CEB9" w:themeColor="accent5" w:themeTint="66"/>
            </w:tcBorders>
          </w:tcPr>
          <w:p w:rsidR="008B4266" w:rsidRPr="008B4266" w:rsidRDefault="008B4266" w:rsidP="005C55E7">
            <w:pPr>
              <w:pStyle w:val="ListParagraph"/>
              <w:autoSpaceDE w:val="0"/>
              <w:autoSpaceDN w:val="0"/>
              <w:adjustRightInd w:val="0"/>
              <w:ind w:left="0"/>
              <w:jc w:val="both"/>
              <w:cnfStyle w:val="100000000000"/>
              <w:rPr>
                <w:rFonts w:ascii="Arial" w:hAnsi="Arial" w:cs="Arial"/>
                <w:b w:val="0"/>
                <w:sz w:val="20"/>
                <w:szCs w:val="20"/>
              </w:rPr>
            </w:pPr>
            <w:r w:rsidRPr="008B4266">
              <w:rPr>
                <w:rFonts w:ascii="Arial" w:hAnsi="Arial" w:cs="Arial"/>
                <w:b w:val="0"/>
                <w:bCs w:val="0"/>
                <w:color w:val="FFFFFF"/>
                <w:sz w:val="20"/>
                <w:szCs w:val="20"/>
              </w:rPr>
              <w:t>Existing Limit</w:t>
            </w:r>
          </w:p>
        </w:tc>
        <w:tc>
          <w:tcPr>
            <w:tcW w:w="1890" w:type="dxa"/>
            <w:gridSpan w:val="2"/>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Tax Rate (%)</w:t>
            </w:r>
          </w:p>
        </w:tc>
      </w:tr>
      <w:tr w:rsidR="008B4266" w:rsidRPr="00497D67" w:rsidTr="008B4266">
        <w:trPr>
          <w:cnfStyle w:val="000000100000"/>
          <w:trHeight w:val="252"/>
        </w:trPr>
        <w:tc>
          <w:tcPr>
            <w:cnfStyle w:val="001000000000"/>
            <w:tcW w:w="1558"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rPr>
                <w:rFonts w:ascii="Arial" w:hAnsi="Arial" w:cs="Arial"/>
                <w:sz w:val="18"/>
                <w:szCs w:val="18"/>
              </w:rPr>
            </w:pPr>
            <w:r>
              <w:rPr>
                <w:rFonts w:ascii="Arial" w:hAnsi="Arial" w:cs="Arial"/>
                <w:sz w:val="18"/>
                <w:szCs w:val="18"/>
              </w:rPr>
              <w:t>Upto Rs.1,6</w:t>
            </w:r>
            <w:r w:rsidRPr="00497D67">
              <w:rPr>
                <w:rFonts w:ascii="Arial" w:hAnsi="Arial" w:cs="Arial"/>
                <w:sz w:val="18"/>
                <w:szCs w:val="18"/>
              </w:rPr>
              <w:t>0,000</w:t>
            </w:r>
          </w:p>
        </w:tc>
        <w:tc>
          <w:tcPr>
            <w:tcW w:w="2402" w:type="dxa"/>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Upto Rs.1,80,000</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rPr>
            </w:pPr>
            <w:r w:rsidRPr="00497D67">
              <w:rPr>
                <w:rFonts w:ascii="Arial" w:hAnsi="Arial" w:cs="Arial"/>
                <w:sz w:val="16"/>
                <w:szCs w:val="16"/>
              </w:rPr>
              <w:t>NIL</w:t>
            </w:r>
          </w:p>
        </w:tc>
        <w:tc>
          <w:tcPr>
            <w:tcW w:w="983"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rPr>
            </w:pPr>
          </w:p>
        </w:tc>
      </w:tr>
      <w:tr w:rsidR="008B4266" w:rsidRPr="00497D67" w:rsidTr="008B4266">
        <w:trPr>
          <w:trHeight w:val="444"/>
        </w:trPr>
        <w:tc>
          <w:tcPr>
            <w:cnfStyle w:val="001000000000"/>
            <w:tcW w:w="1558" w:type="dxa"/>
            <w:tcBorders>
              <w:right w:val="single" w:sz="4" w:space="0" w:color="F5CEB9" w:themeColor="accent5" w:themeTint="66"/>
            </w:tcBorders>
          </w:tcPr>
          <w:p w:rsidR="008B4266" w:rsidRPr="00497D67" w:rsidRDefault="008B4266" w:rsidP="005C55E7">
            <w:pPr>
              <w:autoSpaceDE w:val="0"/>
              <w:autoSpaceDN w:val="0"/>
              <w:adjustRightInd w:val="0"/>
              <w:jc w:val="both"/>
              <w:rPr>
                <w:rFonts w:ascii="Arial" w:hAnsi="Arial" w:cs="Arial"/>
                <w:sz w:val="18"/>
                <w:szCs w:val="18"/>
              </w:rPr>
            </w:pPr>
            <w:r>
              <w:rPr>
                <w:rFonts w:ascii="Arial" w:hAnsi="Arial" w:cs="Arial"/>
                <w:sz w:val="18"/>
                <w:szCs w:val="18"/>
              </w:rPr>
              <w:t>Rs.1,6</w:t>
            </w:r>
            <w:r w:rsidRPr="00497D67">
              <w:rPr>
                <w:rFonts w:ascii="Arial" w:hAnsi="Arial" w:cs="Arial"/>
                <w:sz w:val="18"/>
                <w:szCs w:val="18"/>
              </w:rPr>
              <w:t xml:space="preserve">0,001 – </w:t>
            </w:r>
          </w:p>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Rs.5,00,000</w:t>
            </w:r>
          </w:p>
        </w:tc>
        <w:tc>
          <w:tcPr>
            <w:tcW w:w="2402" w:type="dxa"/>
            <w:tcBorders>
              <w:left w:val="single" w:sz="4" w:space="0" w:color="F5CEB9" w:themeColor="accent5" w:themeTint="66"/>
              <w:right w:val="single" w:sz="4" w:space="0" w:color="F5CEB9" w:themeColor="accent5" w:themeTint="66"/>
            </w:tcBorders>
          </w:tcPr>
          <w:p w:rsidR="008B4266" w:rsidRPr="00497D67" w:rsidRDefault="008B4266"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 xml:space="preserve">Rs.1,80,001 – </w:t>
            </w:r>
          </w:p>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Rs.5,00,000</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10%</w:t>
            </w:r>
          </w:p>
        </w:tc>
        <w:tc>
          <w:tcPr>
            <w:tcW w:w="983"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p>
        </w:tc>
      </w:tr>
      <w:tr w:rsidR="008B4266" w:rsidRPr="00497D67" w:rsidTr="008B4266">
        <w:trPr>
          <w:cnfStyle w:val="000000100000"/>
          <w:trHeight w:val="424"/>
        </w:trPr>
        <w:tc>
          <w:tcPr>
            <w:cnfStyle w:val="001000000000"/>
            <w:tcW w:w="1558" w:type="dxa"/>
            <w:tcBorders>
              <w:right w:val="single" w:sz="4" w:space="0" w:color="F5CEB9" w:themeColor="accent5" w:themeTint="66"/>
            </w:tcBorders>
          </w:tcPr>
          <w:p w:rsidR="008B4266" w:rsidRPr="00497D67" w:rsidRDefault="008B4266" w:rsidP="005C55E7">
            <w:pPr>
              <w:autoSpaceDE w:val="0"/>
              <w:autoSpaceDN w:val="0"/>
              <w:adjustRightInd w:val="0"/>
              <w:jc w:val="both"/>
              <w:rPr>
                <w:rFonts w:ascii="Arial" w:hAnsi="Arial" w:cs="Arial"/>
                <w:sz w:val="18"/>
                <w:szCs w:val="18"/>
              </w:rPr>
            </w:pPr>
            <w:r w:rsidRPr="00497D67">
              <w:rPr>
                <w:rFonts w:ascii="Arial" w:hAnsi="Arial" w:cs="Arial"/>
                <w:sz w:val="18"/>
                <w:szCs w:val="18"/>
              </w:rPr>
              <w:t xml:space="preserve">Rs.5,00,000 – </w:t>
            </w:r>
          </w:p>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Rs.8,00,000</w:t>
            </w:r>
          </w:p>
        </w:tc>
        <w:tc>
          <w:tcPr>
            <w:tcW w:w="2402" w:type="dxa"/>
            <w:tcBorders>
              <w:left w:val="single" w:sz="4" w:space="0" w:color="F5CEB9" w:themeColor="accent5" w:themeTint="66"/>
              <w:right w:val="single" w:sz="4" w:space="0" w:color="F5CEB9" w:themeColor="accent5" w:themeTint="66"/>
            </w:tcBorders>
          </w:tcPr>
          <w:p w:rsidR="008B4266" w:rsidRPr="00497D67" w:rsidRDefault="008B4266"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 xml:space="preserve">Rs.5,00,000 – </w:t>
            </w:r>
          </w:p>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Rs.8,00,000</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20%</w:t>
            </w:r>
          </w:p>
        </w:tc>
        <w:tc>
          <w:tcPr>
            <w:tcW w:w="983"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p>
        </w:tc>
      </w:tr>
      <w:tr w:rsidR="008B4266" w:rsidRPr="00497D67" w:rsidTr="008B4266">
        <w:trPr>
          <w:trHeight w:val="213"/>
        </w:trPr>
        <w:tc>
          <w:tcPr>
            <w:cnfStyle w:val="001000000000"/>
            <w:tcW w:w="1558"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Rs.8,00,001 &amp; above</w:t>
            </w:r>
          </w:p>
        </w:tc>
        <w:tc>
          <w:tcPr>
            <w:tcW w:w="2402" w:type="dxa"/>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Rs.8,00,001 &amp; above</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30%</w:t>
            </w:r>
          </w:p>
        </w:tc>
        <w:tc>
          <w:tcPr>
            <w:tcW w:w="983"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p>
        </w:tc>
      </w:tr>
    </w:tbl>
    <w:p w:rsidR="00CD5668" w:rsidRPr="00497D67" w:rsidRDefault="00CD5668" w:rsidP="005C55E7">
      <w:pPr>
        <w:pStyle w:val="ListParagraph"/>
        <w:autoSpaceDE w:val="0"/>
        <w:autoSpaceDN w:val="0"/>
        <w:adjustRightInd w:val="0"/>
        <w:spacing w:after="0" w:line="240" w:lineRule="auto"/>
        <w:jc w:val="both"/>
        <w:rPr>
          <w:rFonts w:ascii="Arial" w:hAnsi="Arial" w:cs="Arial"/>
        </w:rPr>
      </w:pPr>
    </w:p>
    <w:p w:rsidR="00CD5668" w:rsidRPr="00497D67" w:rsidRDefault="00CD5668" w:rsidP="005C55E7">
      <w:pPr>
        <w:autoSpaceDE w:val="0"/>
        <w:autoSpaceDN w:val="0"/>
        <w:adjustRightInd w:val="0"/>
        <w:spacing w:after="0" w:line="240" w:lineRule="auto"/>
        <w:ind w:left="720"/>
        <w:jc w:val="both"/>
        <w:rPr>
          <w:rFonts w:ascii="Arial" w:hAnsi="Arial" w:cs="Arial"/>
        </w:rPr>
      </w:pPr>
    </w:p>
    <w:p w:rsidR="00FF65B8" w:rsidRDefault="00FF65B8" w:rsidP="005C55E7">
      <w:pPr>
        <w:autoSpaceDE w:val="0"/>
        <w:autoSpaceDN w:val="0"/>
        <w:adjustRightInd w:val="0"/>
        <w:spacing w:after="0" w:line="240" w:lineRule="auto"/>
        <w:ind w:left="720"/>
        <w:jc w:val="both"/>
        <w:rPr>
          <w:rFonts w:ascii="Arial" w:hAnsi="Arial" w:cs="Arial"/>
          <w:bCs/>
          <w:sz w:val="20"/>
          <w:szCs w:val="20"/>
        </w:rPr>
      </w:pPr>
    </w:p>
    <w:p w:rsidR="00FF65B8" w:rsidRDefault="00FF65B8" w:rsidP="005C55E7">
      <w:pPr>
        <w:autoSpaceDE w:val="0"/>
        <w:autoSpaceDN w:val="0"/>
        <w:adjustRightInd w:val="0"/>
        <w:spacing w:after="0" w:line="240" w:lineRule="auto"/>
        <w:ind w:left="720"/>
        <w:jc w:val="both"/>
        <w:rPr>
          <w:rFonts w:ascii="Arial" w:hAnsi="Arial" w:cs="Arial"/>
          <w:bCs/>
          <w:sz w:val="20"/>
          <w:szCs w:val="20"/>
        </w:rPr>
      </w:pPr>
    </w:p>
    <w:p w:rsidR="0072176D" w:rsidRPr="00497D67" w:rsidRDefault="0072176D" w:rsidP="005C55E7">
      <w:pPr>
        <w:autoSpaceDE w:val="0"/>
        <w:autoSpaceDN w:val="0"/>
        <w:adjustRightInd w:val="0"/>
        <w:spacing w:after="0" w:line="240" w:lineRule="auto"/>
        <w:ind w:left="720"/>
        <w:jc w:val="both"/>
        <w:rPr>
          <w:rFonts w:ascii="Arial" w:hAnsi="Arial" w:cs="Arial"/>
          <w:bCs/>
          <w:sz w:val="20"/>
          <w:szCs w:val="20"/>
        </w:rPr>
      </w:pPr>
      <w:r w:rsidRPr="00497D67">
        <w:rPr>
          <w:rFonts w:ascii="Arial" w:hAnsi="Arial" w:cs="Arial"/>
          <w:bCs/>
          <w:sz w:val="20"/>
          <w:szCs w:val="20"/>
        </w:rPr>
        <w:t>Women Assessee below the age of sixty years (Assuming Income of Rs.10,00,000/-)</w:t>
      </w:r>
    </w:p>
    <w:p w:rsidR="0072176D" w:rsidRPr="00497D67" w:rsidRDefault="0072176D" w:rsidP="005C55E7">
      <w:pPr>
        <w:autoSpaceDE w:val="0"/>
        <w:autoSpaceDN w:val="0"/>
        <w:adjustRightInd w:val="0"/>
        <w:spacing w:after="0" w:line="240" w:lineRule="auto"/>
        <w:ind w:left="720"/>
        <w:jc w:val="both"/>
        <w:rPr>
          <w:rFonts w:ascii="Arial" w:hAnsi="Arial" w:cs="Arial"/>
          <w:bCs/>
          <w:sz w:val="20"/>
          <w:szCs w:val="20"/>
        </w:rPr>
      </w:pPr>
    </w:p>
    <w:tbl>
      <w:tblPr>
        <w:tblStyle w:val="LightList-Accent5"/>
        <w:tblW w:w="8557" w:type="dxa"/>
        <w:tblInd w:w="1908" w:type="dxa"/>
        <w:tblLayout w:type="fixed"/>
        <w:tblLook w:val="04A0"/>
      </w:tblPr>
      <w:tblGrid>
        <w:gridCol w:w="1558"/>
        <w:gridCol w:w="1899"/>
        <w:gridCol w:w="907"/>
        <w:gridCol w:w="1486"/>
        <w:gridCol w:w="2707"/>
      </w:tblGrid>
      <w:tr w:rsidR="008B4266" w:rsidRPr="00497D67" w:rsidTr="008B4266">
        <w:trPr>
          <w:gridAfter w:val="1"/>
          <w:cnfStyle w:val="100000000000"/>
          <w:wAfter w:w="2707" w:type="dxa"/>
          <w:trHeight w:val="361"/>
        </w:trPr>
        <w:tc>
          <w:tcPr>
            <w:cnfStyle w:val="001000000000"/>
            <w:tcW w:w="1558"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rPr>
                <w:rFonts w:ascii="Arial" w:hAnsi="Arial" w:cs="Arial"/>
                <w:sz w:val="20"/>
                <w:szCs w:val="20"/>
              </w:rPr>
            </w:pPr>
            <w:r>
              <w:rPr>
                <w:rFonts w:ascii="Arial" w:hAnsi="Arial" w:cs="Arial"/>
                <w:b w:val="0"/>
                <w:bCs w:val="0"/>
                <w:color w:val="FFFFFF"/>
                <w:sz w:val="20"/>
                <w:szCs w:val="20"/>
              </w:rPr>
              <w:t>Last</w:t>
            </w:r>
            <w:r w:rsidRPr="00497D67">
              <w:rPr>
                <w:rFonts w:ascii="Arial" w:hAnsi="Arial" w:cs="Arial"/>
                <w:b w:val="0"/>
                <w:bCs w:val="0"/>
                <w:color w:val="FFFFFF"/>
                <w:sz w:val="20"/>
                <w:szCs w:val="20"/>
              </w:rPr>
              <w:t xml:space="preserve"> Limit</w:t>
            </w:r>
          </w:p>
        </w:tc>
        <w:tc>
          <w:tcPr>
            <w:tcW w:w="1899" w:type="dxa"/>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Existing Limit</w:t>
            </w:r>
          </w:p>
        </w:tc>
        <w:tc>
          <w:tcPr>
            <w:tcW w:w="2393" w:type="dxa"/>
            <w:gridSpan w:val="2"/>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Tax Rate (%)</w:t>
            </w:r>
          </w:p>
        </w:tc>
      </w:tr>
      <w:tr w:rsidR="008B4266" w:rsidRPr="00497D67" w:rsidTr="008B4266">
        <w:trPr>
          <w:cnfStyle w:val="000000100000"/>
          <w:trHeight w:val="252"/>
        </w:trPr>
        <w:tc>
          <w:tcPr>
            <w:cnfStyle w:val="001000000000"/>
            <w:tcW w:w="1558"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Upto Rs.1,90,000</w:t>
            </w:r>
          </w:p>
        </w:tc>
        <w:tc>
          <w:tcPr>
            <w:tcW w:w="1899" w:type="dxa"/>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Upto Rs.1,90,000</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rPr>
            </w:pPr>
            <w:r w:rsidRPr="00497D67">
              <w:rPr>
                <w:rFonts w:ascii="Arial" w:hAnsi="Arial" w:cs="Arial"/>
                <w:sz w:val="16"/>
                <w:szCs w:val="16"/>
              </w:rPr>
              <w:t>NIL</w:t>
            </w:r>
          </w:p>
        </w:tc>
        <w:tc>
          <w:tcPr>
            <w:tcW w:w="1486"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rPr>
            </w:pPr>
          </w:p>
        </w:tc>
        <w:tc>
          <w:tcPr>
            <w:tcW w:w="2707" w:type="dxa"/>
            <w:vMerge w:val="restart"/>
            <w:tcBorders>
              <w:top w:val="nil"/>
              <w:left w:val="single" w:sz="4" w:space="0" w:color="F5CEB9" w:themeColor="accent5" w:themeTint="66"/>
              <w:right w:val="nil"/>
            </w:tcBorders>
            <w:vAlign w:val="center"/>
          </w:tcPr>
          <w:p w:rsidR="008B4266" w:rsidRPr="00497D67" w:rsidRDefault="008B4266" w:rsidP="005C55E7">
            <w:pPr>
              <w:pStyle w:val="ListParagraph"/>
              <w:autoSpaceDE w:val="0"/>
              <w:autoSpaceDN w:val="0"/>
              <w:adjustRightInd w:val="0"/>
              <w:ind w:left="0"/>
              <w:jc w:val="both"/>
              <w:cnfStyle w:val="000000100000"/>
              <w:rPr>
                <w:rFonts w:ascii="Arial" w:hAnsi="Arial" w:cs="Arial"/>
              </w:rPr>
            </w:pPr>
          </w:p>
        </w:tc>
      </w:tr>
      <w:tr w:rsidR="008B4266" w:rsidRPr="00497D67" w:rsidTr="008B4266">
        <w:trPr>
          <w:trHeight w:val="444"/>
        </w:trPr>
        <w:tc>
          <w:tcPr>
            <w:cnfStyle w:val="001000000000"/>
            <w:tcW w:w="1558" w:type="dxa"/>
            <w:tcBorders>
              <w:right w:val="single" w:sz="4" w:space="0" w:color="F5CEB9" w:themeColor="accent5" w:themeTint="66"/>
            </w:tcBorders>
          </w:tcPr>
          <w:p w:rsidR="008B4266" w:rsidRPr="00497D67" w:rsidRDefault="008B4266" w:rsidP="005C55E7">
            <w:pPr>
              <w:autoSpaceDE w:val="0"/>
              <w:autoSpaceDN w:val="0"/>
              <w:adjustRightInd w:val="0"/>
              <w:jc w:val="both"/>
              <w:rPr>
                <w:rFonts w:ascii="Arial" w:hAnsi="Arial" w:cs="Arial"/>
                <w:sz w:val="18"/>
                <w:szCs w:val="18"/>
              </w:rPr>
            </w:pPr>
            <w:r w:rsidRPr="00497D67">
              <w:rPr>
                <w:rFonts w:ascii="Arial" w:hAnsi="Arial" w:cs="Arial"/>
                <w:sz w:val="18"/>
                <w:szCs w:val="18"/>
              </w:rPr>
              <w:t xml:space="preserve">Rs.1,90,001 – </w:t>
            </w:r>
          </w:p>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Rs.5,00,000</w:t>
            </w:r>
          </w:p>
        </w:tc>
        <w:tc>
          <w:tcPr>
            <w:tcW w:w="1899" w:type="dxa"/>
            <w:tcBorders>
              <w:left w:val="single" w:sz="4" w:space="0" w:color="F5CEB9" w:themeColor="accent5" w:themeTint="66"/>
              <w:right w:val="single" w:sz="4" w:space="0" w:color="F5CEB9" w:themeColor="accent5" w:themeTint="66"/>
            </w:tcBorders>
          </w:tcPr>
          <w:p w:rsidR="008B4266" w:rsidRPr="00497D67" w:rsidRDefault="008B4266"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 xml:space="preserve">Rs.1,90,001 – </w:t>
            </w:r>
          </w:p>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Rs.5,00,000</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10%</w:t>
            </w:r>
          </w:p>
        </w:tc>
        <w:tc>
          <w:tcPr>
            <w:tcW w:w="1486"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p>
        </w:tc>
        <w:tc>
          <w:tcPr>
            <w:tcW w:w="2707" w:type="dxa"/>
            <w:vMerge/>
            <w:tcBorders>
              <w:top w:val="nil"/>
              <w:left w:val="single" w:sz="4" w:space="0" w:color="F5CEB9" w:themeColor="accent5" w:themeTint="66"/>
              <w:right w:val="nil"/>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p>
        </w:tc>
      </w:tr>
      <w:tr w:rsidR="008B4266" w:rsidRPr="00497D67" w:rsidTr="008B4266">
        <w:trPr>
          <w:cnfStyle w:val="000000100000"/>
          <w:trHeight w:val="424"/>
        </w:trPr>
        <w:tc>
          <w:tcPr>
            <w:cnfStyle w:val="001000000000"/>
            <w:tcW w:w="1558" w:type="dxa"/>
            <w:tcBorders>
              <w:right w:val="single" w:sz="4" w:space="0" w:color="F5CEB9" w:themeColor="accent5" w:themeTint="66"/>
            </w:tcBorders>
          </w:tcPr>
          <w:p w:rsidR="008B4266" w:rsidRPr="00497D67" w:rsidRDefault="008B4266" w:rsidP="005C55E7">
            <w:pPr>
              <w:autoSpaceDE w:val="0"/>
              <w:autoSpaceDN w:val="0"/>
              <w:adjustRightInd w:val="0"/>
              <w:jc w:val="both"/>
              <w:rPr>
                <w:rFonts w:ascii="Arial" w:hAnsi="Arial" w:cs="Arial"/>
                <w:sz w:val="18"/>
                <w:szCs w:val="18"/>
              </w:rPr>
            </w:pPr>
            <w:r w:rsidRPr="00497D67">
              <w:rPr>
                <w:rFonts w:ascii="Arial" w:hAnsi="Arial" w:cs="Arial"/>
                <w:sz w:val="18"/>
                <w:szCs w:val="18"/>
              </w:rPr>
              <w:t xml:space="preserve">Rs.5,00,000 – </w:t>
            </w:r>
          </w:p>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Rs.8,00,000</w:t>
            </w:r>
          </w:p>
        </w:tc>
        <w:tc>
          <w:tcPr>
            <w:tcW w:w="1899" w:type="dxa"/>
            <w:tcBorders>
              <w:left w:val="single" w:sz="4" w:space="0" w:color="F5CEB9" w:themeColor="accent5" w:themeTint="66"/>
              <w:right w:val="single" w:sz="4" w:space="0" w:color="F5CEB9" w:themeColor="accent5" w:themeTint="66"/>
            </w:tcBorders>
          </w:tcPr>
          <w:p w:rsidR="008B4266" w:rsidRPr="00497D67" w:rsidRDefault="008B4266"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 xml:space="preserve">Rs.5,00,000 – </w:t>
            </w:r>
          </w:p>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Rs.8,00,000</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20%</w:t>
            </w:r>
          </w:p>
        </w:tc>
        <w:tc>
          <w:tcPr>
            <w:tcW w:w="1486"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p>
        </w:tc>
        <w:tc>
          <w:tcPr>
            <w:tcW w:w="2707" w:type="dxa"/>
            <w:vMerge/>
            <w:tcBorders>
              <w:top w:val="nil"/>
              <w:left w:val="single" w:sz="4" w:space="0" w:color="F5CEB9" w:themeColor="accent5" w:themeTint="66"/>
              <w:right w:val="nil"/>
            </w:tcBorders>
          </w:tcPr>
          <w:p w:rsidR="008B4266" w:rsidRPr="00497D67" w:rsidRDefault="008B4266" w:rsidP="005C55E7">
            <w:pPr>
              <w:pStyle w:val="ListParagraph"/>
              <w:autoSpaceDE w:val="0"/>
              <w:autoSpaceDN w:val="0"/>
              <w:adjustRightInd w:val="0"/>
              <w:ind w:left="0"/>
              <w:jc w:val="both"/>
              <w:cnfStyle w:val="000000100000"/>
              <w:rPr>
                <w:rFonts w:ascii="Arial" w:hAnsi="Arial" w:cs="Arial"/>
                <w:sz w:val="18"/>
                <w:szCs w:val="18"/>
              </w:rPr>
            </w:pPr>
          </w:p>
        </w:tc>
      </w:tr>
      <w:tr w:rsidR="008B4266" w:rsidRPr="00497D67" w:rsidTr="008B4266">
        <w:trPr>
          <w:trHeight w:val="213"/>
        </w:trPr>
        <w:tc>
          <w:tcPr>
            <w:cnfStyle w:val="001000000000"/>
            <w:tcW w:w="1558"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Rs.8,00,001 &amp; above</w:t>
            </w:r>
          </w:p>
        </w:tc>
        <w:tc>
          <w:tcPr>
            <w:tcW w:w="1899" w:type="dxa"/>
            <w:tcBorders>
              <w:left w:val="single" w:sz="4" w:space="0" w:color="F5CEB9" w:themeColor="accent5" w:themeTint="66"/>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Rs.8,00,001 &amp; above</w:t>
            </w:r>
          </w:p>
        </w:tc>
        <w:tc>
          <w:tcPr>
            <w:tcW w:w="907" w:type="dxa"/>
            <w:tcBorders>
              <w:lef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30%</w:t>
            </w:r>
          </w:p>
        </w:tc>
        <w:tc>
          <w:tcPr>
            <w:tcW w:w="1486" w:type="dxa"/>
            <w:tcBorders>
              <w:right w:val="single" w:sz="4" w:space="0" w:color="F5CEB9" w:themeColor="accent5" w:themeTint="66"/>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p>
        </w:tc>
        <w:tc>
          <w:tcPr>
            <w:tcW w:w="2707" w:type="dxa"/>
            <w:vMerge/>
            <w:tcBorders>
              <w:top w:val="nil"/>
              <w:left w:val="single" w:sz="4" w:space="0" w:color="F5CEB9" w:themeColor="accent5" w:themeTint="66"/>
              <w:bottom w:val="nil"/>
              <w:right w:val="nil"/>
            </w:tcBorders>
          </w:tcPr>
          <w:p w:rsidR="008B4266" w:rsidRPr="00497D67" w:rsidRDefault="008B4266" w:rsidP="005C55E7">
            <w:pPr>
              <w:pStyle w:val="ListParagraph"/>
              <w:autoSpaceDE w:val="0"/>
              <w:autoSpaceDN w:val="0"/>
              <w:adjustRightInd w:val="0"/>
              <w:ind w:left="0"/>
              <w:jc w:val="both"/>
              <w:cnfStyle w:val="000000000000"/>
              <w:rPr>
                <w:rFonts w:ascii="Arial" w:hAnsi="Arial" w:cs="Arial"/>
                <w:sz w:val="18"/>
                <w:szCs w:val="18"/>
              </w:rPr>
            </w:pPr>
          </w:p>
        </w:tc>
      </w:tr>
    </w:tbl>
    <w:p w:rsidR="00CD5668" w:rsidRPr="00497D67" w:rsidRDefault="00CD5668" w:rsidP="005C55E7">
      <w:pPr>
        <w:autoSpaceDE w:val="0"/>
        <w:autoSpaceDN w:val="0"/>
        <w:adjustRightInd w:val="0"/>
        <w:spacing w:after="0" w:line="240" w:lineRule="auto"/>
        <w:ind w:left="720"/>
        <w:jc w:val="both"/>
        <w:rPr>
          <w:rFonts w:ascii="Arial" w:hAnsi="Arial" w:cs="Arial"/>
        </w:rPr>
      </w:pPr>
    </w:p>
    <w:p w:rsidR="00CD5668" w:rsidRPr="00497D67" w:rsidRDefault="00CD5668" w:rsidP="005C55E7">
      <w:pPr>
        <w:autoSpaceDE w:val="0"/>
        <w:autoSpaceDN w:val="0"/>
        <w:adjustRightInd w:val="0"/>
        <w:spacing w:after="0" w:line="240" w:lineRule="auto"/>
        <w:ind w:left="720"/>
        <w:jc w:val="both"/>
        <w:rPr>
          <w:rFonts w:ascii="Arial" w:hAnsi="Arial" w:cs="Arial"/>
        </w:rPr>
      </w:pPr>
    </w:p>
    <w:p w:rsidR="00CD5668" w:rsidRPr="00497D67" w:rsidRDefault="00CD5668" w:rsidP="005C55E7">
      <w:pPr>
        <w:autoSpaceDE w:val="0"/>
        <w:autoSpaceDN w:val="0"/>
        <w:adjustRightInd w:val="0"/>
        <w:spacing w:after="0" w:line="240" w:lineRule="auto"/>
        <w:ind w:left="720"/>
        <w:jc w:val="both"/>
        <w:rPr>
          <w:rFonts w:ascii="Arial" w:hAnsi="Arial" w:cs="Arial"/>
        </w:rPr>
      </w:pPr>
    </w:p>
    <w:p w:rsidR="00FF65B8" w:rsidRDefault="00FF65B8" w:rsidP="005C55E7">
      <w:pPr>
        <w:autoSpaceDE w:val="0"/>
        <w:autoSpaceDN w:val="0"/>
        <w:adjustRightInd w:val="0"/>
        <w:spacing w:after="0" w:line="240" w:lineRule="auto"/>
        <w:ind w:left="720"/>
        <w:jc w:val="both"/>
        <w:rPr>
          <w:rFonts w:ascii="Arial" w:hAnsi="Arial" w:cs="Arial"/>
          <w:bCs/>
          <w:sz w:val="20"/>
          <w:szCs w:val="20"/>
        </w:rPr>
      </w:pPr>
    </w:p>
    <w:p w:rsidR="00FF65B8" w:rsidRDefault="00FF65B8" w:rsidP="005C55E7">
      <w:pPr>
        <w:autoSpaceDE w:val="0"/>
        <w:autoSpaceDN w:val="0"/>
        <w:adjustRightInd w:val="0"/>
        <w:spacing w:after="0" w:line="240" w:lineRule="auto"/>
        <w:ind w:left="720"/>
        <w:jc w:val="both"/>
        <w:rPr>
          <w:rFonts w:ascii="Arial" w:hAnsi="Arial" w:cs="Arial"/>
          <w:bCs/>
          <w:sz w:val="20"/>
          <w:szCs w:val="20"/>
        </w:rPr>
      </w:pPr>
    </w:p>
    <w:p w:rsidR="00FF65B8" w:rsidRDefault="00FF65B8" w:rsidP="005C55E7">
      <w:pPr>
        <w:autoSpaceDE w:val="0"/>
        <w:autoSpaceDN w:val="0"/>
        <w:adjustRightInd w:val="0"/>
        <w:spacing w:after="0" w:line="240" w:lineRule="auto"/>
        <w:ind w:left="720"/>
        <w:jc w:val="both"/>
        <w:rPr>
          <w:rFonts w:ascii="Arial" w:hAnsi="Arial" w:cs="Arial"/>
          <w:bCs/>
          <w:sz w:val="20"/>
          <w:szCs w:val="20"/>
        </w:rPr>
      </w:pPr>
    </w:p>
    <w:p w:rsidR="00FF65B8" w:rsidRDefault="00FF65B8" w:rsidP="005C55E7">
      <w:pPr>
        <w:autoSpaceDE w:val="0"/>
        <w:autoSpaceDN w:val="0"/>
        <w:adjustRightInd w:val="0"/>
        <w:spacing w:after="0" w:line="240" w:lineRule="auto"/>
        <w:ind w:left="720"/>
        <w:jc w:val="both"/>
        <w:rPr>
          <w:rFonts w:ascii="Arial" w:hAnsi="Arial" w:cs="Arial"/>
          <w:bCs/>
          <w:sz w:val="20"/>
          <w:szCs w:val="20"/>
        </w:rPr>
      </w:pPr>
    </w:p>
    <w:p w:rsidR="009D03D2" w:rsidRPr="00497D67" w:rsidRDefault="00A235DF" w:rsidP="005C55E7">
      <w:pPr>
        <w:autoSpaceDE w:val="0"/>
        <w:autoSpaceDN w:val="0"/>
        <w:adjustRightInd w:val="0"/>
        <w:spacing w:after="0" w:line="240" w:lineRule="auto"/>
        <w:ind w:left="720"/>
        <w:jc w:val="both"/>
        <w:rPr>
          <w:rFonts w:ascii="Arial" w:hAnsi="Arial" w:cs="Arial"/>
          <w:bCs/>
          <w:sz w:val="20"/>
          <w:szCs w:val="20"/>
        </w:rPr>
      </w:pPr>
      <w:r w:rsidRPr="00497D67">
        <w:rPr>
          <w:rFonts w:ascii="Arial" w:hAnsi="Arial" w:cs="Arial"/>
          <w:bCs/>
          <w:sz w:val="20"/>
          <w:szCs w:val="20"/>
        </w:rPr>
        <w:lastRenderedPageBreak/>
        <w:t xml:space="preserve">Senior Citizen between the age of sixty years to eighty years (Assuming Income of </w:t>
      </w:r>
      <w:r w:rsidRPr="00497D67">
        <w:rPr>
          <w:rFonts w:ascii="Arial" w:hAnsi="Arial" w:cs="Arial"/>
          <w:sz w:val="20"/>
          <w:szCs w:val="20"/>
        </w:rPr>
        <w:t>Rs.10,00,000</w:t>
      </w:r>
      <w:r w:rsidRPr="00497D67">
        <w:rPr>
          <w:rFonts w:ascii="Arial" w:hAnsi="Arial" w:cs="Arial"/>
          <w:bCs/>
          <w:sz w:val="20"/>
          <w:szCs w:val="20"/>
        </w:rPr>
        <w:t>/-)</w:t>
      </w:r>
    </w:p>
    <w:p w:rsidR="00A235DF" w:rsidRPr="00497D67" w:rsidRDefault="00A235DF" w:rsidP="005C55E7">
      <w:pPr>
        <w:autoSpaceDE w:val="0"/>
        <w:autoSpaceDN w:val="0"/>
        <w:adjustRightInd w:val="0"/>
        <w:spacing w:after="0" w:line="240" w:lineRule="auto"/>
        <w:ind w:left="720"/>
        <w:jc w:val="both"/>
        <w:rPr>
          <w:rFonts w:ascii="Arial" w:hAnsi="Arial" w:cs="Arial"/>
        </w:rPr>
      </w:pPr>
    </w:p>
    <w:tbl>
      <w:tblPr>
        <w:tblStyle w:val="LightList-Accent5"/>
        <w:tblW w:w="5850" w:type="dxa"/>
        <w:tblInd w:w="1908" w:type="dxa"/>
        <w:tblLayout w:type="fixed"/>
        <w:tblLook w:val="04A0"/>
      </w:tblPr>
      <w:tblGrid>
        <w:gridCol w:w="1558"/>
        <w:gridCol w:w="1899"/>
        <w:gridCol w:w="907"/>
        <w:gridCol w:w="1486"/>
      </w:tblGrid>
      <w:tr w:rsidR="00FF65B8" w:rsidRPr="00497D67" w:rsidTr="00FF65B8">
        <w:trPr>
          <w:cnfStyle w:val="100000000000"/>
          <w:trHeight w:val="361"/>
        </w:trPr>
        <w:tc>
          <w:tcPr>
            <w:cnfStyle w:val="001000000000"/>
            <w:tcW w:w="1558"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rPr>
                <w:rFonts w:ascii="Arial" w:hAnsi="Arial" w:cs="Arial"/>
                <w:sz w:val="20"/>
                <w:szCs w:val="20"/>
              </w:rPr>
            </w:pPr>
            <w:r>
              <w:rPr>
                <w:rFonts w:ascii="Arial" w:hAnsi="Arial" w:cs="Arial"/>
                <w:b w:val="0"/>
                <w:bCs w:val="0"/>
                <w:color w:val="FFFFFF"/>
                <w:sz w:val="20"/>
                <w:szCs w:val="20"/>
              </w:rPr>
              <w:t>last</w:t>
            </w:r>
            <w:r w:rsidRPr="00497D67">
              <w:rPr>
                <w:rFonts w:ascii="Arial" w:hAnsi="Arial" w:cs="Arial"/>
                <w:b w:val="0"/>
                <w:bCs w:val="0"/>
                <w:color w:val="FFFFFF"/>
                <w:sz w:val="20"/>
                <w:szCs w:val="20"/>
              </w:rPr>
              <w:t xml:space="preserve"> Limit</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Existing Limit</w:t>
            </w:r>
          </w:p>
        </w:tc>
        <w:tc>
          <w:tcPr>
            <w:tcW w:w="2393" w:type="dxa"/>
            <w:gridSpan w:val="2"/>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Tax Rate (%)</w:t>
            </w:r>
          </w:p>
        </w:tc>
      </w:tr>
      <w:tr w:rsidR="00FF65B8" w:rsidRPr="00497D67" w:rsidTr="00FF65B8">
        <w:trPr>
          <w:cnfStyle w:val="000000100000"/>
          <w:trHeight w:val="252"/>
        </w:trPr>
        <w:tc>
          <w:tcPr>
            <w:cnfStyle w:val="001000000000"/>
            <w:tcW w:w="1558"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rPr>
                <w:rFonts w:ascii="Arial" w:hAnsi="Arial" w:cs="Arial"/>
                <w:sz w:val="18"/>
                <w:szCs w:val="18"/>
              </w:rPr>
            </w:pPr>
            <w:r>
              <w:rPr>
                <w:rFonts w:ascii="Arial" w:hAnsi="Arial" w:cs="Arial"/>
                <w:sz w:val="18"/>
                <w:szCs w:val="18"/>
              </w:rPr>
              <w:t>Upto Rs.2,4</w:t>
            </w:r>
            <w:r w:rsidRPr="00497D67">
              <w:rPr>
                <w:rFonts w:ascii="Arial" w:hAnsi="Arial" w:cs="Arial"/>
                <w:sz w:val="18"/>
                <w:szCs w:val="18"/>
              </w:rPr>
              <w:t>0,000</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 xml:space="preserve">Upto Rs.2,50,000          </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rPr>
            </w:pPr>
            <w:r w:rsidRPr="00497D67">
              <w:rPr>
                <w:rFonts w:ascii="Arial" w:hAnsi="Arial" w:cs="Arial"/>
                <w:sz w:val="16"/>
                <w:szCs w:val="16"/>
              </w:rPr>
              <w:t>NIL</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rPr>
            </w:pPr>
          </w:p>
        </w:tc>
      </w:tr>
      <w:tr w:rsidR="00FF65B8" w:rsidRPr="00497D67" w:rsidTr="00FF65B8">
        <w:trPr>
          <w:trHeight w:val="444"/>
        </w:trPr>
        <w:tc>
          <w:tcPr>
            <w:cnfStyle w:val="001000000000"/>
            <w:tcW w:w="1558" w:type="dxa"/>
            <w:tcBorders>
              <w:right w:val="single" w:sz="4" w:space="0" w:color="F5CEB9" w:themeColor="accent5" w:themeTint="66"/>
            </w:tcBorders>
          </w:tcPr>
          <w:p w:rsidR="00FF65B8" w:rsidRPr="00497D67" w:rsidRDefault="00FF65B8" w:rsidP="005C55E7">
            <w:pPr>
              <w:autoSpaceDE w:val="0"/>
              <w:autoSpaceDN w:val="0"/>
              <w:adjustRightInd w:val="0"/>
              <w:jc w:val="both"/>
              <w:rPr>
                <w:rFonts w:ascii="Arial" w:hAnsi="Arial" w:cs="Arial"/>
                <w:sz w:val="18"/>
                <w:szCs w:val="18"/>
              </w:rPr>
            </w:pPr>
            <w:r>
              <w:rPr>
                <w:rFonts w:ascii="Arial" w:hAnsi="Arial" w:cs="Arial"/>
                <w:sz w:val="18"/>
                <w:szCs w:val="18"/>
              </w:rPr>
              <w:t>Rs.2,4</w:t>
            </w:r>
            <w:r w:rsidRPr="00497D67">
              <w:rPr>
                <w:rFonts w:ascii="Arial" w:hAnsi="Arial" w:cs="Arial"/>
                <w:sz w:val="18"/>
                <w:szCs w:val="18"/>
              </w:rPr>
              <w:t xml:space="preserve">0,001 – </w:t>
            </w:r>
          </w:p>
          <w:p w:rsidR="00FF65B8" w:rsidRPr="00497D67" w:rsidRDefault="00FF65B8"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Rs.5,00,000</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Rs.2,50,001–</w:t>
            </w:r>
          </w:p>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Rs.5,00,000</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10%</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p>
        </w:tc>
      </w:tr>
      <w:tr w:rsidR="00FF65B8" w:rsidRPr="00497D67" w:rsidTr="00FF65B8">
        <w:trPr>
          <w:cnfStyle w:val="000000100000"/>
          <w:trHeight w:val="424"/>
        </w:trPr>
        <w:tc>
          <w:tcPr>
            <w:cnfStyle w:val="001000000000"/>
            <w:tcW w:w="1558" w:type="dxa"/>
            <w:tcBorders>
              <w:right w:val="single" w:sz="4" w:space="0" w:color="F5CEB9" w:themeColor="accent5" w:themeTint="66"/>
            </w:tcBorders>
          </w:tcPr>
          <w:p w:rsidR="00FF65B8" w:rsidRPr="00497D67" w:rsidRDefault="00FF65B8" w:rsidP="005C55E7">
            <w:pPr>
              <w:autoSpaceDE w:val="0"/>
              <w:autoSpaceDN w:val="0"/>
              <w:adjustRightInd w:val="0"/>
              <w:jc w:val="both"/>
              <w:rPr>
                <w:rFonts w:ascii="Arial" w:hAnsi="Arial" w:cs="Arial"/>
                <w:sz w:val="18"/>
                <w:szCs w:val="18"/>
              </w:rPr>
            </w:pPr>
            <w:r w:rsidRPr="00497D67">
              <w:rPr>
                <w:rFonts w:ascii="Arial" w:hAnsi="Arial" w:cs="Arial"/>
                <w:sz w:val="18"/>
                <w:szCs w:val="18"/>
              </w:rPr>
              <w:t xml:space="preserve">Rs.5,00,000 – </w:t>
            </w:r>
          </w:p>
          <w:p w:rsidR="00FF65B8" w:rsidRPr="00497D67" w:rsidRDefault="00FF65B8"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Rs.8,00,000</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Rs. 5,00,001 –</w:t>
            </w:r>
          </w:p>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Rs.10,00,000</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20%</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p>
        </w:tc>
      </w:tr>
      <w:tr w:rsidR="00FF65B8" w:rsidRPr="00497D67" w:rsidTr="00FF65B8">
        <w:trPr>
          <w:trHeight w:val="213"/>
        </w:trPr>
        <w:tc>
          <w:tcPr>
            <w:cnfStyle w:val="001000000000"/>
            <w:tcW w:w="1558"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rPr>
                <w:rFonts w:ascii="Arial" w:hAnsi="Arial" w:cs="Arial"/>
                <w:sz w:val="18"/>
                <w:szCs w:val="18"/>
              </w:rPr>
            </w:pPr>
            <w:r w:rsidRPr="00497D67">
              <w:rPr>
                <w:rFonts w:ascii="Arial" w:hAnsi="Arial" w:cs="Arial"/>
                <w:sz w:val="18"/>
                <w:szCs w:val="18"/>
              </w:rPr>
              <w:t>Rs.8,00,001 &amp; above</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Rs.10,00,001 &amp; above</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30%</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p>
        </w:tc>
      </w:tr>
    </w:tbl>
    <w:p w:rsidR="009D03D2" w:rsidRPr="00497D67" w:rsidRDefault="009D03D2" w:rsidP="005C55E7">
      <w:pPr>
        <w:autoSpaceDE w:val="0"/>
        <w:autoSpaceDN w:val="0"/>
        <w:adjustRightInd w:val="0"/>
        <w:spacing w:after="0" w:line="240" w:lineRule="auto"/>
        <w:ind w:left="720"/>
        <w:jc w:val="both"/>
        <w:rPr>
          <w:rFonts w:ascii="Arial" w:hAnsi="Arial" w:cs="Arial"/>
        </w:rPr>
      </w:pPr>
    </w:p>
    <w:p w:rsidR="008B0499" w:rsidRDefault="008B0499" w:rsidP="005C55E7">
      <w:pPr>
        <w:autoSpaceDE w:val="0"/>
        <w:autoSpaceDN w:val="0"/>
        <w:adjustRightInd w:val="0"/>
        <w:spacing w:after="0" w:line="240" w:lineRule="auto"/>
        <w:ind w:left="720"/>
        <w:jc w:val="both"/>
        <w:rPr>
          <w:rFonts w:ascii="Arial" w:hAnsi="Arial" w:cs="Arial"/>
          <w:bCs/>
          <w:sz w:val="20"/>
          <w:szCs w:val="20"/>
        </w:rPr>
      </w:pPr>
    </w:p>
    <w:p w:rsidR="00321751" w:rsidRPr="00497D67" w:rsidRDefault="00321751" w:rsidP="005C55E7">
      <w:pPr>
        <w:autoSpaceDE w:val="0"/>
        <w:autoSpaceDN w:val="0"/>
        <w:adjustRightInd w:val="0"/>
        <w:spacing w:after="0" w:line="240" w:lineRule="auto"/>
        <w:ind w:left="720"/>
        <w:jc w:val="both"/>
        <w:rPr>
          <w:rFonts w:ascii="Arial" w:hAnsi="Arial" w:cs="Arial"/>
          <w:bCs/>
          <w:sz w:val="20"/>
          <w:szCs w:val="20"/>
        </w:rPr>
      </w:pPr>
      <w:r w:rsidRPr="00497D67">
        <w:rPr>
          <w:rFonts w:ascii="Arial" w:hAnsi="Arial" w:cs="Arial"/>
          <w:bCs/>
          <w:sz w:val="20"/>
          <w:szCs w:val="20"/>
        </w:rPr>
        <w:t>Senior Citizen above the age of eighty years (Assuming Income of Rs.10,00,000/-)</w:t>
      </w:r>
    </w:p>
    <w:p w:rsidR="00321751" w:rsidRPr="00497D67" w:rsidRDefault="00321751" w:rsidP="005C55E7">
      <w:pPr>
        <w:autoSpaceDE w:val="0"/>
        <w:autoSpaceDN w:val="0"/>
        <w:adjustRightInd w:val="0"/>
        <w:spacing w:after="0" w:line="240" w:lineRule="auto"/>
        <w:ind w:left="720"/>
        <w:jc w:val="both"/>
        <w:rPr>
          <w:rFonts w:ascii="Arial" w:hAnsi="Arial" w:cs="Arial"/>
          <w:bCs/>
          <w:sz w:val="20"/>
          <w:szCs w:val="20"/>
        </w:rPr>
      </w:pPr>
    </w:p>
    <w:tbl>
      <w:tblPr>
        <w:tblStyle w:val="LightList-Accent5"/>
        <w:tblW w:w="5850" w:type="dxa"/>
        <w:tblInd w:w="1908" w:type="dxa"/>
        <w:tblLayout w:type="fixed"/>
        <w:tblLook w:val="04A0"/>
      </w:tblPr>
      <w:tblGrid>
        <w:gridCol w:w="1558"/>
        <w:gridCol w:w="1899"/>
        <w:gridCol w:w="907"/>
        <w:gridCol w:w="1486"/>
      </w:tblGrid>
      <w:tr w:rsidR="00FF65B8" w:rsidRPr="00497D67" w:rsidTr="00314BBE">
        <w:trPr>
          <w:cnfStyle w:val="100000000000"/>
          <w:trHeight w:val="361"/>
        </w:trPr>
        <w:tc>
          <w:tcPr>
            <w:cnfStyle w:val="001000000000"/>
            <w:tcW w:w="1558"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rPr>
                <w:rFonts w:ascii="Arial" w:hAnsi="Arial" w:cs="Arial"/>
                <w:sz w:val="20"/>
                <w:szCs w:val="20"/>
              </w:rPr>
            </w:pPr>
            <w:r>
              <w:rPr>
                <w:rFonts w:ascii="Arial" w:hAnsi="Arial" w:cs="Arial"/>
                <w:b w:val="0"/>
                <w:bCs w:val="0"/>
                <w:color w:val="FFFFFF"/>
                <w:sz w:val="20"/>
                <w:szCs w:val="20"/>
              </w:rPr>
              <w:t>Last</w:t>
            </w:r>
            <w:r w:rsidRPr="00497D67">
              <w:rPr>
                <w:rFonts w:ascii="Arial" w:hAnsi="Arial" w:cs="Arial"/>
                <w:b w:val="0"/>
                <w:bCs w:val="0"/>
                <w:color w:val="FFFFFF"/>
                <w:sz w:val="20"/>
                <w:szCs w:val="20"/>
              </w:rPr>
              <w:t xml:space="preserve"> Limit</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Existing Limit</w:t>
            </w:r>
          </w:p>
        </w:tc>
        <w:tc>
          <w:tcPr>
            <w:tcW w:w="2393" w:type="dxa"/>
            <w:gridSpan w:val="2"/>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100000000000"/>
              <w:rPr>
                <w:rFonts w:ascii="Arial" w:hAnsi="Arial" w:cs="Arial"/>
                <w:sz w:val="20"/>
                <w:szCs w:val="20"/>
              </w:rPr>
            </w:pPr>
            <w:r w:rsidRPr="00497D67">
              <w:rPr>
                <w:rFonts w:ascii="Arial" w:hAnsi="Arial" w:cs="Arial"/>
                <w:b w:val="0"/>
                <w:bCs w:val="0"/>
                <w:color w:val="FFFFFF"/>
                <w:sz w:val="20"/>
                <w:szCs w:val="20"/>
              </w:rPr>
              <w:t>Tax Rate (%)</w:t>
            </w:r>
          </w:p>
        </w:tc>
      </w:tr>
      <w:tr w:rsidR="00FF65B8" w:rsidRPr="00497D67" w:rsidTr="00314BBE">
        <w:trPr>
          <w:cnfStyle w:val="000000100000"/>
          <w:trHeight w:val="252"/>
        </w:trPr>
        <w:tc>
          <w:tcPr>
            <w:cnfStyle w:val="001000000000"/>
            <w:tcW w:w="1558"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rPr>
                <w:rFonts w:ascii="Arial" w:hAnsi="Arial" w:cs="Arial"/>
                <w:sz w:val="18"/>
                <w:szCs w:val="18"/>
              </w:rPr>
            </w:pPr>
            <w:r>
              <w:rPr>
                <w:rFonts w:ascii="Arial" w:hAnsi="Arial" w:cs="Arial"/>
                <w:sz w:val="18"/>
                <w:szCs w:val="18"/>
              </w:rPr>
              <w:t>N.A</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Upto Rs.500,000</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rPr>
            </w:pPr>
            <w:r w:rsidRPr="00497D67">
              <w:rPr>
                <w:rFonts w:ascii="Arial" w:hAnsi="Arial" w:cs="Arial"/>
                <w:sz w:val="16"/>
                <w:szCs w:val="16"/>
              </w:rPr>
              <w:t>NIL</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rPr>
            </w:pPr>
          </w:p>
        </w:tc>
      </w:tr>
      <w:tr w:rsidR="00FF65B8" w:rsidRPr="00497D67" w:rsidTr="00314BBE">
        <w:trPr>
          <w:trHeight w:val="444"/>
        </w:trPr>
        <w:tc>
          <w:tcPr>
            <w:cnfStyle w:val="001000000000"/>
            <w:tcW w:w="1558" w:type="dxa"/>
            <w:tcBorders>
              <w:right w:val="single" w:sz="4" w:space="0" w:color="F5CEB9" w:themeColor="accent5" w:themeTint="66"/>
            </w:tcBorders>
          </w:tcPr>
          <w:p w:rsidR="00FF65B8" w:rsidRDefault="00FF65B8" w:rsidP="005C55E7">
            <w:pPr>
              <w:jc w:val="both"/>
            </w:pPr>
            <w:r w:rsidRPr="00D07968">
              <w:rPr>
                <w:rFonts w:ascii="Arial" w:hAnsi="Arial" w:cs="Arial"/>
                <w:sz w:val="18"/>
                <w:szCs w:val="18"/>
              </w:rPr>
              <w:t>N.A</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 xml:space="preserve">Rs.5,00,001 – </w:t>
            </w:r>
          </w:p>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Rs.8,00,000</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r w:rsidRPr="00497D67">
              <w:rPr>
                <w:rFonts w:ascii="Arial" w:hAnsi="Arial" w:cs="Arial"/>
                <w:sz w:val="18"/>
                <w:szCs w:val="18"/>
              </w:rPr>
              <w:t>20%</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000000"/>
              <w:rPr>
                <w:rFonts w:ascii="Arial" w:hAnsi="Arial" w:cs="Arial"/>
                <w:sz w:val="18"/>
                <w:szCs w:val="18"/>
              </w:rPr>
            </w:pPr>
          </w:p>
        </w:tc>
      </w:tr>
      <w:tr w:rsidR="00FF65B8" w:rsidRPr="00497D67" w:rsidTr="00314BBE">
        <w:trPr>
          <w:cnfStyle w:val="000000100000"/>
          <w:trHeight w:val="213"/>
        </w:trPr>
        <w:tc>
          <w:tcPr>
            <w:cnfStyle w:val="001000000000"/>
            <w:tcW w:w="1558" w:type="dxa"/>
            <w:tcBorders>
              <w:right w:val="single" w:sz="4" w:space="0" w:color="F5CEB9" w:themeColor="accent5" w:themeTint="66"/>
            </w:tcBorders>
          </w:tcPr>
          <w:p w:rsidR="00FF65B8" w:rsidRDefault="00FF65B8" w:rsidP="005C55E7">
            <w:pPr>
              <w:jc w:val="both"/>
            </w:pPr>
            <w:r w:rsidRPr="00D07968">
              <w:rPr>
                <w:rFonts w:ascii="Arial" w:hAnsi="Arial" w:cs="Arial"/>
                <w:sz w:val="18"/>
                <w:szCs w:val="18"/>
              </w:rPr>
              <w:t>N.A</w:t>
            </w:r>
          </w:p>
        </w:tc>
        <w:tc>
          <w:tcPr>
            <w:tcW w:w="1899" w:type="dxa"/>
            <w:tcBorders>
              <w:left w:val="single" w:sz="4" w:space="0" w:color="F5CEB9" w:themeColor="accent5" w:themeTint="66"/>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Rs.8,00,001 &amp; above</w:t>
            </w:r>
          </w:p>
        </w:tc>
        <w:tc>
          <w:tcPr>
            <w:tcW w:w="907" w:type="dxa"/>
            <w:tcBorders>
              <w:lef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r w:rsidRPr="00497D67">
              <w:rPr>
                <w:rFonts w:ascii="Arial" w:hAnsi="Arial" w:cs="Arial"/>
                <w:sz w:val="18"/>
                <w:szCs w:val="18"/>
              </w:rPr>
              <w:t>30%</w:t>
            </w:r>
          </w:p>
        </w:tc>
        <w:tc>
          <w:tcPr>
            <w:tcW w:w="1486" w:type="dxa"/>
            <w:tcBorders>
              <w:right w:val="single" w:sz="4" w:space="0" w:color="F5CEB9" w:themeColor="accent5" w:themeTint="66"/>
            </w:tcBorders>
          </w:tcPr>
          <w:p w:rsidR="00FF65B8" w:rsidRPr="00497D67" w:rsidRDefault="00FF65B8" w:rsidP="005C55E7">
            <w:pPr>
              <w:pStyle w:val="ListParagraph"/>
              <w:autoSpaceDE w:val="0"/>
              <w:autoSpaceDN w:val="0"/>
              <w:adjustRightInd w:val="0"/>
              <w:ind w:left="0"/>
              <w:jc w:val="both"/>
              <w:cnfStyle w:val="000000100000"/>
              <w:rPr>
                <w:rFonts w:ascii="Arial" w:hAnsi="Arial" w:cs="Arial"/>
                <w:sz w:val="18"/>
                <w:szCs w:val="18"/>
              </w:rPr>
            </w:pPr>
          </w:p>
        </w:tc>
      </w:tr>
      <w:tr w:rsidR="00FF65B8" w:rsidRPr="00497D67" w:rsidTr="00314BBE">
        <w:trPr>
          <w:trHeight w:val="440"/>
        </w:trPr>
        <w:tc>
          <w:tcPr>
            <w:cnfStyle w:val="001000000000"/>
            <w:tcW w:w="5850" w:type="dxa"/>
            <w:gridSpan w:val="4"/>
            <w:tcBorders>
              <w:left w:val="nil"/>
              <w:bottom w:val="nil"/>
              <w:right w:val="nil"/>
            </w:tcBorders>
          </w:tcPr>
          <w:p w:rsidR="00FF65B8" w:rsidRPr="00497D67" w:rsidRDefault="00FF65B8" w:rsidP="005C55E7">
            <w:pPr>
              <w:pStyle w:val="ListParagraph"/>
              <w:autoSpaceDE w:val="0"/>
              <w:autoSpaceDN w:val="0"/>
              <w:adjustRightInd w:val="0"/>
              <w:ind w:left="0"/>
              <w:jc w:val="both"/>
              <w:rPr>
                <w:rFonts w:ascii="Arial" w:hAnsi="Arial" w:cs="Arial"/>
                <w:sz w:val="18"/>
                <w:szCs w:val="18"/>
              </w:rPr>
            </w:pPr>
          </w:p>
        </w:tc>
      </w:tr>
    </w:tbl>
    <w:p w:rsidR="00321751" w:rsidRPr="00497D67" w:rsidRDefault="00321751" w:rsidP="005C55E7">
      <w:pPr>
        <w:autoSpaceDE w:val="0"/>
        <w:autoSpaceDN w:val="0"/>
        <w:adjustRightInd w:val="0"/>
        <w:spacing w:after="0" w:line="240" w:lineRule="auto"/>
        <w:ind w:left="720"/>
        <w:jc w:val="both"/>
        <w:rPr>
          <w:rFonts w:ascii="Arial" w:hAnsi="Arial" w:cs="Arial"/>
          <w:bCs/>
          <w:sz w:val="20"/>
          <w:szCs w:val="20"/>
        </w:rPr>
      </w:pPr>
    </w:p>
    <w:p w:rsidR="00C367DF" w:rsidRPr="00497D67" w:rsidRDefault="00C367DF" w:rsidP="005C55E7">
      <w:pPr>
        <w:pStyle w:val="ListParagraph"/>
        <w:numPr>
          <w:ilvl w:val="0"/>
          <w:numId w:val="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No surcharge will be levied in case of individuals, HUF, AOP &amp; BOI, cooperative society, local </w:t>
      </w:r>
    </w:p>
    <w:p w:rsidR="00C367DF" w:rsidRPr="00497D67" w:rsidRDefault="00C367DF" w:rsidP="005C55E7">
      <w:p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authority and firms.</w:t>
      </w:r>
    </w:p>
    <w:p w:rsidR="00C367DF" w:rsidRPr="00497D67" w:rsidRDefault="00C367DF" w:rsidP="005C55E7">
      <w:pPr>
        <w:autoSpaceDE w:val="0"/>
        <w:autoSpaceDN w:val="0"/>
        <w:adjustRightInd w:val="0"/>
        <w:spacing w:after="0" w:line="240" w:lineRule="auto"/>
        <w:ind w:left="720"/>
        <w:jc w:val="both"/>
        <w:rPr>
          <w:rFonts w:ascii="Arial" w:hAnsi="Arial" w:cs="Arial"/>
          <w:sz w:val="20"/>
          <w:szCs w:val="20"/>
        </w:rPr>
      </w:pPr>
    </w:p>
    <w:p w:rsidR="00C367DF" w:rsidRPr="00497D67" w:rsidRDefault="00C367DF" w:rsidP="005C55E7">
      <w:pPr>
        <w:pStyle w:val="ListParagraph"/>
        <w:numPr>
          <w:ilvl w:val="0"/>
          <w:numId w:val="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education cess shall continue to be levied at the rate of 2% and Secondary and Higher education cess @ 1%.</w:t>
      </w:r>
    </w:p>
    <w:p w:rsidR="00C367DF" w:rsidRPr="00497D67" w:rsidRDefault="00C367DF" w:rsidP="005C55E7">
      <w:pPr>
        <w:autoSpaceDE w:val="0"/>
        <w:autoSpaceDN w:val="0"/>
        <w:adjustRightInd w:val="0"/>
        <w:spacing w:after="0" w:line="240" w:lineRule="auto"/>
        <w:ind w:left="360"/>
        <w:jc w:val="both"/>
        <w:rPr>
          <w:rFonts w:ascii="Arial" w:hAnsi="Arial" w:cs="Arial"/>
          <w:sz w:val="20"/>
          <w:szCs w:val="20"/>
        </w:rPr>
      </w:pPr>
    </w:p>
    <w:p w:rsidR="00C367DF" w:rsidRPr="00497D67" w:rsidRDefault="00C367DF" w:rsidP="005C55E7">
      <w:pPr>
        <w:autoSpaceDE w:val="0"/>
        <w:autoSpaceDN w:val="0"/>
        <w:adjustRightInd w:val="0"/>
        <w:spacing w:after="0" w:line="240" w:lineRule="auto"/>
        <w:ind w:left="360"/>
        <w:jc w:val="both"/>
        <w:rPr>
          <w:rFonts w:ascii="Arial" w:hAnsi="Arial" w:cs="Arial"/>
          <w:b/>
          <w:bCs/>
          <w:sz w:val="20"/>
          <w:szCs w:val="20"/>
        </w:rPr>
      </w:pPr>
    </w:p>
    <w:p w:rsidR="00C367DF" w:rsidRPr="00497D67" w:rsidRDefault="00C367DF" w:rsidP="005C55E7">
      <w:pPr>
        <w:jc w:val="both"/>
        <w:rPr>
          <w:rFonts w:ascii="Arial" w:hAnsi="Arial" w:cs="Arial"/>
          <w:b/>
          <w:bCs/>
          <w:sz w:val="20"/>
          <w:szCs w:val="20"/>
        </w:rPr>
      </w:pPr>
      <w:bookmarkStart w:id="5" w:name="_Corporate_Tax_Rate"/>
      <w:bookmarkEnd w:id="5"/>
      <w:r w:rsidRPr="00497D67">
        <w:rPr>
          <w:rFonts w:ascii="Arial" w:hAnsi="Arial" w:cs="Arial"/>
          <w:b/>
          <w:bCs/>
          <w:sz w:val="20"/>
          <w:szCs w:val="20"/>
        </w:rPr>
        <w:t>Corporate Tax Rate &amp; Surcharge</w:t>
      </w:r>
    </w:p>
    <w:p w:rsidR="00C367DF" w:rsidRPr="00497D67" w:rsidRDefault="00C367DF" w:rsidP="005C55E7">
      <w:pPr>
        <w:autoSpaceDE w:val="0"/>
        <w:autoSpaceDN w:val="0"/>
        <w:adjustRightInd w:val="0"/>
        <w:spacing w:after="0" w:line="240" w:lineRule="auto"/>
        <w:ind w:left="360"/>
        <w:jc w:val="both"/>
        <w:rPr>
          <w:rFonts w:ascii="Arial" w:hAnsi="Arial" w:cs="Arial"/>
          <w:sz w:val="20"/>
          <w:szCs w:val="20"/>
        </w:rPr>
      </w:pPr>
    </w:p>
    <w:p w:rsidR="00C367DF" w:rsidRPr="00497D67" w:rsidRDefault="00C367DF" w:rsidP="005C55E7">
      <w:pPr>
        <w:pStyle w:val="ListParagraph"/>
        <w:numPr>
          <w:ilvl w:val="0"/>
          <w:numId w:val="2"/>
        </w:numPr>
        <w:autoSpaceDE w:val="0"/>
        <w:autoSpaceDN w:val="0"/>
        <w:adjustRightInd w:val="0"/>
        <w:spacing w:after="0" w:line="240" w:lineRule="auto"/>
        <w:jc w:val="both"/>
        <w:rPr>
          <w:rFonts w:ascii="Arial" w:hAnsi="Arial" w:cs="Arial"/>
          <w:bCs/>
          <w:sz w:val="20"/>
          <w:szCs w:val="20"/>
        </w:rPr>
      </w:pPr>
      <w:r w:rsidRPr="00497D67">
        <w:rPr>
          <w:rFonts w:ascii="Arial" w:hAnsi="Arial" w:cs="Arial"/>
          <w:sz w:val="20"/>
          <w:szCs w:val="20"/>
        </w:rPr>
        <w:t>Corporate tax rates remain unchanged for both domestic as well as foreign companies. The applicable rates of tax are as under:</w:t>
      </w:r>
    </w:p>
    <w:p w:rsidR="00C367DF" w:rsidRPr="00497D67" w:rsidRDefault="00C367DF" w:rsidP="005C55E7">
      <w:pPr>
        <w:autoSpaceDE w:val="0"/>
        <w:autoSpaceDN w:val="0"/>
        <w:adjustRightInd w:val="0"/>
        <w:spacing w:after="0" w:line="240" w:lineRule="auto"/>
        <w:jc w:val="both"/>
        <w:rPr>
          <w:rFonts w:ascii="Arial" w:hAnsi="Arial" w:cs="Arial"/>
          <w:sz w:val="20"/>
          <w:szCs w:val="20"/>
        </w:rPr>
      </w:pPr>
    </w:p>
    <w:tbl>
      <w:tblPr>
        <w:tblStyle w:val="LightList-Accent5"/>
        <w:tblW w:w="8370" w:type="dxa"/>
        <w:tblInd w:w="828" w:type="dxa"/>
        <w:tblLook w:val="04A0"/>
      </w:tblPr>
      <w:tblGrid>
        <w:gridCol w:w="728"/>
        <w:gridCol w:w="5653"/>
        <w:gridCol w:w="1989"/>
      </w:tblGrid>
      <w:tr w:rsidR="00FA65C5" w:rsidRPr="00497D67" w:rsidTr="00FA65C5">
        <w:trPr>
          <w:cnfStyle w:val="100000000000"/>
        </w:trPr>
        <w:tc>
          <w:tcPr>
            <w:cnfStyle w:val="001000000000"/>
            <w:tcW w:w="728" w:type="dxa"/>
            <w:tcBorders>
              <w:right w:val="single" w:sz="4" w:space="0" w:color="F5CEB9" w:themeColor="accent5" w:themeTint="66"/>
            </w:tcBorders>
          </w:tcPr>
          <w:p w:rsidR="00FA65C5" w:rsidRPr="00497D67" w:rsidRDefault="00FA65C5" w:rsidP="005C55E7">
            <w:pPr>
              <w:autoSpaceDE w:val="0"/>
              <w:autoSpaceDN w:val="0"/>
              <w:adjustRightInd w:val="0"/>
              <w:jc w:val="both"/>
              <w:rPr>
                <w:rFonts w:ascii="Arial" w:hAnsi="Arial" w:cs="Arial"/>
                <w:b w:val="0"/>
                <w:bCs w:val="0"/>
                <w:color w:val="FFFFFF"/>
                <w:sz w:val="20"/>
                <w:szCs w:val="20"/>
              </w:rPr>
            </w:pPr>
            <w:r w:rsidRPr="00497D67">
              <w:rPr>
                <w:rFonts w:ascii="Arial" w:hAnsi="Arial" w:cs="Arial"/>
                <w:b w:val="0"/>
                <w:bCs w:val="0"/>
                <w:color w:val="FFFFFF"/>
                <w:sz w:val="20"/>
                <w:szCs w:val="20"/>
              </w:rPr>
              <w:t>S.No.</w:t>
            </w:r>
          </w:p>
        </w:tc>
        <w:tc>
          <w:tcPr>
            <w:tcW w:w="5653" w:type="dxa"/>
            <w:tcBorders>
              <w:right w:val="single" w:sz="4" w:space="0" w:color="F5CEB9" w:themeColor="accent5" w:themeTint="66"/>
            </w:tcBorders>
          </w:tcPr>
          <w:p w:rsidR="00FA65C5" w:rsidRPr="00497D67" w:rsidRDefault="00FA65C5" w:rsidP="005C55E7">
            <w:pPr>
              <w:autoSpaceDE w:val="0"/>
              <w:autoSpaceDN w:val="0"/>
              <w:adjustRightInd w:val="0"/>
              <w:jc w:val="both"/>
              <w:cnfStyle w:val="100000000000"/>
              <w:rPr>
                <w:rFonts w:ascii="Arial" w:hAnsi="Arial" w:cs="Arial"/>
                <w:b w:val="0"/>
                <w:bCs w:val="0"/>
                <w:color w:val="FFFFFF"/>
                <w:sz w:val="20"/>
                <w:szCs w:val="20"/>
              </w:rPr>
            </w:pPr>
            <w:r w:rsidRPr="00497D67">
              <w:rPr>
                <w:rFonts w:ascii="Arial" w:hAnsi="Arial" w:cs="Arial"/>
                <w:b w:val="0"/>
                <w:bCs w:val="0"/>
                <w:color w:val="FFFFFF"/>
                <w:sz w:val="20"/>
                <w:szCs w:val="20"/>
              </w:rPr>
              <w:t>Particulars</w:t>
            </w:r>
          </w:p>
        </w:tc>
        <w:tc>
          <w:tcPr>
            <w:tcW w:w="1989" w:type="dxa"/>
            <w:tcBorders>
              <w:left w:val="single" w:sz="4" w:space="0" w:color="F5CEB9" w:themeColor="accent5" w:themeTint="66"/>
            </w:tcBorders>
          </w:tcPr>
          <w:p w:rsidR="00FA65C5" w:rsidRPr="00497D67" w:rsidRDefault="00FA65C5" w:rsidP="005C55E7">
            <w:pPr>
              <w:autoSpaceDE w:val="0"/>
              <w:autoSpaceDN w:val="0"/>
              <w:adjustRightInd w:val="0"/>
              <w:jc w:val="both"/>
              <w:cnfStyle w:val="100000000000"/>
              <w:rPr>
                <w:rFonts w:ascii="Arial" w:hAnsi="Arial" w:cs="Arial"/>
                <w:b w:val="0"/>
                <w:bCs w:val="0"/>
                <w:color w:val="FFFFFF"/>
                <w:sz w:val="20"/>
                <w:szCs w:val="20"/>
              </w:rPr>
            </w:pPr>
          </w:p>
        </w:tc>
      </w:tr>
      <w:tr w:rsidR="00FA65C5" w:rsidRPr="00497D67" w:rsidTr="00FA65C5">
        <w:trPr>
          <w:cnfStyle w:val="000000100000"/>
          <w:trHeight w:val="376"/>
        </w:trPr>
        <w:tc>
          <w:tcPr>
            <w:cnfStyle w:val="001000000000"/>
            <w:tcW w:w="728" w:type="dxa"/>
            <w:tcBorders>
              <w:right w:val="single" w:sz="4" w:space="0" w:color="F5CEB9" w:themeColor="accent5" w:themeTint="66"/>
            </w:tcBorders>
          </w:tcPr>
          <w:p w:rsidR="00FA65C5" w:rsidRPr="00497D67" w:rsidRDefault="00FA65C5" w:rsidP="005C55E7">
            <w:pPr>
              <w:autoSpaceDE w:val="0"/>
              <w:autoSpaceDN w:val="0"/>
              <w:adjustRightInd w:val="0"/>
              <w:jc w:val="both"/>
              <w:rPr>
                <w:rFonts w:ascii="Arial" w:hAnsi="Arial" w:cs="Arial"/>
                <w:b w:val="0"/>
                <w:bCs w:val="0"/>
                <w:color w:val="FFFFFF"/>
                <w:sz w:val="20"/>
                <w:szCs w:val="20"/>
              </w:rPr>
            </w:pPr>
            <w:r w:rsidRPr="00497D67">
              <w:rPr>
                <w:rFonts w:ascii="Arial" w:hAnsi="Arial" w:cs="Arial"/>
                <w:b w:val="0"/>
                <w:bCs w:val="0"/>
                <w:color w:val="FFFFFF"/>
                <w:sz w:val="20"/>
                <w:szCs w:val="20"/>
              </w:rPr>
              <w:t>.</w:t>
            </w:r>
            <w:r w:rsidRPr="00497D67">
              <w:rPr>
                <w:rFonts w:ascii="Arial" w:hAnsi="Arial" w:cs="Arial"/>
                <w:sz w:val="16"/>
                <w:szCs w:val="16"/>
              </w:rPr>
              <w:t>1.</w:t>
            </w:r>
          </w:p>
        </w:tc>
        <w:tc>
          <w:tcPr>
            <w:tcW w:w="5653" w:type="dxa"/>
            <w:tcBorders>
              <w:right w:val="single" w:sz="4" w:space="0" w:color="F5CEB9" w:themeColor="accent5" w:themeTint="66"/>
            </w:tcBorders>
          </w:tcPr>
          <w:p w:rsidR="00FA65C5" w:rsidRPr="00497D67" w:rsidRDefault="00FA65C5"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Domestic Company</w:t>
            </w:r>
          </w:p>
          <w:p w:rsidR="00FA65C5" w:rsidRPr="00497D67" w:rsidRDefault="00FA65C5"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Normal Tax Rate</w:t>
            </w:r>
          </w:p>
          <w:p w:rsidR="00FA65C5" w:rsidRPr="00497D67" w:rsidRDefault="00FA65C5"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Minimum Alternative Tax (MAT)</w:t>
            </w:r>
          </w:p>
        </w:tc>
        <w:tc>
          <w:tcPr>
            <w:tcW w:w="1989" w:type="dxa"/>
            <w:tcBorders>
              <w:left w:val="single" w:sz="4" w:space="0" w:color="F5CEB9" w:themeColor="accent5" w:themeTint="66"/>
            </w:tcBorders>
          </w:tcPr>
          <w:p w:rsidR="00FA65C5" w:rsidRPr="00497D67" w:rsidRDefault="00FA65C5" w:rsidP="005C55E7">
            <w:pPr>
              <w:autoSpaceDE w:val="0"/>
              <w:autoSpaceDN w:val="0"/>
              <w:adjustRightInd w:val="0"/>
              <w:jc w:val="both"/>
              <w:cnfStyle w:val="000000100000"/>
              <w:rPr>
                <w:rFonts w:ascii="Arial" w:hAnsi="Arial" w:cs="Arial"/>
                <w:sz w:val="18"/>
                <w:szCs w:val="18"/>
              </w:rPr>
            </w:pPr>
          </w:p>
          <w:p w:rsidR="00FA65C5" w:rsidRPr="00497D67" w:rsidRDefault="00FA65C5"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30%</w:t>
            </w:r>
          </w:p>
          <w:p w:rsidR="00FA65C5" w:rsidRPr="00497D67" w:rsidRDefault="00FA65C5"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18.50%</w:t>
            </w:r>
          </w:p>
        </w:tc>
      </w:tr>
      <w:tr w:rsidR="00FA65C5" w:rsidRPr="00497D67" w:rsidTr="00FA65C5">
        <w:tc>
          <w:tcPr>
            <w:cnfStyle w:val="001000000000"/>
            <w:tcW w:w="728" w:type="dxa"/>
            <w:tcBorders>
              <w:right w:val="single" w:sz="4" w:space="0" w:color="F5CEB9" w:themeColor="accent5" w:themeTint="66"/>
            </w:tcBorders>
          </w:tcPr>
          <w:p w:rsidR="00FA65C5" w:rsidRPr="00497D67" w:rsidRDefault="00FA65C5" w:rsidP="005C55E7">
            <w:pPr>
              <w:autoSpaceDE w:val="0"/>
              <w:autoSpaceDN w:val="0"/>
              <w:adjustRightInd w:val="0"/>
              <w:jc w:val="both"/>
              <w:rPr>
                <w:rFonts w:ascii="Arial" w:hAnsi="Arial" w:cs="Arial"/>
                <w:b w:val="0"/>
                <w:bCs w:val="0"/>
                <w:color w:val="FFFFFF"/>
                <w:sz w:val="20"/>
                <w:szCs w:val="20"/>
              </w:rPr>
            </w:pPr>
            <w:r w:rsidRPr="00497D67">
              <w:rPr>
                <w:rFonts w:ascii="Arial" w:hAnsi="Arial" w:cs="Arial"/>
                <w:sz w:val="16"/>
                <w:szCs w:val="16"/>
              </w:rPr>
              <w:t xml:space="preserve"> 2.</w:t>
            </w:r>
          </w:p>
        </w:tc>
        <w:tc>
          <w:tcPr>
            <w:tcW w:w="5653" w:type="dxa"/>
            <w:tcBorders>
              <w:right w:val="single" w:sz="4" w:space="0" w:color="F5CEB9" w:themeColor="accent5" w:themeTint="66"/>
            </w:tcBorders>
          </w:tcPr>
          <w:p w:rsidR="00FA65C5" w:rsidRPr="00497D67" w:rsidRDefault="00FA65C5"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Foreign Company</w:t>
            </w:r>
          </w:p>
          <w:p w:rsidR="00FA65C5" w:rsidRPr="00497D67" w:rsidRDefault="00FA65C5"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Normal Tax Rate</w:t>
            </w:r>
          </w:p>
        </w:tc>
        <w:tc>
          <w:tcPr>
            <w:tcW w:w="1989" w:type="dxa"/>
            <w:tcBorders>
              <w:left w:val="single" w:sz="4" w:space="0" w:color="F5CEB9" w:themeColor="accent5" w:themeTint="66"/>
            </w:tcBorders>
          </w:tcPr>
          <w:p w:rsidR="00FA65C5" w:rsidRPr="00497D67" w:rsidRDefault="00FA65C5" w:rsidP="005C55E7">
            <w:pPr>
              <w:autoSpaceDE w:val="0"/>
              <w:autoSpaceDN w:val="0"/>
              <w:adjustRightInd w:val="0"/>
              <w:jc w:val="both"/>
              <w:cnfStyle w:val="000000000000"/>
              <w:rPr>
                <w:rFonts w:ascii="Arial" w:hAnsi="Arial" w:cs="Arial"/>
                <w:sz w:val="18"/>
                <w:szCs w:val="18"/>
              </w:rPr>
            </w:pPr>
          </w:p>
          <w:p w:rsidR="00FA65C5" w:rsidRPr="00497D67" w:rsidRDefault="00FA65C5"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40%</w:t>
            </w:r>
          </w:p>
        </w:tc>
      </w:tr>
    </w:tbl>
    <w:p w:rsidR="00C367DF" w:rsidRPr="00497D67" w:rsidRDefault="00C367DF" w:rsidP="005C55E7">
      <w:pPr>
        <w:autoSpaceDE w:val="0"/>
        <w:autoSpaceDN w:val="0"/>
        <w:adjustRightInd w:val="0"/>
        <w:spacing w:after="0" w:line="240" w:lineRule="auto"/>
        <w:jc w:val="both"/>
        <w:rPr>
          <w:rFonts w:ascii="Arial" w:hAnsi="Arial" w:cs="Arial"/>
          <w:bCs/>
          <w:sz w:val="20"/>
          <w:szCs w:val="20"/>
        </w:rPr>
      </w:pPr>
      <w:r w:rsidRPr="00497D67">
        <w:rPr>
          <w:rFonts w:ascii="Arial" w:hAnsi="Arial" w:cs="Arial"/>
          <w:sz w:val="20"/>
          <w:szCs w:val="20"/>
        </w:rPr>
        <w:t xml:space="preserve"> </w:t>
      </w:r>
    </w:p>
    <w:p w:rsidR="00C45ABC" w:rsidRPr="00497D67" w:rsidRDefault="00C45ABC" w:rsidP="005C55E7">
      <w:pPr>
        <w:pStyle w:val="ListParagraph"/>
        <w:numPr>
          <w:ilvl w:val="0"/>
          <w:numId w:val="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Surcharge on Income-tax payable by a domestic company having total income exceeding one crore rupees will continue to be levied @ 5% (including Section 115JB, 115O, 115R).</w:t>
      </w:r>
    </w:p>
    <w:p w:rsidR="00C45ABC" w:rsidRPr="00497D67" w:rsidRDefault="00C45ABC" w:rsidP="005C55E7">
      <w:pPr>
        <w:autoSpaceDE w:val="0"/>
        <w:autoSpaceDN w:val="0"/>
        <w:adjustRightInd w:val="0"/>
        <w:spacing w:after="0" w:line="240" w:lineRule="auto"/>
        <w:ind w:left="360"/>
        <w:jc w:val="both"/>
        <w:rPr>
          <w:rFonts w:ascii="Arial" w:hAnsi="Arial" w:cs="Arial"/>
          <w:sz w:val="20"/>
          <w:szCs w:val="20"/>
        </w:rPr>
      </w:pPr>
    </w:p>
    <w:p w:rsidR="00C45ABC" w:rsidRPr="00497D67" w:rsidRDefault="00C45ABC" w:rsidP="005C55E7">
      <w:pPr>
        <w:pStyle w:val="ListParagraph"/>
        <w:numPr>
          <w:ilvl w:val="0"/>
          <w:numId w:val="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case of companies, other than domestic companies, having the income exceeding one exceeding one, the surcharge on income-tax will continue to be levied at 2%.</w:t>
      </w:r>
    </w:p>
    <w:p w:rsidR="00C45ABC" w:rsidRPr="00497D67" w:rsidRDefault="00C45ABC" w:rsidP="005C55E7">
      <w:pPr>
        <w:autoSpaceDE w:val="0"/>
        <w:autoSpaceDN w:val="0"/>
        <w:adjustRightInd w:val="0"/>
        <w:spacing w:after="0" w:line="240" w:lineRule="auto"/>
        <w:ind w:left="360"/>
        <w:jc w:val="both"/>
        <w:rPr>
          <w:rFonts w:ascii="Arial" w:hAnsi="Arial" w:cs="Arial"/>
          <w:sz w:val="20"/>
          <w:szCs w:val="20"/>
        </w:rPr>
      </w:pPr>
    </w:p>
    <w:p w:rsidR="00C45ABC" w:rsidRPr="00497D67" w:rsidRDefault="00C45ABC" w:rsidP="005C55E7">
      <w:pPr>
        <w:pStyle w:val="ListParagraph"/>
        <w:numPr>
          <w:ilvl w:val="0"/>
          <w:numId w:val="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marginal relief in tax will continue to be allowed in the cases where income is more than one crore rupees.</w:t>
      </w:r>
    </w:p>
    <w:p w:rsidR="00C45ABC" w:rsidRPr="00497D67" w:rsidRDefault="00C45ABC" w:rsidP="005C55E7">
      <w:pPr>
        <w:autoSpaceDE w:val="0"/>
        <w:autoSpaceDN w:val="0"/>
        <w:adjustRightInd w:val="0"/>
        <w:spacing w:after="0" w:line="240" w:lineRule="auto"/>
        <w:ind w:left="360"/>
        <w:jc w:val="both"/>
        <w:rPr>
          <w:rFonts w:ascii="Arial" w:hAnsi="Arial" w:cs="Arial"/>
          <w:sz w:val="20"/>
          <w:szCs w:val="20"/>
        </w:rPr>
      </w:pPr>
    </w:p>
    <w:p w:rsidR="00AA7110" w:rsidRPr="00497D67" w:rsidRDefault="00AA7110" w:rsidP="005C55E7">
      <w:pPr>
        <w:autoSpaceDE w:val="0"/>
        <w:autoSpaceDN w:val="0"/>
        <w:adjustRightInd w:val="0"/>
        <w:spacing w:after="0" w:line="240" w:lineRule="auto"/>
        <w:ind w:left="360"/>
        <w:jc w:val="both"/>
        <w:rPr>
          <w:rFonts w:ascii="Arial" w:hAnsi="Arial" w:cs="Arial"/>
          <w:sz w:val="20"/>
          <w:szCs w:val="20"/>
        </w:rPr>
      </w:pPr>
    </w:p>
    <w:p w:rsidR="00AA7110" w:rsidRPr="00497D67" w:rsidRDefault="00AA7110" w:rsidP="005C55E7">
      <w:pPr>
        <w:autoSpaceDE w:val="0"/>
        <w:autoSpaceDN w:val="0"/>
        <w:adjustRightInd w:val="0"/>
        <w:spacing w:after="0" w:line="240" w:lineRule="auto"/>
        <w:ind w:left="360"/>
        <w:jc w:val="both"/>
        <w:rPr>
          <w:rFonts w:ascii="Arial" w:hAnsi="Arial" w:cs="Arial"/>
          <w:sz w:val="20"/>
          <w:szCs w:val="20"/>
        </w:rPr>
      </w:pPr>
    </w:p>
    <w:p w:rsidR="00AA7110" w:rsidRPr="00497D67" w:rsidRDefault="00AA7110" w:rsidP="005C55E7">
      <w:pPr>
        <w:autoSpaceDE w:val="0"/>
        <w:autoSpaceDN w:val="0"/>
        <w:adjustRightInd w:val="0"/>
        <w:spacing w:after="0" w:line="240" w:lineRule="auto"/>
        <w:ind w:left="360"/>
        <w:jc w:val="both"/>
        <w:rPr>
          <w:rFonts w:ascii="Arial" w:hAnsi="Arial" w:cs="Arial"/>
          <w:sz w:val="20"/>
          <w:szCs w:val="20"/>
        </w:rPr>
      </w:pPr>
    </w:p>
    <w:p w:rsidR="00AA7110" w:rsidRPr="00497D67" w:rsidRDefault="00AA7110" w:rsidP="005C55E7">
      <w:pPr>
        <w:autoSpaceDE w:val="0"/>
        <w:autoSpaceDN w:val="0"/>
        <w:adjustRightInd w:val="0"/>
        <w:spacing w:after="0" w:line="240" w:lineRule="auto"/>
        <w:jc w:val="both"/>
        <w:rPr>
          <w:rFonts w:ascii="Arial" w:hAnsi="Arial" w:cs="Arial"/>
          <w:sz w:val="20"/>
          <w:szCs w:val="20"/>
        </w:rPr>
      </w:pPr>
    </w:p>
    <w:p w:rsidR="00AD2305" w:rsidRDefault="00AD2305" w:rsidP="005C55E7">
      <w:pPr>
        <w:jc w:val="both"/>
        <w:rPr>
          <w:rFonts w:ascii="Arial" w:hAnsi="Arial" w:cs="Arial"/>
          <w:b/>
          <w:bCs/>
          <w:sz w:val="20"/>
          <w:szCs w:val="20"/>
        </w:rPr>
      </w:pPr>
      <w:bookmarkStart w:id="6" w:name="_Tax_Deduction_at"/>
      <w:bookmarkEnd w:id="6"/>
    </w:p>
    <w:p w:rsidR="00AA7110" w:rsidRPr="00497D67" w:rsidRDefault="00AA7110" w:rsidP="005C55E7">
      <w:pPr>
        <w:jc w:val="both"/>
        <w:rPr>
          <w:rFonts w:ascii="Arial" w:hAnsi="Arial" w:cs="Arial"/>
          <w:b/>
          <w:bCs/>
          <w:sz w:val="20"/>
          <w:szCs w:val="20"/>
        </w:rPr>
      </w:pPr>
      <w:r w:rsidRPr="00497D67">
        <w:rPr>
          <w:rFonts w:ascii="Arial" w:hAnsi="Arial" w:cs="Arial"/>
          <w:b/>
          <w:bCs/>
          <w:sz w:val="20"/>
          <w:szCs w:val="20"/>
        </w:rPr>
        <w:t>Tax Deduction at Source (TDS)</w:t>
      </w:r>
    </w:p>
    <w:p w:rsidR="00AA7110" w:rsidRPr="00497D67" w:rsidRDefault="00AA7110" w:rsidP="005C55E7">
      <w:pPr>
        <w:jc w:val="both"/>
        <w:rPr>
          <w:rFonts w:ascii="Arial" w:hAnsi="Arial" w:cs="Arial"/>
          <w:sz w:val="20"/>
          <w:szCs w:val="20"/>
        </w:rPr>
      </w:pPr>
      <w:bookmarkStart w:id="7" w:name="_Rates_of_TDS"/>
      <w:bookmarkEnd w:id="7"/>
      <w:r w:rsidRPr="00497D67">
        <w:rPr>
          <w:rFonts w:ascii="Arial" w:hAnsi="Arial" w:cs="Arial"/>
          <w:b/>
          <w:bCs/>
          <w:sz w:val="20"/>
          <w:szCs w:val="20"/>
        </w:rPr>
        <w:lastRenderedPageBreak/>
        <w:t>Rates of TDS for income other than Salaries</w:t>
      </w:r>
    </w:p>
    <w:p w:rsidR="00AA7110" w:rsidRPr="00497D67" w:rsidRDefault="00AA7110" w:rsidP="005C55E7">
      <w:pPr>
        <w:autoSpaceDE w:val="0"/>
        <w:autoSpaceDN w:val="0"/>
        <w:adjustRightInd w:val="0"/>
        <w:spacing w:after="0" w:line="240" w:lineRule="auto"/>
        <w:ind w:left="360"/>
        <w:jc w:val="both"/>
        <w:rPr>
          <w:rFonts w:ascii="Arial" w:hAnsi="Arial" w:cs="Arial"/>
          <w:sz w:val="20"/>
          <w:szCs w:val="20"/>
        </w:rPr>
      </w:pPr>
    </w:p>
    <w:p w:rsidR="00AA7110" w:rsidRPr="00497D67" w:rsidRDefault="00AA7110" w:rsidP="005C55E7">
      <w:pPr>
        <w:pStyle w:val="ListParagraph"/>
        <w:numPr>
          <w:ilvl w:val="0"/>
          <w:numId w:val="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current rate of TDS will continue to be same, except that in case of certain interest payments made to non-residents by a specified Indian company engaged in prescribed business of infrastructure development, the TDS would be @ 5% as per new Section 194LC.</w:t>
      </w:r>
    </w:p>
    <w:p w:rsidR="00AA7110" w:rsidRPr="00497D67" w:rsidRDefault="00AA7110" w:rsidP="005C55E7">
      <w:pPr>
        <w:autoSpaceDE w:val="0"/>
        <w:autoSpaceDN w:val="0"/>
        <w:adjustRightInd w:val="0"/>
        <w:spacing w:after="0" w:line="240" w:lineRule="auto"/>
        <w:jc w:val="both"/>
        <w:rPr>
          <w:rFonts w:ascii="Arial" w:hAnsi="Arial" w:cs="Arial"/>
          <w:sz w:val="20"/>
          <w:szCs w:val="20"/>
        </w:rPr>
      </w:pPr>
    </w:p>
    <w:p w:rsidR="00AA7110" w:rsidRPr="00497D67" w:rsidRDefault="00AA7110" w:rsidP="005C55E7">
      <w:pPr>
        <w:pStyle w:val="ListParagraph"/>
        <w:numPr>
          <w:ilvl w:val="0"/>
          <w:numId w:val="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amount of surcharge will continue to be levied at the current rate of 2% in case of payments to foreign companies if payments exceed Rs.1 crore.</w:t>
      </w:r>
    </w:p>
    <w:p w:rsidR="00F62066" w:rsidRPr="00497D67" w:rsidRDefault="00F62066" w:rsidP="005C55E7">
      <w:pPr>
        <w:pStyle w:val="ListParagraph"/>
        <w:spacing w:line="240" w:lineRule="auto"/>
        <w:jc w:val="both"/>
        <w:rPr>
          <w:rFonts w:ascii="Arial" w:hAnsi="Arial" w:cs="Arial"/>
          <w:sz w:val="20"/>
          <w:szCs w:val="20"/>
        </w:rPr>
      </w:pPr>
    </w:p>
    <w:p w:rsidR="00241178" w:rsidRPr="00497D67" w:rsidRDefault="00F62066" w:rsidP="005C55E7">
      <w:pPr>
        <w:pStyle w:val="ListParagraph"/>
        <w:numPr>
          <w:ilvl w:val="0"/>
          <w:numId w:val="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education cess and secondary and higher secondary education cess will</w:t>
      </w:r>
      <w:r w:rsidR="00241178" w:rsidRPr="00497D67">
        <w:rPr>
          <w:rFonts w:ascii="Arial" w:hAnsi="Arial" w:cs="Arial"/>
          <w:sz w:val="20"/>
          <w:szCs w:val="20"/>
        </w:rPr>
        <w:t xml:space="preserve"> continue to be levied at the current rate of 2% and 1% respectively where applicable.</w:t>
      </w:r>
    </w:p>
    <w:p w:rsidR="00241178" w:rsidRPr="00497D67" w:rsidRDefault="00241178" w:rsidP="005C55E7">
      <w:pPr>
        <w:pStyle w:val="ListParagraph"/>
        <w:spacing w:line="240" w:lineRule="auto"/>
        <w:jc w:val="both"/>
        <w:rPr>
          <w:rFonts w:ascii="Arial" w:hAnsi="Arial" w:cs="Arial"/>
          <w:sz w:val="20"/>
          <w:szCs w:val="20"/>
        </w:rPr>
      </w:pPr>
    </w:p>
    <w:p w:rsidR="00241178" w:rsidRPr="00F75D25" w:rsidRDefault="0061644B" w:rsidP="005C55E7">
      <w:pPr>
        <w:jc w:val="both"/>
        <w:rPr>
          <w:rFonts w:ascii="Arial" w:hAnsi="Arial" w:cs="Arial"/>
          <w:b/>
          <w:sz w:val="24"/>
          <w:szCs w:val="24"/>
        </w:rPr>
      </w:pPr>
      <w:bookmarkStart w:id="8" w:name="_B._Widening_of"/>
      <w:bookmarkEnd w:id="8"/>
      <w:r>
        <w:rPr>
          <w:rFonts w:ascii="Arial" w:hAnsi="Arial" w:cs="Arial"/>
          <w:b/>
          <w:sz w:val="20"/>
          <w:szCs w:val="20"/>
        </w:rPr>
        <w:t>B</w:t>
      </w:r>
      <w:r w:rsidR="00241178" w:rsidRPr="00497D67">
        <w:rPr>
          <w:rFonts w:ascii="Arial" w:hAnsi="Arial" w:cs="Arial"/>
          <w:sz w:val="20"/>
          <w:szCs w:val="20"/>
        </w:rPr>
        <w:t xml:space="preserve">. </w:t>
      </w:r>
      <w:r w:rsidR="00241178" w:rsidRPr="00497D67">
        <w:rPr>
          <w:rFonts w:ascii="Arial" w:hAnsi="Arial" w:cs="Arial"/>
          <w:b/>
          <w:sz w:val="24"/>
          <w:szCs w:val="24"/>
        </w:rPr>
        <w:t>Widening of tax base</w:t>
      </w:r>
    </w:p>
    <w:p w:rsidR="00241178" w:rsidRPr="00497D67" w:rsidRDefault="00241178" w:rsidP="005C55E7">
      <w:pPr>
        <w:jc w:val="both"/>
        <w:rPr>
          <w:rFonts w:ascii="Arial" w:hAnsi="Arial" w:cs="Arial"/>
          <w:b/>
          <w:bCs/>
          <w:sz w:val="20"/>
          <w:szCs w:val="20"/>
        </w:rPr>
      </w:pPr>
      <w:bookmarkStart w:id="9" w:name="_Alternate_Minimum_Tax"/>
      <w:bookmarkEnd w:id="9"/>
      <w:r w:rsidRPr="00497D67">
        <w:rPr>
          <w:rFonts w:ascii="Arial" w:hAnsi="Arial" w:cs="Arial"/>
          <w:b/>
          <w:bCs/>
          <w:sz w:val="20"/>
          <w:szCs w:val="20"/>
        </w:rPr>
        <w:t>Alternate Minimum Tax (AMT)</w:t>
      </w:r>
    </w:p>
    <w:p w:rsidR="00241178" w:rsidRPr="00497D67" w:rsidRDefault="00241178" w:rsidP="005C55E7">
      <w:pPr>
        <w:jc w:val="both"/>
        <w:rPr>
          <w:rFonts w:ascii="Arial" w:hAnsi="Arial" w:cs="Arial"/>
          <w:sz w:val="20"/>
          <w:szCs w:val="20"/>
        </w:rPr>
      </w:pPr>
    </w:p>
    <w:p w:rsidR="00241178" w:rsidRPr="00497D67" w:rsidRDefault="00241178" w:rsidP="005C55E7">
      <w:pPr>
        <w:pStyle w:val="ListParagraph"/>
        <w:numPr>
          <w:ilvl w:val="0"/>
          <w:numId w:val="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In order to widen the tax base vis-a vis profit linked investment, it is proposed to amend Chapter XII-BA in the Income-tax Act containing special provision relating to certain limited liability partnerships to be applicable to any person (other than company) claiming deduction under chapter VI –A under the heading “C- Deduction in respect of certain incomes” or under Section 10AA</w:t>
      </w:r>
    </w:p>
    <w:p w:rsidR="00241178" w:rsidRPr="00497D67" w:rsidRDefault="00241178" w:rsidP="005C55E7">
      <w:pPr>
        <w:autoSpaceDE w:val="0"/>
        <w:autoSpaceDN w:val="0"/>
        <w:adjustRightInd w:val="0"/>
        <w:spacing w:after="0" w:line="240" w:lineRule="auto"/>
        <w:jc w:val="both"/>
        <w:rPr>
          <w:rFonts w:ascii="Arial" w:hAnsi="Arial" w:cs="Arial"/>
          <w:sz w:val="20"/>
          <w:szCs w:val="20"/>
        </w:rPr>
      </w:pPr>
    </w:p>
    <w:p w:rsidR="00B22AB4" w:rsidRPr="00497D67" w:rsidRDefault="00B22AB4" w:rsidP="005C55E7">
      <w:pPr>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The salient features of the amended Chapter XII-BA are as under:-</w:t>
      </w:r>
    </w:p>
    <w:p w:rsidR="00B22AB4" w:rsidRPr="00497D67" w:rsidRDefault="00B22AB4" w:rsidP="005C55E7">
      <w:pPr>
        <w:autoSpaceDE w:val="0"/>
        <w:autoSpaceDN w:val="0"/>
        <w:adjustRightInd w:val="0"/>
        <w:spacing w:after="0" w:line="240" w:lineRule="auto"/>
        <w:ind w:left="360"/>
        <w:jc w:val="both"/>
        <w:rPr>
          <w:rFonts w:ascii="Arial" w:hAnsi="Arial" w:cs="Arial"/>
          <w:sz w:val="20"/>
          <w:szCs w:val="20"/>
        </w:rPr>
      </w:pPr>
    </w:p>
    <w:p w:rsidR="00B22AB4" w:rsidRPr="00497D67" w:rsidRDefault="00B22AB4" w:rsidP="005C55E7">
      <w:pPr>
        <w:pStyle w:val="ListParagraph"/>
        <w:numPr>
          <w:ilvl w:val="0"/>
          <w:numId w:val="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Payment of Alternate Minimum Tax:-</w:t>
      </w:r>
    </w:p>
    <w:p w:rsidR="00B22AB4" w:rsidRPr="00497D67" w:rsidRDefault="00B22AB4" w:rsidP="005C55E7">
      <w:pPr>
        <w:pStyle w:val="ListParagraph"/>
        <w:autoSpaceDE w:val="0"/>
        <w:autoSpaceDN w:val="0"/>
        <w:adjustRightInd w:val="0"/>
        <w:spacing w:after="0" w:line="240" w:lineRule="auto"/>
        <w:jc w:val="both"/>
        <w:rPr>
          <w:rFonts w:ascii="Arial" w:hAnsi="Arial" w:cs="Arial"/>
          <w:sz w:val="20"/>
          <w:szCs w:val="20"/>
        </w:rPr>
      </w:pPr>
    </w:p>
    <w:p w:rsidR="00B22AB4" w:rsidRPr="00497D67" w:rsidRDefault="00B22AB4" w:rsidP="005C55E7">
      <w:pPr>
        <w:pStyle w:val="ListParagraph"/>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adjusted total income (ATI) would be computed in the following way:-</w:t>
      </w:r>
    </w:p>
    <w:p w:rsidR="00B22AB4" w:rsidRPr="00497D67" w:rsidRDefault="00B22AB4" w:rsidP="005C55E7">
      <w:pPr>
        <w:pStyle w:val="ListParagraph"/>
        <w:autoSpaceDE w:val="0"/>
        <w:autoSpaceDN w:val="0"/>
        <w:adjustRightInd w:val="0"/>
        <w:spacing w:after="0" w:line="240" w:lineRule="auto"/>
        <w:jc w:val="both"/>
        <w:rPr>
          <w:rFonts w:ascii="Arial" w:hAnsi="Arial" w:cs="Arial"/>
          <w:sz w:val="20"/>
          <w:szCs w:val="20"/>
        </w:rPr>
      </w:pPr>
    </w:p>
    <w:p w:rsidR="00B22AB4" w:rsidRPr="00497D67" w:rsidRDefault="00B22AB4" w:rsidP="005C55E7">
      <w:pPr>
        <w:pStyle w:val="ListParagraph"/>
        <w:numPr>
          <w:ilvl w:val="0"/>
          <w:numId w:val="5"/>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Total income of any person (other than company) before giving effect to this chapter, as increased by</w:t>
      </w:r>
    </w:p>
    <w:p w:rsidR="00A10067" w:rsidRPr="00497D67" w:rsidRDefault="00A10067" w:rsidP="005C55E7">
      <w:pPr>
        <w:pStyle w:val="ListParagraph"/>
        <w:autoSpaceDE w:val="0"/>
        <w:autoSpaceDN w:val="0"/>
        <w:adjustRightInd w:val="0"/>
        <w:spacing w:after="0" w:line="240" w:lineRule="auto"/>
        <w:ind w:left="1080"/>
        <w:jc w:val="both"/>
        <w:rPr>
          <w:rFonts w:ascii="Arial" w:hAnsi="Arial" w:cs="Arial"/>
          <w:sz w:val="20"/>
          <w:szCs w:val="20"/>
        </w:rPr>
      </w:pPr>
    </w:p>
    <w:p w:rsidR="00A10067" w:rsidRPr="00497D67" w:rsidRDefault="00A10067" w:rsidP="005C55E7">
      <w:pPr>
        <w:pStyle w:val="ListParagraph"/>
        <w:numPr>
          <w:ilvl w:val="0"/>
          <w:numId w:val="6"/>
        </w:num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Deduction claimed, if any, under Chapter-VIA under the heading “C-Deduction in respect of certain incomes” (under Section 80 H to Section 80 TT(other than Section 80 P));</w:t>
      </w:r>
    </w:p>
    <w:p w:rsidR="00A10067" w:rsidRPr="00497D67" w:rsidRDefault="00A10067" w:rsidP="005C55E7">
      <w:pPr>
        <w:pStyle w:val="ListParagraph"/>
        <w:autoSpaceDE w:val="0"/>
        <w:autoSpaceDN w:val="0"/>
        <w:adjustRightInd w:val="0"/>
        <w:spacing w:after="0" w:line="240" w:lineRule="auto"/>
        <w:ind w:left="1440"/>
        <w:jc w:val="both"/>
        <w:rPr>
          <w:rFonts w:ascii="Arial" w:hAnsi="Arial" w:cs="Arial"/>
          <w:sz w:val="20"/>
          <w:szCs w:val="20"/>
        </w:rPr>
      </w:pPr>
    </w:p>
    <w:p w:rsidR="00A10067" w:rsidRPr="00497D67" w:rsidRDefault="00A10067" w:rsidP="005C55E7">
      <w:pPr>
        <w:pStyle w:val="ListParagraph"/>
        <w:numPr>
          <w:ilvl w:val="0"/>
          <w:numId w:val="6"/>
        </w:num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Deduction claimed, if any, under Section 10AA.</w:t>
      </w:r>
    </w:p>
    <w:p w:rsidR="00A10067" w:rsidRPr="00497D67" w:rsidRDefault="00A10067" w:rsidP="005C55E7">
      <w:pPr>
        <w:pStyle w:val="ListParagraph"/>
        <w:spacing w:line="240" w:lineRule="auto"/>
        <w:jc w:val="both"/>
        <w:rPr>
          <w:rFonts w:ascii="Arial" w:hAnsi="Arial" w:cs="Arial"/>
          <w:sz w:val="20"/>
          <w:szCs w:val="20"/>
        </w:rPr>
      </w:pPr>
    </w:p>
    <w:p w:rsidR="00A10067" w:rsidRPr="00497D67" w:rsidRDefault="00A10067" w:rsidP="005C55E7">
      <w:pPr>
        <w:pStyle w:val="ListParagraph"/>
        <w:autoSpaceDE w:val="0"/>
        <w:autoSpaceDN w:val="0"/>
        <w:adjustRightInd w:val="0"/>
        <w:spacing w:after="0" w:line="240" w:lineRule="auto"/>
        <w:ind w:left="1440"/>
        <w:jc w:val="both"/>
        <w:rPr>
          <w:rFonts w:ascii="Arial" w:hAnsi="Arial" w:cs="Arial"/>
          <w:sz w:val="20"/>
          <w:szCs w:val="20"/>
        </w:rPr>
      </w:pP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On this adjusted total income, alternate minimum tax would be computed at the rate of 18.5% (which is also MAT rate for Companies).</w:t>
      </w: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p>
    <w:p w:rsidR="00A10067" w:rsidRPr="00497D67" w:rsidRDefault="00A10067" w:rsidP="005C55E7">
      <w:pPr>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With non-obstante clause, it is provided that where regular Income-tax payable for a previous year is less than the alternate minimum tax, the alternate minimum tax shall be deemed to be the total tax liability of such person.</w:t>
      </w:r>
    </w:p>
    <w:p w:rsidR="00A10067" w:rsidRPr="00497D67" w:rsidRDefault="00A10067" w:rsidP="005C55E7">
      <w:pPr>
        <w:autoSpaceDE w:val="0"/>
        <w:autoSpaceDN w:val="0"/>
        <w:adjustRightInd w:val="0"/>
        <w:spacing w:after="0" w:line="240" w:lineRule="auto"/>
        <w:jc w:val="both"/>
        <w:rPr>
          <w:rFonts w:ascii="Arial" w:hAnsi="Arial" w:cs="Arial"/>
          <w:sz w:val="20"/>
          <w:szCs w:val="20"/>
        </w:rPr>
      </w:pPr>
    </w:p>
    <w:p w:rsidR="00A10067" w:rsidRPr="00497D67" w:rsidRDefault="00A10067" w:rsidP="005C55E7">
      <w:pPr>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However, AMT would not be applicable to individual, HUF, AOP, BOI or any artificial juridical person if the ATI does not exceed Rs. 20 lakhs.</w:t>
      </w:r>
    </w:p>
    <w:p w:rsidR="00A10067" w:rsidRPr="00497D67" w:rsidRDefault="00A10067" w:rsidP="005C55E7">
      <w:pPr>
        <w:autoSpaceDE w:val="0"/>
        <w:autoSpaceDN w:val="0"/>
        <w:adjustRightInd w:val="0"/>
        <w:spacing w:after="0" w:line="240" w:lineRule="auto"/>
        <w:ind w:left="360"/>
        <w:jc w:val="both"/>
        <w:rPr>
          <w:rFonts w:ascii="Arial" w:hAnsi="Arial" w:cs="Arial"/>
          <w:sz w:val="20"/>
          <w:szCs w:val="20"/>
        </w:rPr>
      </w:pPr>
    </w:p>
    <w:p w:rsidR="00A10067" w:rsidRPr="00497D67" w:rsidRDefault="00A10067" w:rsidP="005C55E7">
      <w:pPr>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Hence, AMT would be applicable to Firms without any threshold limit as in case of Limited Liability Partnership.</w:t>
      </w:r>
    </w:p>
    <w:p w:rsidR="00A10067" w:rsidRPr="00497D67" w:rsidRDefault="00A10067" w:rsidP="005C55E7">
      <w:pPr>
        <w:autoSpaceDE w:val="0"/>
        <w:autoSpaceDN w:val="0"/>
        <w:adjustRightInd w:val="0"/>
        <w:spacing w:after="0" w:line="240" w:lineRule="auto"/>
        <w:ind w:left="360"/>
        <w:jc w:val="both"/>
        <w:rPr>
          <w:rFonts w:ascii="Arial" w:hAnsi="Arial" w:cs="Arial"/>
          <w:sz w:val="20"/>
          <w:szCs w:val="20"/>
        </w:rPr>
      </w:pPr>
    </w:p>
    <w:p w:rsidR="00A10067" w:rsidRPr="00497D67" w:rsidRDefault="00A10067" w:rsidP="005C55E7">
      <w:pPr>
        <w:pStyle w:val="ListParagraph"/>
        <w:numPr>
          <w:ilvl w:val="0"/>
          <w:numId w:val="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Credit of Alternate Minimum Tax:-</w:t>
      </w:r>
    </w:p>
    <w:p w:rsidR="00A10067" w:rsidRPr="00497D67" w:rsidRDefault="00A10067" w:rsidP="005C55E7">
      <w:pPr>
        <w:pStyle w:val="ListParagraph"/>
        <w:autoSpaceDE w:val="0"/>
        <w:autoSpaceDN w:val="0"/>
        <w:adjustRightInd w:val="0"/>
        <w:spacing w:after="0" w:line="240" w:lineRule="auto"/>
        <w:jc w:val="both"/>
        <w:rPr>
          <w:rFonts w:ascii="Arial" w:hAnsi="Arial" w:cs="Arial"/>
          <w:sz w:val="20"/>
          <w:szCs w:val="20"/>
        </w:rPr>
      </w:pP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The current provisions relating to the credit of alternate minimum tax paid against the tax paid under the normal provisions would continue to apply.</w:t>
      </w: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t>The credit of alternate minimum tax shall be available for a consecutive period of 10 succeeding year.</w:t>
      </w: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r w:rsidRPr="00497D67">
        <w:rPr>
          <w:rFonts w:ascii="Arial" w:hAnsi="Arial" w:cs="Arial"/>
          <w:sz w:val="20"/>
          <w:szCs w:val="20"/>
        </w:rPr>
        <w:lastRenderedPageBreak/>
        <w:t>This amendment is proposed to take effect from 1st April, 2013 and will accordingly, apply from the assessment year 2013-14.</w:t>
      </w:r>
    </w:p>
    <w:p w:rsidR="00A10067" w:rsidRPr="00497D67" w:rsidRDefault="00A10067" w:rsidP="005C55E7">
      <w:pPr>
        <w:pStyle w:val="ListParagraph"/>
        <w:autoSpaceDE w:val="0"/>
        <w:autoSpaceDN w:val="0"/>
        <w:adjustRightInd w:val="0"/>
        <w:spacing w:after="0" w:line="240" w:lineRule="auto"/>
        <w:ind w:left="360"/>
        <w:jc w:val="both"/>
        <w:rPr>
          <w:rFonts w:ascii="Arial" w:hAnsi="Arial" w:cs="Arial"/>
          <w:sz w:val="20"/>
          <w:szCs w:val="20"/>
        </w:rPr>
      </w:pPr>
    </w:p>
    <w:p w:rsidR="00A10067" w:rsidRPr="00497D67" w:rsidRDefault="00A10067"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10" w:name="TDS"/>
      <w:r w:rsidRPr="00497D67">
        <w:rPr>
          <w:rFonts w:ascii="Arial" w:hAnsi="Arial" w:cs="Arial"/>
          <w:b/>
          <w:bCs/>
          <w:sz w:val="20"/>
          <w:szCs w:val="20"/>
        </w:rPr>
        <w:t>TDS on remuneration to a director</w:t>
      </w:r>
    </w:p>
    <w:bookmarkEnd w:id="10"/>
    <w:p w:rsidR="00A10067" w:rsidRPr="00497D67" w:rsidRDefault="00A10067" w:rsidP="005C55E7">
      <w:pPr>
        <w:pStyle w:val="ListParagraph"/>
        <w:autoSpaceDE w:val="0"/>
        <w:autoSpaceDN w:val="0"/>
        <w:adjustRightInd w:val="0"/>
        <w:spacing w:after="0" w:line="240" w:lineRule="auto"/>
        <w:ind w:left="360"/>
        <w:jc w:val="both"/>
        <w:rPr>
          <w:rFonts w:ascii="Arial" w:hAnsi="Arial" w:cs="Arial"/>
          <w:b/>
          <w:bCs/>
          <w:sz w:val="20"/>
          <w:szCs w:val="20"/>
        </w:rPr>
      </w:pPr>
    </w:p>
    <w:p w:rsidR="00A10067" w:rsidRPr="00497D67" w:rsidRDefault="00A10067" w:rsidP="005C55E7">
      <w:pPr>
        <w:pStyle w:val="ListParagraph"/>
        <w:numPr>
          <w:ilvl w:val="0"/>
          <w:numId w:val="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It is proposed to amend the provisions of existing Section 194 J of the Act, to provide that TDS should be deducted @10% on remuneration not being in the nature of salary to Director.</w:t>
      </w:r>
    </w:p>
    <w:p w:rsidR="00A10067" w:rsidRPr="00497D67" w:rsidRDefault="00A10067" w:rsidP="005C55E7">
      <w:pPr>
        <w:autoSpaceDE w:val="0"/>
        <w:autoSpaceDN w:val="0"/>
        <w:adjustRightInd w:val="0"/>
        <w:spacing w:after="0" w:line="240" w:lineRule="auto"/>
        <w:jc w:val="both"/>
        <w:rPr>
          <w:rFonts w:ascii="Arial" w:hAnsi="Arial" w:cs="Arial"/>
          <w:sz w:val="20"/>
          <w:szCs w:val="20"/>
        </w:rPr>
      </w:pPr>
    </w:p>
    <w:p w:rsidR="00A10067" w:rsidRPr="00497D67" w:rsidRDefault="00A10067" w:rsidP="005C55E7">
      <w:pPr>
        <w:pStyle w:val="ListParagraph"/>
        <w:numPr>
          <w:ilvl w:val="0"/>
          <w:numId w:val="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This amendment is proposed to take effect from 1</w:t>
      </w:r>
      <w:r w:rsidRPr="00497D67">
        <w:rPr>
          <w:rFonts w:ascii="Arial" w:hAnsi="Arial" w:cs="Arial"/>
          <w:sz w:val="12"/>
          <w:szCs w:val="12"/>
        </w:rPr>
        <w:t xml:space="preserve">st </w:t>
      </w:r>
      <w:r w:rsidRPr="00497D67">
        <w:rPr>
          <w:rFonts w:ascii="Arial" w:hAnsi="Arial" w:cs="Arial"/>
          <w:sz w:val="20"/>
          <w:szCs w:val="20"/>
        </w:rPr>
        <w:t>July, 2012.</w:t>
      </w:r>
    </w:p>
    <w:p w:rsidR="00A10067" w:rsidRPr="00497D67" w:rsidRDefault="00A10067" w:rsidP="005C55E7">
      <w:pPr>
        <w:pStyle w:val="ListParagraph"/>
        <w:spacing w:line="240" w:lineRule="auto"/>
        <w:jc w:val="both"/>
        <w:rPr>
          <w:rFonts w:ascii="Arial" w:hAnsi="Arial" w:cs="Arial"/>
          <w:sz w:val="20"/>
          <w:szCs w:val="20"/>
        </w:rPr>
      </w:pPr>
    </w:p>
    <w:p w:rsidR="00A10067" w:rsidRPr="00497D67" w:rsidRDefault="00A10067"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11" w:name="TCS"/>
      <w:r w:rsidRPr="00497D67">
        <w:rPr>
          <w:rFonts w:ascii="Arial" w:hAnsi="Arial" w:cs="Arial"/>
          <w:b/>
          <w:bCs/>
          <w:sz w:val="20"/>
          <w:szCs w:val="20"/>
        </w:rPr>
        <w:t>Tax Collection at Source (TCS)</w:t>
      </w:r>
    </w:p>
    <w:bookmarkEnd w:id="11"/>
    <w:p w:rsidR="00A10067" w:rsidRPr="00497D67" w:rsidRDefault="00A10067" w:rsidP="005C55E7">
      <w:pPr>
        <w:pStyle w:val="ListParagraph"/>
        <w:autoSpaceDE w:val="0"/>
        <w:autoSpaceDN w:val="0"/>
        <w:adjustRightInd w:val="0"/>
        <w:spacing w:after="0" w:line="240" w:lineRule="auto"/>
        <w:ind w:left="360"/>
        <w:jc w:val="both"/>
        <w:rPr>
          <w:rFonts w:ascii="Arial" w:hAnsi="Arial" w:cs="Arial"/>
          <w:b/>
          <w:bCs/>
          <w:sz w:val="20"/>
          <w:szCs w:val="20"/>
        </w:rPr>
      </w:pPr>
    </w:p>
    <w:p w:rsidR="00A10067" w:rsidRPr="00497D67" w:rsidRDefault="00A10067"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12" w:name="jewellery"/>
      <w:r w:rsidRPr="00497D67">
        <w:rPr>
          <w:rFonts w:ascii="Arial" w:hAnsi="Arial" w:cs="Arial"/>
          <w:b/>
          <w:bCs/>
          <w:sz w:val="20"/>
          <w:szCs w:val="20"/>
        </w:rPr>
        <w:t>TCS on cash sale of bullion and jewellery</w:t>
      </w:r>
    </w:p>
    <w:bookmarkEnd w:id="12"/>
    <w:p w:rsidR="00D250E8" w:rsidRPr="00497D67" w:rsidRDefault="00D250E8" w:rsidP="005C55E7">
      <w:pPr>
        <w:pStyle w:val="ListParagraph"/>
        <w:autoSpaceDE w:val="0"/>
        <w:autoSpaceDN w:val="0"/>
        <w:adjustRightInd w:val="0"/>
        <w:spacing w:after="0" w:line="240" w:lineRule="auto"/>
        <w:ind w:left="360"/>
        <w:jc w:val="both"/>
        <w:rPr>
          <w:rFonts w:ascii="Arial" w:hAnsi="Arial" w:cs="Arial"/>
          <w:b/>
          <w:bCs/>
          <w:sz w:val="20"/>
          <w:szCs w:val="20"/>
        </w:rPr>
      </w:pPr>
    </w:p>
    <w:p w:rsidR="00D250E8" w:rsidRPr="00497D67" w:rsidRDefault="00D250E8" w:rsidP="005C55E7">
      <w:pPr>
        <w:pStyle w:val="ListParagraph"/>
        <w:numPr>
          <w:ilvl w:val="0"/>
          <w:numId w:val="7"/>
        </w:numPr>
        <w:autoSpaceDE w:val="0"/>
        <w:autoSpaceDN w:val="0"/>
        <w:adjustRightInd w:val="0"/>
        <w:spacing w:after="0" w:line="240" w:lineRule="auto"/>
        <w:ind w:left="720"/>
        <w:jc w:val="both"/>
        <w:rPr>
          <w:rFonts w:ascii="Arial" w:hAnsi="Arial" w:cs="Arial"/>
          <w:b/>
          <w:bCs/>
          <w:sz w:val="20"/>
          <w:szCs w:val="20"/>
        </w:rPr>
      </w:pPr>
      <w:r w:rsidRPr="00497D67">
        <w:rPr>
          <w:rFonts w:ascii="Arial" w:hAnsi="Arial" w:cs="Arial"/>
          <w:sz w:val="20"/>
          <w:szCs w:val="20"/>
        </w:rPr>
        <w:t>In order to reduce the quantum of cash transaction in bullion and jewellery sector and to curb the flow of unaccounted money, the Bill propose to amend the existing Section 206 C of the Income-tax Act by introducing a new sub- Section (1D) to provide that the seller of bullion and jewellery should collect tax @1% from buyer in cash the consideration is received in cash and such amount exceeds Rs.2 lakhs</w:t>
      </w:r>
      <w:r w:rsidR="00F807A7" w:rsidRPr="00497D67">
        <w:rPr>
          <w:rFonts w:ascii="Arial" w:hAnsi="Arial" w:cs="Arial"/>
          <w:sz w:val="20"/>
          <w:szCs w:val="20"/>
        </w:rPr>
        <w:t xml:space="preserve"> for bullion &amp; Rs. 5 lakhs for jewellery.</w:t>
      </w:r>
    </w:p>
    <w:p w:rsidR="00D250E8" w:rsidRPr="00497D67" w:rsidRDefault="00D250E8" w:rsidP="005C55E7">
      <w:pPr>
        <w:autoSpaceDE w:val="0"/>
        <w:autoSpaceDN w:val="0"/>
        <w:adjustRightInd w:val="0"/>
        <w:spacing w:after="0" w:line="240" w:lineRule="auto"/>
        <w:jc w:val="both"/>
        <w:rPr>
          <w:rFonts w:ascii="Arial" w:hAnsi="Arial" w:cs="Arial"/>
          <w:sz w:val="20"/>
          <w:szCs w:val="20"/>
        </w:rPr>
      </w:pPr>
    </w:p>
    <w:p w:rsidR="00D250E8" w:rsidRPr="00497D67" w:rsidRDefault="00D250E8" w:rsidP="005C55E7">
      <w:pPr>
        <w:autoSpaceDE w:val="0"/>
        <w:autoSpaceDN w:val="0"/>
        <w:adjustRightInd w:val="0"/>
        <w:spacing w:after="0" w:line="240" w:lineRule="auto"/>
        <w:jc w:val="both"/>
        <w:rPr>
          <w:rFonts w:ascii="Arial" w:hAnsi="Arial" w:cs="Arial"/>
          <w:sz w:val="20"/>
          <w:szCs w:val="20"/>
        </w:rPr>
      </w:pPr>
    </w:p>
    <w:p w:rsidR="00D250E8" w:rsidRPr="00497D67" w:rsidRDefault="00D250E8" w:rsidP="005C55E7">
      <w:pPr>
        <w:pStyle w:val="ListParagraph"/>
        <w:numPr>
          <w:ilvl w:val="0"/>
          <w:numId w:val="7"/>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This amendment is proposed to take effect from 1</w:t>
      </w:r>
      <w:r w:rsidRPr="00497D67">
        <w:rPr>
          <w:rFonts w:ascii="Arial" w:hAnsi="Arial" w:cs="Arial"/>
          <w:sz w:val="12"/>
          <w:szCs w:val="12"/>
        </w:rPr>
        <w:t xml:space="preserve">st </w:t>
      </w:r>
      <w:r w:rsidRPr="00497D67">
        <w:rPr>
          <w:rFonts w:ascii="Arial" w:hAnsi="Arial" w:cs="Arial"/>
          <w:sz w:val="20"/>
          <w:szCs w:val="20"/>
        </w:rPr>
        <w:t>July, 2012.</w:t>
      </w:r>
    </w:p>
    <w:p w:rsidR="00D250E8" w:rsidRPr="00497D67" w:rsidRDefault="00D250E8" w:rsidP="005C55E7">
      <w:pPr>
        <w:pStyle w:val="ListParagraph"/>
        <w:autoSpaceDE w:val="0"/>
        <w:autoSpaceDN w:val="0"/>
        <w:adjustRightInd w:val="0"/>
        <w:spacing w:after="0" w:line="240" w:lineRule="auto"/>
        <w:jc w:val="both"/>
        <w:rPr>
          <w:rFonts w:ascii="Arial" w:hAnsi="Arial" w:cs="Arial"/>
          <w:sz w:val="20"/>
          <w:szCs w:val="20"/>
        </w:rPr>
      </w:pPr>
    </w:p>
    <w:p w:rsidR="00B22AFB" w:rsidRPr="00497D67" w:rsidRDefault="00343909" w:rsidP="005C55E7">
      <w:pPr>
        <w:jc w:val="both"/>
        <w:rPr>
          <w:rFonts w:ascii="Arial" w:hAnsi="Arial" w:cs="Arial"/>
          <w:b/>
          <w:sz w:val="24"/>
          <w:szCs w:val="24"/>
        </w:rPr>
      </w:pPr>
      <w:bookmarkStart w:id="13" w:name="_C._Measures_to"/>
      <w:bookmarkEnd w:id="13"/>
      <w:r>
        <w:rPr>
          <w:rFonts w:ascii="Arial" w:hAnsi="Arial" w:cs="Arial"/>
          <w:b/>
          <w:sz w:val="20"/>
          <w:szCs w:val="20"/>
        </w:rPr>
        <w:t>C</w:t>
      </w:r>
      <w:r w:rsidR="00D250E8" w:rsidRPr="00497D67">
        <w:rPr>
          <w:rFonts w:ascii="Arial" w:hAnsi="Arial" w:cs="Arial"/>
          <w:sz w:val="20"/>
          <w:szCs w:val="20"/>
        </w:rPr>
        <w:t xml:space="preserve">. </w:t>
      </w:r>
      <w:r w:rsidR="00D250E8" w:rsidRPr="00497D67">
        <w:rPr>
          <w:rFonts w:ascii="Arial" w:hAnsi="Arial" w:cs="Arial"/>
          <w:b/>
          <w:sz w:val="24"/>
          <w:szCs w:val="24"/>
        </w:rPr>
        <w:t>Measures to Prevent Generation and Circulation of Unaccounted Money</w:t>
      </w:r>
    </w:p>
    <w:p w:rsidR="00B22AFB" w:rsidRPr="00497D67" w:rsidRDefault="00B22AFB" w:rsidP="005C55E7">
      <w:pPr>
        <w:jc w:val="both"/>
        <w:rPr>
          <w:rFonts w:ascii="Arial" w:hAnsi="Arial" w:cs="Arial"/>
          <w:b/>
          <w:bCs/>
          <w:sz w:val="20"/>
          <w:szCs w:val="20"/>
        </w:rPr>
      </w:pPr>
      <w:bookmarkStart w:id="14" w:name="_Cash_credits_–"/>
      <w:bookmarkEnd w:id="14"/>
      <w:r w:rsidRPr="00497D67">
        <w:rPr>
          <w:rFonts w:ascii="Arial" w:hAnsi="Arial" w:cs="Arial"/>
          <w:b/>
          <w:bCs/>
          <w:sz w:val="20"/>
          <w:szCs w:val="20"/>
        </w:rPr>
        <w:t>Cash credits – Additional onus to prove about the Investor</w:t>
      </w:r>
    </w:p>
    <w:p w:rsidR="00B22AFB" w:rsidRPr="00497D67" w:rsidRDefault="00B22AFB" w:rsidP="005C55E7">
      <w:pPr>
        <w:autoSpaceDE w:val="0"/>
        <w:autoSpaceDN w:val="0"/>
        <w:adjustRightInd w:val="0"/>
        <w:spacing w:after="0" w:line="240" w:lineRule="auto"/>
        <w:ind w:left="360"/>
        <w:jc w:val="both"/>
        <w:rPr>
          <w:rFonts w:ascii="Arial" w:hAnsi="Arial" w:cs="Arial"/>
          <w:b/>
          <w:bCs/>
          <w:sz w:val="20"/>
          <w:szCs w:val="20"/>
        </w:rPr>
      </w:pPr>
    </w:p>
    <w:p w:rsidR="00B22AFB" w:rsidRPr="00497D67" w:rsidRDefault="00B22AFB" w:rsidP="005C55E7">
      <w:pPr>
        <w:pStyle w:val="ListParagraph"/>
        <w:numPr>
          <w:ilvl w:val="0"/>
          <w:numId w:val="8"/>
        </w:numPr>
        <w:autoSpaceDE w:val="0"/>
        <w:autoSpaceDN w:val="0"/>
        <w:adjustRightInd w:val="0"/>
        <w:spacing w:after="0" w:line="240" w:lineRule="auto"/>
        <w:ind w:left="720"/>
        <w:jc w:val="both"/>
        <w:rPr>
          <w:rFonts w:ascii="Arial" w:hAnsi="Arial" w:cs="Arial"/>
          <w:b/>
          <w:sz w:val="24"/>
          <w:szCs w:val="24"/>
        </w:rPr>
      </w:pPr>
      <w:r w:rsidRPr="00497D67">
        <w:rPr>
          <w:rFonts w:ascii="Arial" w:hAnsi="Arial" w:cs="Arial"/>
          <w:sz w:val="20"/>
          <w:szCs w:val="20"/>
        </w:rPr>
        <w:t>Under the existing provisions of Section 68 of the Act, if any sum is found credited in the books of an assessee and such assessee does not offer any explanation about nature and source of money or the explanation is found to be not satisfactory, such amount can be taxed as income of the assessee. The onus of genuineness of the transaction is on the assessee company.</w:t>
      </w:r>
    </w:p>
    <w:p w:rsidR="00B22AFB" w:rsidRPr="00497D67" w:rsidRDefault="00B22AFB" w:rsidP="005C55E7">
      <w:pPr>
        <w:autoSpaceDE w:val="0"/>
        <w:autoSpaceDN w:val="0"/>
        <w:adjustRightInd w:val="0"/>
        <w:spacing w:after="0" w:line="240" w:lineRule="auto"/>
        <w:jc w:val="both"/>
        <w:rPr>
          <w:rFonts w:ascii="Arial" w:hAnsi="Arial" w:cs="Arial"/>
          <w:sz w:val="20"/>
          <w:szCs w:val="20"/>
        </w:rPr>
      </w:pPr>
    </w:p>
    <w:p w:rsidR="00B22AFB" w:rsidRPr="00497D67" w:rsidRDefault="00B22AFB" w:rsidP="005C55E7">
      <w:pPr>
        <w:pStyle w:val="ListParagraph"/>
        <w:numPr>
          <w:ilvl w:val="0"/>
          <w:numId w:val="8"/>
        </w:numPr>
        <w:autoSpaceDE w:val="0"/>
        <w:autoSpaceDN w:val="0"/>
        <w:adjustRightInd w:val="0"/>
        <w:spacing w:after="0" w:line="240" w:lineRule="auto"/>
        <w:ind w:left="720"/>
        <w:jc w:val="both"/>
        <w:rPr>
          <w:rFonts w:ascii="Arial" w:hAnsi="Arial" w:cs="Arial"/>
          <w:b/>
          <w:sz w:val="24"/>
          <w:szCs w:val="24"/>
        </w:rPr>
      </w:pPr>
      <w:r w:rsidRPr="00497D67">
        <w:rPr>
          <w:rFonts w:ascii="Arial" w:hAnsi="Arial" w:cs="Arial"/>
          <w:sz w:val="20"/>
          <w:szCs w:val="20"/>
        </w:rPr>
        <w:t>To prevent the pernicious practice of conversion of the unaccounted money in the classification of share capital of the company, it is proposed that, in the case of the closely held company, the nature and source of any sum credited as share capital, share premium etc. in the books of the assessee company needs satisfactory explanation about the source of fund in the hands of the investors. Therefore the higher onus is placed on the assessee company besides the general onus to prove the genuineness of the transaction.</w:t>
      </w:r>
    </w:p>
    <w:p w:rsidR="00B22AFB" w:rsidRPr="00497D67" w:rsidRDefault="00B22AFB" w:rsidP="005C55E7">
      <w:pPr>
        <w:pStyle w:val="ListParagraph"/>
        <w:spacing w:line="240" w:lineRule="auto"/>
        <w:jc w:val="both"/>
        <w:rPr>
          <w:rFonts w:ascii="Arial" w:hAnsi="Arial" w:cs="Arial"/>
          <w:b/>
          <w:sz w:val="24"/>
          <w:szCs w:val="24"/>
        </w:rPr>
      </w:pPr>
    </w:p>
    <w:p w:rsidR="00B22AFB" w:rsidRPr="00497D67" w:rsidRDefault="00B22AFB" w:rsidP="005C55E7">
      <w:pPr>
        <w:pStyle w:val="ListParagraph"/>
        <w:numPr>
          <w:ilvl w:val="0"/>
          <w:numId w:val="8"/>
        </w:numPr>
        <w:autoSpaceDE w:val="0"/>
        <w:autoSpaceDN w:val="0"/>
        <w:adjustRightInd w:val="0"/>
        <w:spacing w:after="0" w:line="240" w:lineRule="auto"/>
        <w:ind w:left="720"/>
        <w:jc w:val="both"/>
        <w:rPr>
          <w:rFonts w:ascii="Arial" w:hAnsi="Arial" w:cs="Arial"/>
          <w:color w:val="000000"/>
          <w:sz w:val="20"/>
          <w:szCs w:val="20"/>
        </w:rPr>
      </w:pPr>
      <w:r w:rsidRPr="00497D67">
        <w:rPr>
          <w:rFonts w:ascii="Arial" w:hAnsi="Arial" w:cs="Arial"/>
          <w:color w:val="000000"/>
          <w:sz w:val="20"/>
          <w:szCs w:val="20"/>
        </w:rPr>
        <w:t>The aforesaid provisions shall not apply, if the shareholder is a well regulated entity, i.e. a Venture Capital Fund, Venture Capital Company registered with the Securities Exchange Board of India (SEBI).</w:t>
      </w:r>
    </w:p>
    <w:p w:rsidR="00B22AFB" w:rsidRPr="00497D67" w:rsidRDefault="00B22AFB" w:rsidP="005C55E7">
      <w:pPr>
        <w:pStyle w:val="ListParagraph"/>
        <w:spacing w:line="240" w:lineRule="auto"/>
        <w:jc w:val="both"/>
        <w:rPr>
          <w:rFonts w:ascii="Arial" w:hAnsi="Arial" w:cs="Arial"/>
          <w:color w:val="000000"/>
          <w:sz w:val="20"/>
          <w:szCs w:val="20"/>
        </w:rPr>
      </w:pPr>
    </w:p>
    <w:p w:rsidR="00B22AFB" w:rsidRPr="00497D67" w:rsidRDefault="00B22AFB" w:rsidP="005C55E7">
      <w:pPr>
        <w:pStyle w:val="ListParagraph"/>
        <w:numPr>
          <w:ilvl w:val="0"/>
          <w:numId w:val="8"/>
        </w:numPr>
        <w:autoSpaceDE w:val="0"/>
        <w:autoSpaceDN w:val="0"/>
        <w:adjustRightInd w:val="0"/>
        <w:spacing w:after="0" w:line="240" w:lineRule="auto"/>
        <w:ind w:left="720"/>
        <w:jc w:val="both"/>
        <w:rPr>
          <w:rFonts w:ascii="Arial" w:hAnsi="Arial" w:cs="Arial"/>
          <w:color w:val="000000"/>
          <w:sz w:val="20"/>
          <w:szCs w:val="20"/>
        </w:rPr>
      </w:pPr>
      <w:r w:rsidRPr="00497D67">
        <w:rPr>
          <w:rFonts w:ascii="Arial" w:hAnsi="Arial" w:cs="Arial"/>
          <w:sz w:val="20"/>
          <w:szCs w:val="20"/>
        </w:rPr>
        <w:t>This amendment will take effect from 1st April, 2013 and will, accordingly, apply in relation to the assessment year 2013-14 and subsequent years.</w:t>
      </w:r>
    </w:p>
    <w:p w:rsidR="00B22AFB" w:rsidRPr="00497D67" w:rsidRDefault="00B22AFB" w:rsidP="005C55E7">
      <w:pPr>
        <w:pStyle w:val="ListParagraph"/>
        <w:spacing w:line="240" w:lineRule="auto"/>
        <w:jc w:val="both"/>
        <w:rPr>
          <w:rFonts w:ascii="Arial" w:hAnsi="Arial" w:cs="Arial"/>
          <w:color w:val="000000"/>
          <w:sz w:val="20"/>
          <w:szCs w:val="20"/>
        </w:rPr>
      </w:pPr>
    </w:p>
    <w:p w:rsidR="00B22AFB" w:rsidRPr="00497D67" w:rsidRDefault="00B22AFB"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15" w:name="Taxation"/>
      <w:r w:rsidRPr="00497D67">
        <w:rPr>
          <w:rFonts w:ascii="Arial" w:hAnsi="Arial" w:cs="Arial"/>
          <w:b/>
          <w:bCs/>
          <w:sz w:val="20"/>
          <w:szCs w:val="20"/>
        </w:rPr>
        <w:t>Taxation of cash credits, unexplained money, investments etc</w:t>
      </w:r>
      <w:bookmarkEnd w:id="15"/>
      <w:r w:rsidRPr="00497D67">
        <w:rPr>
          <w:rFonts w:ascii="Arial" w:hAnsi="Arial" w:cs="Arial"/>
          <w:b/>
          <w:bCs/>
          <w:sz w:val="20"/>
          <w:szCs w:val="20"/>
        </w:rPr>
        <w:t>.</w:t>
      </w:r>
    </w:p>
    <w:p w:rsidR="00FA428F" w:rsidRPr="00497D67" w:rsidRDefault="00FA428F" w:rsidP="005C55E7">
      <w:pPr>
        <w:pStyle w:val="ListParagraph"/>
        <w:autoSpaceDE w:val="0"/>
        <w:autoSpaceDN w:val="0"/>
        <w:adjustRightInd w:val="0"/>
        <w:spacing w:after="0" w:line="240" w:lineRule="auto"/>
        <w:ind w:left="360"/>
        <w:jc w:val="both"/>
        <w:rPr>
          <w:rFonts w:ascii="Arial" w:hAnsi="Arial" w:cs="Arial"/>
          <w:b/>
          <w:bCs/>
          <w:sz w:val="20"/>
          <w:szCs w:val="20"/>
        </w:rPr>
      </w:pPr>
    </w:p>
    <w:p w:rsidR="00192EC9" w:rsidRPr="00497D67" w:rsidRDefault="00FA428F" w:rsidP="005C55E7">
      <w:pPr>
        <w:pStyle w:val="ListParagraph"/>
        <w:numPr>
          <w:ilvl w:val="0"/>
          <w:numId w:val="9"/>
        </w:numPr>
        <w:autoSpaceDE w:val="0"/>
        <w:autoSpaceDN w:val="0"/>
        <w:adjustRightInd w:val="0"/>
        <w:spacing w:after="0" w:line="240" w:lineRule="auto"/>
        <w:ind w:left="720"/>
        <w:jc w:val="both"/>
        <w:rPr>
          <w:rFonts w:ascii="Arial" w:hAnsi="Arial" w:cs="Arial"/>
          <w:color w:val="000000"/>
          <w:sz w:val="20"/>
          <w:szCs w:val="20"/>
        </w:rPr>
      </w:pPr>
      <w:r w:rsidRPr="00497D67">
        <w:rPr>
          <w:rFonts w:ascii="Arial" w:hAnsi="Arial" w:cs="Arial"/>
          <w:sz w:val="20"/>
          <w:szCs w:val="20"/>
        </w:rPr>
        <w:t>Under the existing provisions of Section 68, Section 69, Section 69A, Section</w:t>
      </w:r>
      <w:r w:rsidR="00192EC9" w:rsidRPr="00497D67">
        <w:rPr>
          <w:rFonts w:ascii="Arial" w:hAnsi="Arial" w:cs="Arial"/>
          <w:sz w:val="20"/>
          <w:szCs w:val="20"/>
        </w:rPr>
        <w:t xml:space="preserve"> 69B, Section 69C and Section 69D the Act, certain unexplained amounts in the nature of unexplained credits, money, investment, expenditure are deemed as income and taxed at the applicable rate to the assessee. However, in the case of individual and HUF, if such unexplained money does not exceed the basic exemption limit, the same is not subject to tax.</w:t>
      </w:r>
    </w:p>
    <w:p w:rsidR="00192EC9" w:rsidRPr="00497D67" w:rsidRDefault="00192EC9" w:rsidP="005C55E7">
      <w:pPr>
        <w:autoSpaceDE w:val="0"/>
        <w:autoSpaceDN w:val="0"/>
        <w:adjustRightInd w:val="0"/>
        <w:spacing w:after="0" w:line="240" w:lineRule="auto"/>
        <w:jc w:val="both"/>
        <w:rPr>
          <w:rFonts w:ascii="Arial" w:hAnsi="Arial" w:cs="Arial"/>
          <w:sz w:val="20"/>
          <w:szCs w:val="20"/>
        </w:rPr>
      </w:pPr>
    </w:p>
    <w:p w:rsidR="00303524" w:rsidRPr="00497D67" w:rsidRDefault="00303524" w:rsidP="005C55E7">
      <w:pPr>
        <w:autoSpaceDE w:val="0"/>
        <w:autoSpaceDN w:val="0"/>
        <w:adjustRightInd w:val="0"/>
        <w:spacing w:after="0" w:line="240" w:lineRule="auto"/>
        <w:jc w:val="both"/>
        <w:rPr>
          <w:rFonts w:ascii="Arial" w:hAnsi="Arial" w:cs="Arial"/>
          <w:sz w:val="20"/>
          <w:szCs w:val="20"/>
        </w:rPr>
      </w:pPr>
    </w:p>
    <w:p w:rsidR="00303524" w:rsidRPr="00497D67" w:rsidRDefault="00192EC9" w:rsidP="005C55E7">
      <w:pPr>
        <w:pStyle w:val="ListParagraph"/>
        <w:numPr>
          <w:ilvl w:val="0"/>
          <w:numId w:val="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In order to curtail the practice of such unaccounted money not taxed by</w:t>
      </w:r>
      <w:r w:rsidR="00303524" w:rsidRPr="00497D67">
        <w:rPr>
          <w:rFonts w:ascii="Arial" w:hAnsi="Arial" w:cs="Arial"/>
          <w:sz w:val="20"/>
          <w:szCs w:val="20"/>
        </w:rPr>
        <w:t xml:space="preserve"> taking advantage of basic exemption limit, it is proposed to introduce a new Section 115BBE to tax such unexplained credits at the flat rate of 30% (plus applicable surcharge and cess).</w:t>
      </w:r>
    </w:p>
    <w:p w:rsidR="00303524" w:rsidRPr="00497D67" w:rsidRDefault="00303524" w:rsidP="005C55E7">
      <w:pPr>
        <w:autoSpaceDE w:val="0"/>
        <w:autoSpaceDN w:val="0"/>
        <w:adjustRightInd w:val="0"/>
        <w:spacing w:after="0" w:line="240" w:lineRule="auto"/>
        <w:ind w:left="720"/>
        <w:jc w:val="both"/>
        <w:rPr>
          <w:rFonts w:ascii="Arial" w:hAnsi="Arial" w:cs="Arial"/>
          <w:sz w:val="20"/>
          <w:szCs w:val="20"/>
        </w:rPr>
      </w:pPr>
    </w:p>
    <w:p w:rsidR="00303524" w:rsidRPr="00497D67" w:rsidRDefault="00303524" w:rsidP="005C55E7">
      <w:pPr>
        <w:pStyle w:val="ListParagraph"/>
        <w:numPr>
          <w:ilvl w:val="0"/>
          <w:numId w:val="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lastRenderedPageBreak/>
        <w:t>This amendment will take effect from 1st April, 2013 and will, accordingly, apply in relation to the assessment year 2013-14 and subsequent years.</w:t>
      </w:r>
    </w:p>
    <w:p w:rsidR="00303524" w:rsidRPr="00497D67" w:rsidRDefault="00303524" w:rsidP="005C55E7">
      <w:pPr>
        <w:pStyle w:val="ListParagraph"/>
        <w:spacing w:line="240" w:lineRule="auto"/>
        <w:jc w:val="both"/>
        <w:rPr>
          <w:rFonts w:ascii="Arial" w:hAnsi="Arial" w:cs="Arial"/>
          <w:sz w:val="20"/>
          <w:szCs w:val="20"/>
        </w:rPr>
      </w:pPr>
    </w:p>
    <w:p w:rsidR="00303524" w:rsidRPr="00497D67" w:rsidRDefault="00303524"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16" w:name="Complusory"/>
      <w:r w:rsidRPr="00497D67">
        <w:rPr>
          <w:rFonts w:ascii="Arial" w:hAnsi="Arial" w:cs="Arial"/>
          <w:b/>
          <w:bCs/>
          <w:sz w:val="20"/>
          <w:szCs w:val="20"/>
        </w:rPr>
        <w:t>Compulsory Filing of Income-tax return in relation to assets located outside India</w:t>
      </w:r>
    </w:p>
    <w:bookmarkEnd w:id="16"/>
    <w:p w:rsidR="00303524" w:rsidRPr="00497D67" w:rsidRDefault="00303524" w:rsidP="005C55E7">
      <w:pPr>
        <w:pStyle w:val="ListParagraph"/>
        <w:autoSpaceDE w:val="0"/>
        <w:autoSpaceDN w:val="0"/>
        <w:adjustRightInd w:val="0"/>
        <w:spacing w:after="0" w:line="240" w:lineRule="auto"/>
        <w:ind w:left="360"/>
        <w:jc w:val="both"/>
        <w:rPr>
          <w:rFonts w:ascii="Arial" w:hAnsi="Arial" w:cs="Arial"/>
          <w:b/>
          <w:bCs/>
          <w:sz w:val="20"/>
          <w:szCs w:val="20"/>
        </w:rPr>
      </w:pPr>
    </w:p>
    <w:p w:rsidR="00303524" w:rsidRPr="00497D67" w:rsidRDefault="00303524" w:rsidP="005C55E7">
      <w:pPr>
        <w:pStyle w:val="ListParagraph"/>
        <w:numPr>
          <w:ilvl w:val="0"/>
          <w:numId w:val="1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Under the existing provisions of section 139, every person is required to furnish a return of income if his income during the previous year relevant to the assessment year exceeds the maximum amount which is not chargeable to tax.</w:t>
      </w:r>
    </w:p>
    <w:p w:rsidR="005D1CDD" w:rsidRPr="00497D67" w:rsidRDefault="005D1CDD" w:rsidP="005C55E7">
      <w:pPr>
        <w:autoSpaceDE w:val="0"/>
        <w:autoSpaceDN w:val="0"/>
        <w:adjustRightInd w:val="0"/>
        <w:spacing w:after="0" w:line="240" w:lineRule="auto"/>
        <w:ind w:left="720"/>
        <w:jc w:val="both"/>
        <w:rPr>
          <w:rFonts w:ascii="Arial" w:hAnsi="Arial" w:cs="Arial"/>
          <w:sz w:val="20"/>
          <w:szCs w:val="20"/>
        </w:rPr>
      </w:pPr>
    </w:p>
    <w:p w:rsidR="005D1CDD" w:rsidRPr="00497D67" w:rsidRDefault="005D1CDD" w:rsidP="005C55E7">
      <w:pPr>
        <w:pStyle w:val="ListParagraph"/>
        <w:numPr>
          <w:ilvl w:val="0"/>
          <w:numId w:val="1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It is proposed that a person being, a resident other than ordinarily resident in India  having any assets (including financial interest in any entity) located outside India or signing authority in any account located outside India is mandatorily require to file the tax return irrespective of the fact whether the resident has taxable income or not.</w:t>
      </w:r>
    </w:p>
    <w:p w:rsidR="005D1CDD" w:rsidRPr="00497D67" w:rsidRDefault="005D1CDD" w:rsidP="005C55E7">
      <w:pPr>
        <w:autoSpaceDE w:val="0"/>
        <w:autoSpaceDN w:val="0"/>
        <w:adjustRightInd w:val="0"/>
        <w:spacing w:after="0" w:line="240" w:lineRule="auto"/>
        <w:ind w:left="720"/>
        <w:jc w:val="both"/>
        <w:rPr>
          <w:rFonts w:ascii="Arial" w:hAnsi="Arial" w:cs="Arial"/>
          <w:sz w:val="20"/>
          <w:szCs w:val="20"/>
        </w:rPr>
      </w:pPr>
    </w:p>
    <w:p w:rsidR="005D1CDD" w:rsidRPr="00497D67" w:rsidRDefault="005D1CDD" w:rsidP="005C55E7">
      <w:pPr>
        <w:pStyle w:val="ListParagraph"/>
        <w:numPr>
          <w:ilvl w:val="0"/>
          <w:numId w:val="1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This amendment will take retrospective effect from the 1st day of April, 2012 and will accordingly apply to assessment year 2012-13 and subsequent assessment years.</w:t>
      </w:r>
    </w:p>
    <w:p w:rsidR="00F768F8" w:rsidRPr="00497D67" w:rsidRDefault="00F768F8" w:rsidP="005C55E7">
      <w:pPr>
        <w:autoSpaceDE w:val="0"/>
        <w:autoSpaceDN w:val="0"/>
        <w:adjustRightInd w:val="0"/>
        <w:spacing w:after="0" w:line="240" w:lineRule="auto"/>
        <w:jc w:val="both"/>
        <w:rPr>
          <w:rFonts w:ascii="Arial" w:hAnsi="Arial" w:cs="Arial"/>
          <w:sz w:val="20"/>
          <w:szCs w:val="20"/>
        </w:rPr>
      </w:pPr>
    </w:p>
    <w:p w:rsidR="00F768F8" w:rsidRPr="00497D67" w:rsidRDefault="00F768F8" w:rsidP="005C55E7">
      <w:pPr>
        <w:autoSpaceDE w:val="0"/>
        <w:autoSpaceDN w:val="0"/>
        <w:adjustRightInd w:val="0"/>
        <w:spacing w:after="0" w:line="240" w:lineRule="auto"/>
        <w:jc w:val="both"/>
        <w:rPr>
          <w:rFonts w:ascii="Arial" w:hAnsi="Arial" w:cs="Arial"/>
          <w:sz w:val="20"/>
          <w:szCs w:val="20"/>
        </w:rPr>
      </w:pPr>
    </w:p>
    <w:p w:rsidR="005D1CDD" w:rsidRPr="000F61DB" w:rsidRDefault="00F768F8" w:rsidP="005C55E7">
      <w:pPr>
        <w:jc w:val="both"/>
        <w:rPr>
          <w:rFonts w:ascii="Arial" w:hAnsi="Arial" w:cs="Arial"/>
          <w:b/>
          <w:sz w:val="24"/>
          <w:szCs w:val="24"/>
        </w:rPr>
      </w:pPr>
      <w:bookmarkStart w:id="17" w:name="_D._Tax_incentives"/>
      <w:bookmarkEnd w:id="17"/>
      <w:r w:rsidRPr="000F61DB">
        <w:rPr>
          <w:rFonts w:ascii="Arial" w:hAnsi="Arial" w:cs="Arial"/>
          <w:b/>
          <w:sz w:val="20"/>
          <w:szCs w:val="20"/>
        </w:rPr>
        <w:t xml:space="preserve">D. </w:t>
      </w:r>
      <w:r w:rsidRPr="000F61DB">
        <w:rPr>
          <w:rFonts w:ascii="Arial" w:hAnsi="Arial" w:cs="Arial"/>
          <w:b/>
          <w:sz w:val="24"/>
          <w:szCs w:val="24"/>
        </w:rPr>
        <w:t>Tax incentives and reliefs</w:t>
      </w:r>
    </w:p>
    <w:p w:rsidR="00F768F8" w:rsidRPr="000F61DB" w:rsidRDefault="00F768F8" w:rsidP="005C55E7">
      <w:pPr>
        <w:jc w:val="both"/>
        <w:rPr>
          <w:rFonts w:ascii="Arial" w:hAnsi="Arial" w:cs="Arial"/>
          <w:b/>
          <w:bCs/>
          <w:sz w:val="20"/>
          <w:szCs w:val="20"/>
        </w:rPr>
      </w:pPr>
      <w:bookmarkStart w:id="18" w:name="_Removal_of_Cascading"/>
      <w:bookmarkEnd w:id="18"/>
      <w:r w:rsidRPr="000F61DB">
        <w:rPr>
          <w:rFonts w:ascii="Arial" w:hAnsi="Arial" w:cs="Arial"/>
          <w:b/>
          <w:sz w:val="20"/>
          <w:szCs w:val="20"/>
        </w:rPr>
        <w:t>Removal of Cascading Effect of Dividend Distribution Tax (DDT)</w:t>
      </w:r>
    </w:p>
    <w:p w:rsidR="00F768F8" w:rsidRPr="00497D67" w:rsidRDefault="00F768F8" w:rsidP="005C55E7">
      <w:pPr>
        <w:autoSpaceDE w:val="0"/>
        <w:autoSpaceDN w:val="0"/>
        <w:adjustRightInd w:val="0"/>
        <w:spacing w:after="0" w:line="240" w:lineRule="auto"/>
        <w:jc w:val="both"/>
        <w:rPr>
          <w:rFonts w:ascii="Arial" w:hAnsi="Arial" w:cs="Arial"/>
          <w:b/>
          <w:bCs/>
          <w:sz w:val="20"/>
          <w:szCs w:val="20"/>
        </w:rPr>
      </w:pPr>
    </w:p>
    <w:p w:rsidR="00F768F8" w:rsidRPr="00497D67" w:rsidRDefault="00F768F8" w:rsidP="005C55E7">
      <w:pPr>
        <w:pStyle w:val="ListParagraph"/>
        <w:numPr>
          <w:ilvl w:val="0"/>
          <w:numId w:val="11"/>
        </w:numPr>
        <w:autoSpaceDE w:val="0"/>
        <w:autoSpaceDN w:val="0"/>
        <w:adjustRightInd w:val="0"/>
        <w:spacing w:after="0" w:line="240" w:lineRule="auto"/>
        <w:ind w:left="720"/>
        <w:jc w:val="both"/>
        <w:rPr>
          <w:rFonts w:ascii="Arial" w:hAnsi="Arial" w:cs="Arial"/>
          <w:b/>
          <w:sz w:val="20"/>
          <w:szCs w:val="20"/>
        </w:rPr>
      </w:pPr>
      <w:r w:rsidRPr="00497D67">
        <w:rPr>
          <w:rFonts w:ascii="Arial" w:hAnsi="Arial" w:cs="Arial"/>
          <w:sz w:val="20"/>
          <w:szCs w:val="20"/>
        </w:rPr>
        <w:t>Under the existing provision of Section 115-O (1A), the amount of dividends payable by any domestic company shall be reduced by an amount of dividends received, under the following conditions:</w:t>
      </w:r>
    </w:p>
    <w:p w:rsidR="00F768F8" w:rsidRPr="00497D67" w:rsidRDefault="00F768F8" w:rsidP="005C55E7">
      <w:pPr>
        <w:pStyle w:val="ListParagraph"/>
        <w:autoSpaceDE w:val="0"/>
        <w:autoSpaceDN w:val="0"/>
        <w:adjustRightInd w:val="0"/>
        <w:spacing w:after="0" w:line="240" w:lineRule="auto"/>
        <w:jc w:val="both"/>
        <w:rPr>
          <w:rFonts w:ascii="Arial" w:hAnsi="Arial" w:cs="Arial"/>
          <w:sz w:val="20"/>
          <w:szCs w:val="20"/>
        </w:rPr>
      </w:pPr>
    </w:p>
    <w:p w:rsidR="00F768F8" w:rsidRPr="00497D67" w:rsidRDefault="00F768F8" w:rsidP="005C55E7">
      <w:pPr>
        <w:pStyle w:val="ListParagraph"/>
        <w:numPr>
          <w:ilvl w:val="0"/>
          <w:numId w:val="5"/>
        </w:numPr>
        <w:autoSpaceDE w:val="0"/>
        <w:autoSpaceDN w:val="0"/>
        <w:adjustRightInd w:val="0"/>
        <w:spacing w:after="0" w:line="240" w:lineRule="auto"/>
        <w:ind w:left="1080"/>
        <w:jc w:val="both"/>
        <w:rPr>
          <w:rFonts w:ascii="Arial" w:hAnsi="Arial" w:cs="Arial"/>
          <w:b/>
          <w:sz w:val="20"/>
          <w:szCs w:val="20"/>
        </w:rPr>
      </w:pPr>
      <w:r w:rsidRPr="00497D67">
        <w:rPr>
          <w:rFonts w:ascii="Arial" w:hAnsi="Arial" w:cs="Arial"/>
          <w:sz w:val="20"/>
          <w:szCs w:val="20"/>
        </w:rPr>
        <w:t>The dividend is received from its subsidiary; and</w:t>
      </w:r>
    </w:p>
    <w:p w:rsidR="00F768F8" w:rsidRPr="00497D67" w:rsidRDefault="00F768F8" w:rsidP="005C55E7">
      <w:pPr>
        <w:pStyle w:val="ListParagraph"/>
        <w:autoSpaceDE w:val="0"/>
        <w:autoSpaceDN w:val="0"/>
        <w:adjustRightInd w:val="0"/>
        <w:spacing w:after="0" w:line="240" w:lineRule="auto"/>
        <w:ind w:left="1080"/>
        <w:jc w:val="both"/>
        <w:rPr>
          <w:rFonts w:ascii="Arial" w:hAnsi="Arial" w:cs="Arial"/>
          <w:sz w:val="20"/>
          <w:szCs w:val="20"/>
        </w:rPr>
      </w:pPr>
    </w:p>
    <w:p w:rsidR="00F768F8" w:rsidRPr="00497D67" w:rsidRDefault="00F768F8" w:rsidP="005C55E7">
      <w:pPr>
        <w:pStyle w:val="ListParagraph"/>
        <w:numPr>
          <w:ilvl w:val="0"/>
          <w:numId w:val="5"/>
        </w:numPr>
        <w:autoSpaceDE w:val="0"/>
        <w:autoSpaceDN w:val="0"/>
        <w:adjustRightInd w:val="0"/>
        <w:spacing w:after="0" w:line="240" w:lineRule="auto"/>
        <w:ind w:left="1080"/>
        <w:jc w:val="both"/>
        <w:rPr>
          <w:rFonts w:ascii="Arial" w:hAnsi="Arial" w:cs="Arial"/>
          <w:b/>
          <w:sz w:val="20"/>
          <w:szCs w:val="20"/>
        </w:rPr>
      </w:pPr>
      <w:r w:rsidRPr="00497D67">
        <w:rPr>
          <w:rFonts w:ascii="Arial" w:hAnsi="Arial" w:cs="Arial"/>
          <w:sz w:val="20"/>
          <w:szCs w:val="20"/>
        </w:rPr>
        <w:t xml:space="preserve">The subsidiary has paid tax on such dividends paid to domestic company </w:t>
      </w:r>
      <w:r w:rsidR="000E169C" w:rsidRPr="00497D67">
        <w:rPr>
          <w:rFonts w:ascii="Arial" w:hAnsi="Arial" w:cs="Arial"/>
          <w:sz w:val="20"/>
          <w:szCs w:val="20"/>
        </w:rPr>
        <w:t>the</w:t>
      </w:r>
      <w:r w:rsidRPr="00497D67">
        <w:rPr>
          <w:rFonts w:ascii="Arial" w:hAnsi="Arial" w:cs="Arial"/>
          <w:sz w:val="20"/>
          <w:szCs w:val="20"/>
        </w:rPr>
        <w:t xml:space="preserve"> section provides that such amount of reduction on account of dividends shall not be made more than once.</w:t>
      </w:r>
    </w:p>
    <w:p w:rsidR="00F768F8" w:rsidRPr="00497D67" w:rsidRDefault="00F768F8" w:rsidP="005C55E7">
      <w:pPr>
        <w:pStyle w:val="ListParagraph"/>
        <w:autoSpaceDE w:val="0"/>
        <w:autoSpaceDN w:val="0"/>
        <w:adjustRightInd w:val="0"/>
        <w:spacing w:after="0" w:line="240" w:lineRule="auto"/>
        <w:ind w:left="1080"/>
        <w:jc w:val="both"/>
        <w:rPr>
          <w:rFonts w:ascii="Arial" w:hAnsi="Arial" w:cs="Arial"/>
          <w:b/>
          <w:sz w:val="20"/>
          <w:szCs w:val="20"/>
        </w:rPr>
      </w:pPr>
    </w:p>
    <w:p w:rsidR="00F768F8" w:rsidRPr="00497D67" w:rsidRDefault="00F768F8" w:rsidP="005C55E7">
      <w:pPr>
        <w:pStyle w:val="ListParagraph"/>
        <w:numPr>
          <w:ilvl w:val="0"/>
          <w:numId w:val="11"/>
        </w:numPr>
        <w:autoSpaceDE w:val="0"/>
        <w:autoSpaceDN w:val="0"/>
        <w:adjustRightInd w:val="0"/>
        <w:spacing w:after="0" w:line="240" w:lineRule="auto"/>
        <w:ind w:left="720"/>
        <w:jc w:val="both"/>
        <w:rPr>
          <w:rFonts w:ascii="Arial" w:hAnsi="Arial" w:cs="Arial"/>
          <w:b/>
          <w:sz w:val="20"/>
          <w:szCs w:val="20"/>
        </w:rPr>
      </w:pPr>
      <w:r w:rsidRPr="00497D67">
        <w:rPr>
          <w:rFonts w:ascii="Arial" w:hAnsi="Arial" w:cs="Arial"/>
          <w:sz w:val="20"/>
          <w:szCs w:val="20"/>
        </w:rPr>
        <w:t>The Finance Bill 2012 proposes to amend sub-clause (c) and the proviso to clause (i) to section 115-O (1A) by extending the scope of adjustments to multi-tier corporate structures. It is proposed to amend Section 115-O of the Act to provide that in case any company receives, during the year, any dividend from any subsidiary and such subsidiary has paid DDT as payable on such dividend, then, dividend distributed by the holding company in the same year, to that extent, shall not be subject to Dividend Distribution Tax under Section 115-O of the Act.</w:t>
      </w:r>
    </w:p>
    <w:p w:rsidR="00F768F8" w:rsidRPr="00497D67" w:rsidRDefault="00F768F8" w:rsidP="005C55E7">
      <w:pPr>
        <w:pStyle w:val="ListParagraph"/>
        <w:autoSpaceDE w:val="0"/>
        <w:autoSpaceDN w:val="0"/>
        <w:adjustRightInd w:val="0"/>
        <w:spacing w:after="0" w:line="240" w:lineRule="auto"/>
        <w:jc w:val="both"/>
        <w:rPr>
          <w:rFonts w:ascii="Arial" w:hAnsi="Arial" w:cs="Arial"/>
          <w:sz w:val="20"/>
          <w:szCs w:val="20"/>
        </w:rPr>
      </w:pPr>
    </w:p>
    <w:p w:rsidR="00F768F8" w:rsidRPr="00497D67" w:rsidRDefault="00F768F8" w:rsidP="005C55E7">
      <w:pPr>
        <w:pStyle w:val="ListParagraph"/>
        <w:numPr>
          <w:ilvl w:val="0"/>
          <w:numId w:val="11"/>
        </w:numPr>
        <w:autoSpaceDE w:val="0"/>
        <w:autoSpaceDN w:val="0"/>
        <w:adjustRightInd w:val="0"/>
        <w:spacing w:after="0" w:line="240" w:lineRule="auto"/>
        <w:ind w:left="720"/>
        <w:jc w:val="both"/>
        <w:rPr>
          <w:rFonts w:ascii="Arial" w:hAnsi="Arial" w:cs="Arial"/>
          <w:b/>
          <w:sz w:val="20"/>
          <w:szCs w:val="20"/>
        </w:rPr>
      </w:pPr>
      <w:r w:rsidRPr="00497D67">
        <w:rPr>
          <w:rFonts w:ascii="Arial" w:hAnsi="Arial" w:cs="Arial"/>
          <w:color w:val="000000"/>
          <w:sz w:val="20"/>
          <w:szCs w:val="20"/>
        </w:rPr>
        <w:t>The said amendment is proposed to be made with effect from 1st July, 2012.</w:t>
      </w:r>
    </w:p>
    <w:p w:rsidR="00F768F8" w:rsidRPr="00497D67" w:rsidRDefault="00F768F8" w:rsidP="005C55E7">
      <w:pPr>
        <w:pStyle w:val="ListParagraph"/>
        <w:spacing w:line="240" w:lineRule="auto"/>
        <w:jc w:val="both"/>
        <w:rPr>
          <w:rFonts w:ascii="Arial" w:hAnsi="Arial" w:cs="Arial"/>
          <w:b/>
          <w:sz w:val="20"/>
          <w:szCs w:val="20"/>
        </w:rPr>
      </w:pPr>
    </w:p>
    <w:p w:rsidR="00F768F8" w:rsidRPr="00497D67" w:rsidRDefault="00F768F8" w:rsidP="005C55E7">
      <w:pPr>
        <w:pStyle w:val="ListParagraph"/>
        <w:autoSpaceDE w:val="0"/>
        <w:autoSpaceDN w:val="0"/>
        <w:adjustRightInd w:val="0"/>
        <w:spacing w:after="0" w:line="240" w:lineRule="auto"/>
        <w:jc w:val="both"/>
        <w:rPr>
          <w:rFonts w:ascii="Arial" w:hAnsi="Arial" w:cs="Arial"/>
          <w:b/>
          <w:sz w:val="20"/>
          <w:szCs w:val="20"/>
        </w:rPr>
      </w:pPr>
    </w:p>
    <w:p w:rsidR="00F768F8" w:rsidRPr="00497D67" w:rsidRDefault="00F768F8" w:rsidP="005C55E7">
      <w:pPr>
        <w:pStyle w:val="ListParagraph"/>
        <w:autoSpaceDE w:val="0"/>
        <w:autoSpaceDN w:val="0"/>
        <w:adjustRightInd w:val="0"/>
        <w:spacing w:after="0" w:line="240" w:lineRule="auto"/>
        <w:ind w:left="0"/>
        <w:jc w:val="both"/>
        <w:outlineLvl w:val="0"/>
        <w:rPr>
          <w:rFonts w:ascii="Arial" w:hAnsi="Arial" w:cs="Arial"/>
          <w:b/>
          <w:bCs/>
          <w:sz w:val="20"/>
          <w:szCs w:val="20"/>
        </w:rPr>
      </w:pPr>
      <w:bookmarkStart w:id="19" w:name="Weighted"/>
      <w:r w:rsidRPr="00497D67">
        <w:rPr>
          <w:rFonts w:ascii="Arial" w:hAnsi="Arial" w:cs="Arial"/>
          <w:b/>
          <w:bCs/>
          <w:sz w:val="20"/>
          <w:szCs w:val="20"/>
        </w:rPr>
        <w:t>Weighted deduction for expenditure for skill development</w:t>
      </w:r>
      <w:bookmarkEnd w:id="19"/>
    </w:p>
    <w:p w:rsidR="00F768F8" w:rsidRPr="00497D67" w:rsidRDefault="00F768F8" w:rsidP="005C55E7">
      <w:pPr>
        <w:pStyle w:val="ListParagraph"/>
        <w:autoSpaceDE w:val="0"/>
        <w:autoSpaceDN w:val="0"/>
        <w:adjustRightInd w:val="0"/>
        <w:spacing w:after="0" w:line="240" w:lineRule="auto"/>
        <w:ind w:left="0"/>
        <w:jc w:val="both"/>
        <w:rPr>
          <w:rFonts w:ascii="Arial" w:hAnsi="Arial" w:cs="Arial"/>
          <w:b/>
          <w:bCs/>
          <w:sz w:val="20"/>
          <w:szCs w:val="20"/>
        </w:rPr>
      </w:pPr>
    </w:p>
    <w:p w:rsidR="00003457" w:rsidRPr="00497D67" w:rsidRDefault="00F768F8" w:rsidP="005C55E7">
      <w:pPr>
        <w:pStyle w:val="ListParagraph"/>
        <w:numPr>
          <w:ilvl w:val="0"/>
          <w:numId w:val="12"/>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It is proposed to insert a new Section 35CCD to provide weighted deduction of 150% of expenses incurred on skill development project, not being expenditure in the nature of cost of any land or building, to incentivize companies to invest on skill development projects in the manufacturing sector, which is in consonance with the National Manufacturing Policy.</w:t>
      </w:r>
    </w:p>
    <w:p w:rsidR="00003457" w:rsidRPr="00497D67" w:rsidRDefault="00003457" w:rsidP="005C55E7">
      <w:pPr>
        <w:autoSpaceDE w:val="0"/>
        <w:autoSpaceDN w:val="0"/>
        <w:adjustRightInd w:val="0"/>
        <w:spacing w:after="0" w:line="240" w:lineRule="auto"/>
        <w:jc w:val="both"/>
        <w:rPr>
          <w:rFonts w:ascii="Arial" w:hAnsi="Arial" w:cs="Arial"/>
          <w:b/>
          <w:sz w:val="20"/>
          <w:szCs w:val="20"/>
        </w:rPr>
      </w:pPr>
    </w:p>
    <w:p w:rsidR="00003457" w:rsidRPr="00497D67" w:rsidRDefault="00003457" w:rsidP="005C55E7">
      <w:pPr>
        <w:pStyle w:val="ListParagraph"/>
        <w:numPr>
          <w:ilvl w:val="0"/>
          <w:numId w:val="12"/>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Further, the skill development project eligible for this weighted deduction shall be notified by the Board in accordance with the prescribed guidelines.</w:t>
      </w:r>
    </w:p>
    <w:p w:rsidR="00003457" w:rsidRPr="00497D67" w:rsidRDefault="00003457" w:rsidP="005C55E7">
      <w:pPr>
        <w:pStyle w:val="ListParagraph"/>
        <w:spacing w:line="240" w:lineRule="auto"/>
        <w:jc w:val="both"/>
        <w:rPr>
          <w:rFonts w:ascii="Arial" w:hAnsi="Arial" w:cs="Arial"/>
          <w:b/>
          <w:sz w:val="20"/>
          <w:szCs w:val="20"/>
        </w:rPr>
      </w:pPr>
    </w:p>
    <w:p w:rsidR="00003457" w:rsidRPr="00497D67" w:rsidRDefault="00003457" w:rsidP="005C55E7">
      <w:pPr>
        <w:pStyle w:val="ListParagraph"/>
        <w:autoSpaceDE w:val="0"/>
        <w:autoSpaceDN w:val="0"/>
        <w:adjustRightInd w:val="0"/>
        <w:spacing w:after="0" w:line="240" w:lineRule="auto"/>
        <w:jc w:val="both"/>
        <w:rPr>
          <w:rFonts w:ascii="Arial" w:hAnsi="Arial" w:cs="Arial"/>
          <w:b/>
          <w:sz w:val="20"/>
          <w:szCs w:val="20"/>
        </w:rPr>
      </w:pPr>
    </w:p>
    <w:p w:rsidR="00003457" w:rsidRPr="00497D67" w:rsidRDefault="00003457" w:rsidP="005C55E7">
      <w:pPr>
        <w:pStyle w:val="ListParagraph"/>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2"/>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Furthermore, the section provides that where a deduction under this section is claimed and allowed for any assessment year in respect of such expenditure, deduction shall not be allowed in respect of such expenditure under any other provisions of the Income-tax Act for the same or any other assessment year.</w:t>
      </w:r>
    </w:p>
    <w:p w:rsidR="00003457" w:rsidRPr="00497D67" w:rsidRDefault="00003457" w:rsidP="005C55E7">
      <w:pPr>
        <w:pStyle w:val="ListParagraph"/>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2"/>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This amendment is proposed to take effect from 1st of April 2013 and, will, accordingly apply in relation to the assessment year 2013-14 and subsequent year.</w:t>
      </w:r>
    </w:p>
    <w:p w:rsidR="00003457" w:rsidRPr="00497D67" w:rsidRDefault="00003457" w:rsidP="005C55E7">
      <w:pPr>
        <w:pStyle w:val="ListParagraph"/>
        <w:spacing w:line="240" w:lineRule="auto"/>
        <w:jc w:val="both"/>
        <w:rPr>
          <w:rFonts w:ascii="Arial" w:hAnsi="Arial" w:cs="Arial"/>
          <w:b/>
          <w:sz w:val="20"/>
          <w:szCs w:val="20"/>
        </w:rPr>
      </w:pPr>
    </w:p>
    <w:p w:rsidR="00003457" w:rsidRPr="00497D67" w:rsidRDefault="00003457" w:rsidP="005C55E7">
      <w:pPr>
        <w:pStyle w:val="ListParagraph"/>
        <w:autoSpaceDE w:val="0"/>
        <w:autoSpaceDN w:val="0"/>
        <w:adjustRightInd w:val="0"/>
        <w:spacing w:after="0" w:line="240" w:lineRule="auto"/>
        <w:jc w:val="both"/>
        <w:rPr>
          <w:rFonts w:ascii="Arial" w:hAnsi="Arial" w:cs="Arial"/>
          <w:b/>
          <w:sz w:val="20"/>
          <w:szCs w:val="20"/>
        </w:rPr>
      </w:pPr>
    </w:p>
    <w:p w:rsidR="00003457" w:rsidRPr="00497D67" w:rsidRDefault="00003457" w:rsidP="005C55E7">
      <w:pPr>
        <w:pStyle w:val="ListParagraph"/>
        <w:autoSpaceDE w:val="0"/>
        <w:autoSpaceDN w:val="0"/>
        <w:adjustRightInd w:val="0"/>
        <w:spacing w:after="0" w:line="240" w:lineRule="auto"/>
        <w:ind w:left="360"/>
        <w:jc w:val="both"/>
        <w:outlineLvl w:val="0"/>
        <w:rPr>
          <w:rFonts w:ascii="Arial" w:hAnsi="Arial" w:cs="Arial"/>
          <w:b/>
          <w:sz w:val="20"/>
          <w:szCs w:val="20"/>
        </w:rPr>
      </w:pPr>
      <w:bookmarkStart w:id="20" w:name="Turnover"/>
      <w:r w:rsidRPr="00497D67">
        <w:rPr>
          <w:rFonts w:ascii="Arial" w:hAnsi="Arial" w:cs="Arial"/>
          <w:b/>
          <w:bCs/>
          <w:sz w:val="20"/>
          <w:szCs w:val="20"/>
        </w:rPr>
        <w:t>Turnover or gross receipts for audit of accounts and presumptive taxation</w:t>
      </w:r>
    </w:p>
    <w:bookmarkEnd w:id="20"/>
    <w:p w:rsidR="00003457" w:rsidRPr="00497D67" w:rsidRDefault="00003457" w:rsidP="005C55E7">
      <w:pPr>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Under the existing provisions of Section 44AB of the Income-tax Act, the monetary limit for getting the books of accounts audited is Rs.60,00,000/- in the case of a person carrying on business and Rs.15,00,000/- in case of a person carrying on a profession.</w:t>
      </w:r>
    </w:p>
    <w:p w:rsidR="00003457" w:rsidRPr="00497D67" w:rsidRDefault="00003457" w:rsidP="005C55E7">
      <w:pPr>
        <w:pStyle w:val="ListParagraph"/>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These limits for the purpose of audit are proposed to be increased to Rs.1,00,00,000/- in the case of a person carrying on business and Rs.25,00,000/- in the case of person carrying on profession.</w:t>
      </w:r>
    </w:p>
    <w:p w:rsidR="00003457" w:rsidRPr="00497D67" w:rsidRDefault="00003457" w:rsidP="005C55E7">
      <w:pPr>
        <w:pStyle w:val="ListParagraph"/>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Such person are required to get the accounts audited under the provisions of Section 44AB before the due date for furnishing the return of income u/s. 139(1).</w:t>
      </w:r>
    </w:p>
    <w:p w:rsidR="00003457" w:rsidRPr="00497D67" w:rsidRDefault="00003457" w:rsidP="005C55E7">
      <w:pPr>
        <w:pStyle w:val="ListParagraph"/>
        <w:spacing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amendments will take effect from 1st April 2013 and will accordingly apply to assessment year 2013-14 and subsequent years.</w:t>
      </w:r>
    </w:p>
    <w:p w:rsidR="00003457" w:rsidRPr="00497D67" w:rsidRDefault="00003457" w:rsidP="005C55E7">
      <w:pPr>
        <w:pStyle w:val="ListParagraph"/>
        <w:spacing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At present the provisions of presumptive taxation under Section 44AD are applicable where the total turnover or gross receipts in the previous year does not exceed Rs.60,00,000/-. It is proposed to increase the threshold limit from Rs.60,00,000/- to Rs.1,00,00,000/- with effect from 1st April 2013 and will accordingly apply to as</w:t>
      </w:r>
      <w:r w:rsidR="00084894" w:rsidRPr="00497D67">
        <w:rPr>
          <w:rFonts w:ascii="Arial" w:hAnsi="Arial" w:cs="Arial"/>
          <w:sz w:val="20"/>
          <w:szCs w:val="20"/>
        </w:rPr>
        <w:t>s</w:t>
      </w:r>
      <w:r w:rsidRPr="00497D67">
        <w:rPr>
          <w:rFonts w:ascii="Arial" w:hAnsi="Arial" w:cs="Arial"/>
          <w:sz w:val="20"/>
          <w:szCs w:val="20"/>
        </w:rPr>
        <w:t>essment year 2013-14 and subsequent years.</w:t>
      </w:r>
    </w:p>
    <w:p w:rsidR="00003457" w:rsidRPr="00497D67" w:rsidRDefault="00003457" w:rsidP="005C55E7">
      <w:pPr>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Presumptive taxation on profits and gains of business referred to in Section 44AD of the Income-tax Act, 1961 will not be applicable to persons carrying on legal, medical, engineering or architectural profession or the profession of accountancy or technical consultancy or interior decoration or any other notified profession or in the case of a person earning income in the nature of commission or brokerage or a person carrying on any agency business.</w:t>
      </w:r>
    </w:p>
    <w:p w:rsidR="00003457" w:rsidRPr="00497D67" w:rsidRDefault="00003457" w:rsidP="005C55E7">
      <w:pPr>
        <w:autoSpaceDE w:val="0"/>
        <w:autoSpaceDN w:val="0"/>
        <w:adjustRightInd w:val="0"/>
        <w:spacing w:after="0" w:line="240" w:lineRule="auto"/>
        <w:jc w:val="both"/>
        <w:rPr>
          <w:rFonts w:ascii="Arial" w:hAnsi="Arial" w:cs="Arial"/>
          <w:sz w:val="20"/>
          <w:szCs w:val="20"/>
        </w:rPr>
      </w:pPr>
    </w:p>
    <w:p w:rsidR="00003457" w:rsidRPr="00497D67" w:rsidRDefault="00003457" w:rsidP="005C55E7">
      <w:pPr>
        <w:pStyle w:val="ListParagraph"/>
        <w:numPr>
          <w:ilvl w:val="0"/>
          <w:numId w:val="1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 will take effect retrospectively from 1st April 2011 and will, accordingly apply in relation to the assessment year 2011-12 and subsequent years.</w:t>
      </w:r>
    </w:p>
    <w:p w:rsidR="00003457" w:rsidRPr="00497D67" w:rsidRDefault="00003457" w:rsidP="005C55E7">
      <w:pPr>
        <w:pStyle w:val="ListParagraph"/>
        <w:spacing w:line="240" w:lineRule="auto"/>
        <w:jc w:val="both"/>
        <w:rPr>
          <w:rFonts w:ascii="Arial" w:hAnsi="Arial" w:cs="Arial"/>
          <w:sz w:val="20"/>
          <w:szCs w:val="20"/>
        </w:rPr>
      </w:pPr>
    </w:p>
    <w:p w:rsidR="009E3006" w:rsidRDefault="009E3006"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p>
    <w:p w:rsidR="009E3006" w:rsidRDefault="009E3006"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p>
    <w:p w:rsidR="009E3006" w:rsidRDefault="009E3006"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p>
    <w:p w:rsidR="00003457" w:rsidRPr="00497D67" w:rsidRDefault="00003457"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21" w:name="Exemption"/>
      <w:r w:rsidRPr="00497D67">
        <w:rPr>
          <w:rFonts w:ascii="Arial" w:hAnsi="Arial" w:cs="Arial"/>
          <w:b/>
          <w:bCs/>
          <w:sz w:val="20"/>
          <w:szCs w:val="20"/>
        </w:rPr>
        <w:t>Exemption for senior citizens from payment of advance tax</w:t>
      </w:r>
    </w:p>
    <w:bookmarkEnd w:id="21"/>
    <w:p w:rsidR="00003457" w:rsidRPr="00497D67" w:rsidRDefault="00003457" w:rsidP="005C55E7">
      <w:pPr>
        <w:pStyle w:val="ListParagraph"/>
        <w:autoSpaceDE w:val="0"/>
        <w:autoSpaceDN w:val="0"/>
        <w:adjustRightInd w:val="0"/>
        <w:spacing w:after="0" w:line="240" w:lineRule="auto"/>
        <w:ind w:left="360"/>
        <w:jc w:val="both"/>
        <w:rPr>
          <w:rFonts w:ascii="Arial" w:hAnsi="Arial" w:cs="Arial"/>
          <w:b/>
          <w:bCs/>
          <w:sz w:val="20"/>
          <w:szCs w:val="20"/>
        </w:rPr>
      </w:pPr>
    </w:p>
    <w:p w:rsidR="00003457" w:rsidRPr="00497D67" w:rsidRDefault="00003457" w:rsidP="005C55E7">
      <w:pPr>
        <w:pStyle w:val="ListParagraph"/>
        <w:numPr>
          <w:ilvl w:val="0"/>
          <w:numId w:val="1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Under the existing provisions of the Income-tax Act, all assessee having a tax liability of more than Rs.10,000/- in the previous year are required to pay advance tax.</w:t>
      </w:r>
    </w:p>
    <w:p w:rsidR="00003457" w:rsidRPr="00497D67" w:rsidRDefault="00003457" w:rsidP="005C55E7">
      <w:pPr>
        <w:autoSpaceDE w:val="0"/>
        <w:autoSpaceDN w:val="0"/>
        <w:adjustRightInd w:val="0"/>
        <w:spacing w:after="0" w:line="240" w:lineRule="auto"/>
        <w:jc w:val="both"/>
        <w:rPr>
          <w:rFonts w:ascii="Arial" w:hAnsi="Arial" w:cs="Arial"/>
          <w:sz w:val="20"/>
          <w:szCs w:val="20"/>
        </w:rPr>
      </w:pPr>
    </w:p>
    <w:p w:rsidR="000E7D28" w:rsidRPr="00497D67" w:rsidRDefault="000E7D28" w:rsidP="005C55E7">
      <w:pPr>
        <w:pStyle w:val="ListParagraph"/>
        <w:numPr>
          <w:ilvl w:val="0"/>
          <w:numId w:val="1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To reduce the compliance burden of senior citizens, it has been proposed that senior citizens not having any income under the head “profits and gains from business or profession” shall not be liable to pay advance tax and they can discharge their tax liability by paying self assessment tax.</w:t>
      </w:r>
    </w:p>
    <w:p w:rsidR="000E7D28" w:rsidRPr="00497D67" w:rsidRDefault="000E7D28" w:rsidP="005C55E7">
      <w:pPr>
        <w:autoSpaceDE w:val="0"/>
        <w:autoSpaceDN w:val="0"/>
        <w:adjustRightInd w:val="0"/>
        <w:spacing w:after="0" w:line="240" w:lineRule="auto"/>
        <w:ind w:left="720"/>
        <w:jc w:val="both"/>
        <w:rPr>
          <w:rFonts w:ascii="Arial" w:hAnsi="Arial" w:cs="Arial"/>
          <w:sz w:val="20"/>
          <w:szCs w:val="20"/>
        </w:rPr>
      </w:pPr>
    </w:p>
    <w:p w:rsidR="000E7D28" w:rsidRPr="00497D67" w:rsidRDefault="000E7D28" w:rsidP="005C55E7">
      <w:pPr>
        <w:pStyle w:val="ListParagraph"/>
        <w:numPr>
          <w:ilvl w:val="0"/>
          <w:numId w:val="1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above amendment will take effect from 1st April 2012. Accordingly, the senior citizens would not be required to pay advance tax for financial year 2012-13 and subsequent financial years.</w:t>
      </w:r>
    </w:p>
    <w:p w:rsidR="000E7D28" w:rsidRPr="00497D67" w:rsidRDefault="000E7D28" w:rsidP="005C55E7">
      <w:pPr>
        <w:pStyle w:val="ListParagraph"/>
        <w:spacing w:line="240" w:lineRule="auto"/>
        <w:jc w:val="both"/>
        <w:rPr>
          <w:rFonts w:ascii="Arial" w:hAnsi="Arial" w:cs="Arial"/>
          <w:sz w:val="20"/>
          <w:szCs w:val="20"/>
        </w:rPr>
      </w:pPr>
    </w:p>
    <w:p w:rsidR="000E7D28" w:rsidRPr="00497D67" w:rsidRDefault="000E7D28" w:rsidP="005C55E7">
      <w:pPr>
        <w:pStyle w:val="ListParagraph"/>
        <w:autoSpaceDE w:val="0"/>
        <w:autoSpaceDN w:val="0"/>
        <w:adjustRightInd w:val="0"/>
        <w:spacing w:after="0" w:line="240" w:lineRule="auto"/>
        <w:ind w:left="360"/>
        <w:jc w:val="both"/>
        <w:rPr>
          <w:rFonts w:ascii="Arial" w:hAnsi="Arial" w:cs="Arial"/>
          <w:b/>
          <w:bCs/>
          <w:sz w:val="20"/>
          <w:szCs w:val="20"/>
        </w:rPr>
      </w:pPr>
    </w:p>
    <w:p w:rsidR="000E7D28" w:rsidRPr="00497D67" w:rsidRDefault="000E7D28" w:rsidP="005C55E7">
      <w:pPr>
        <w:pStyle w:val="ListParagraph"/>
        <w:autoSpaceDE w:val="0"/>
        <w:autoSpaceDN w:val="0"/>
        <w:adjustRightInd w:val="0"/>
        <w:spacing w:after="0" w:line="240" w:lineRule="auto"/>
        <w:ind w:left="360"/>
        <w:jc w:val="both"/>
        <w:rPr>
          <w:rFonts w:ascii="Arial" w:hAnsi="Arial" w:cs="Arial"/>
          <w:b/>
          <w:bCs/>
          <w:sz w:val="20"/>
          <w:szCs w:val="20"/>
        </w:rPr>
      </w:pPr>
    </w:p>
    <w:p w:rsidR="000E7D28" w:rsidRPr="00497D67" w:rsidRDefault="000E7D28" w:rsidP="005C55E7">
      <w:pPr>
        <w:pStyle w:val="ListParagraph"/>
        <w:autoSpaceDE w:val="0"/>
        <w:autoSpaceDN w:val="0"/>
        <w:adjustRightInd w:val="0"/>
        <w:spacing w:after="0" w:line="240" w:lineRule="auto"/>
        <w:ind w:left="360"/>
        <w:jc w:val="both"/>
        <w:rPr>
          <w:rFonts w:ascii="Arial" w:hAnsi="Arial" w:cs="Arial"/>
          <w:b/>
          <w:bCs/>
          <w:sz w:val="20"/>
          <w:szCs w:val="20"/>
        </w:rPr>
      </w:pPr>
    </w:p>
    <w:p w:rsidR="00AD2305" w:rsidRDefault="00AD2305"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22" w:name="Relief"/>
    </w:p>
    <w:p w:rsidR="00AD2305" w:rsidRDefault="00AD2305"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p>
    <w:p w:rsidR="000E7D28" w:rsidRPr="00497D67" w:rsidRDefault="000E7D28"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r w:rsidRPr="00497D67">
        <w:rPr>
          <w:rFonts w:ascii="Arial" w:hAnsi="Arial" w:cs="Arial"/>
          <w:b/>
          <w:bCs/>
          <w:sz w:val="20"/>
          <w:szCs w:val="20"/>
        </w:rPr>
        <w:t>Relief from long term capital gains tax on transfer of residential property if invested in a manufacturing small and medium enterprise</w:t>
      </w:r>
    </w:p>
    <w:bookmarkEnd w:id="22"/>
    <w:p w:rsidR="000E7D28" w:rsidRPr="00497D67" w:rsidRDefault="000E7D28" w:rsidP="005C55E7">
      <w:pPr>
        <w:pStyle w:val="ListParagraph"/>
        <w:autoSpaceDE w:val="0"/>
        <w:autoSpaceDN w:val="0"/>
        <w:adjustRightInd w:val="0"/>
        <w:spacing w:after="0" w:line="240" w:lineRule="auto"/>
        <w:ind w:left="360"/>
        <w:jc w:val="both"/>
        <w:rPr>
          <w:rFonts w:ascii="Arial" w:hAnsi="Arial" w:cs="Arial"/>
          <w:b/>
          <w:bCs/>
          <w:sz w:val="20"/>
          <w:szCs w:val="20"/>
        </w:rPr>
      </w:pPr>
    </w:p>
    <w:p w:rsidR="000E7D28" w:rsidRPr="00497D67" w:rsidRDefault="000E7D28" w:rsidP="005C55E7">
      <w:pPr>
        <w:pStyle w:val="ListParagraph"/>
        <w:numPr>
          <w:ilvl w:val="0"/>
          <w:numId w:val="15"/>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In order to incentivize investment in the Small and Medium Enterprise manufacturing sector, it is proposed to insert new Section 54(GB).</w:t>
      </w:r>
    </w:p>
    <w:p w:rsidR="000E7D28" w:rsidRPr="00497D67" w:rsidRDefault="000E7D28" w:rsidP="005C55E7">
      <w:pPr>
        <w:pStyle w:val="ListParagraph"/>
        <w:autoSpaceDE w:val="0"/>
        <w:autoSpaceDN w:val="0"/>
        <w:adjustRightInd w:val="0"/>
        <w:spacing w:after="0" w:line="240" w:lineRule="auto"/>
        <w:jc w:val="both"/>
        <w:rPr>
          <w:rFonts w:ascii="Arial" w:hAnsi="Arial" w:cs="Arial"/>
          <w:sz w:val="20"/>
          <w:szCs w:val="20"/>
        </w:rPr>
      </w:pPr>
    </w:p>
    <w:p w:rsidR="000E7D28" w:rsidRPr="00497D67" w:rsidRDefault="000E7D28" w:rsidP="005C55E7">
      <w:pPr>
        <w:pStyle w:val="ListParagraph"/>
        <w:numPr>
          <w:ilvl w:val="0"/>
          <w:numId w:val="15"/>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lastRenderedPageBreak/>
        <w:t>As per the proposed new section, any long term gains arising to an Individual or HUF, from the sale of a residential house property or a plot of land will be exempt, if the net consideration received on the sale of house property or plot of land is invested in equity of a new start up SME company in the manufacturing sector. The relief would be subject to the following conditions:</w:t>
      </w:r>
    </w:p>
    <w:p w:rsidR="000E7D28" w:rsidRPr="00497D67" w:rsidRDefault="000E7D28" w:rsidP="005C55E7">
      <w:pPr>
        <w:autoSpaceDE w:val="0"/>
        <w:autoSpaceDN w:val="0"/>
        <w:adjustRightInd w:val="0"/>
        <w:spacing w:after="0" w:line="240" w:lineRule="auto"/>
        <w:ind w:left="720"/>
        <w:jc w:val="both"/>
        <w:rPr>
          <w:rFonts w:ascii="Arial" w:hAnsi="Arial" w:cs="Arial"/>
          <w:sz w:val="20"/>
          <w:szCs w:val="20"/>
        </w:rPr>
      </w:pPr>
    </w:p>
    <w:p w:rsidR="000E7D28" w:rsidRPr="00497D67" w:rsidRDefault="000E7D28" w:rsidP="005C55E7">
      <w:pPr>
        <w:pStyle w:val="ListParagraph"/>
        <w:numPr>
          <w:ilvl w:val="0"/>
          <w:numId w:val="16"/>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The amount of net consideration is required to be used for subscription in the Equity Shares in the SME company in which he holds more than 50% share capital or more than 50% voting rights. The net consideration is required to be used before the due date of filing the rerun of income under Section 139(1).</w:t>
      </w:r>
    </w:p>
    <w:p w:rsidR="00BC6640" w:rsidRPr="00497D67" w:rsidRDefault="00BC6640" w:rsidP="005C55E7">
      <w:pPr>
        <w:pStyle w:val="ListParagraph"/>
        <w:autoSpaceDE w:val="0"/>
        <w:autoSpaceDN w:val="0"/>
        <w:adjustRightInd w:val="0"/>
        <w:spacing w:after="0" w:line="240" w:lineRule="auto"/>
        <w:ind w:left="1080"/>
        <w:jc w:val="both"/>
        <w:rPr>
          <w:rFonts w:ascii="Arial" w:hAnsi="Arial" w:cs="Arial"/>
          <w:sz w:val="20"/>
          <w:szCs w:val="20"/>
        </w:rPr>
      </w:pPr>
    </w:p>
    <w:p w:rsidR="00BC6640" w:rsidRPr="00497D67" w:rsidRDefault="00BC6640" w:rsidP="005C55E7">
      <w:pPr>
        <w:pStyle w:val="ListParagraph"/>
        <w:numPr>
          <w:ilvl w:val="0"/>
          <w:numId w:val="16"/>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The amount of subscription as share capital is to be utilized by the SME company for the purchase of new plant and machinery within a period of 1 year from the date of subscription in the Equity Shares.</w:t>
      </w:r>
    </w:p>
    <w:p w:rsidR="00BC6640" w:rsidRPr="00497D67" w:rsidRDefault="00BC6640" w:rsidP="005C55E7">
      <w:pPr>
        <w:pStyle w:val="ListParagraph"/>
        <w:spacing w:line="240" w:lineRule="auto"/>
        <w:jc w:val="both"/>
        <w:rPr>
          <w:rFonts w:ascii="Arial" w:hAnsi="Arial" w:cs="Arial"/>
          <w:sz w:val="20"/>
          <w:szCs w:val="20"/>
        </w:rPr>
      </w:pPr>
    </w:p>
    <w:p w:rsidR="00BC6640" w:rsidRPr="00497D67" w:rsidRDefault="00BC6640" w:rsidP="005C55E7">
      <w:pPr>
        <w:pStyle w:val="ListParagraph"/>
        <w:numPr>
          <w:ilvl w:val="0"/>
          <w:numId w:val="16"/>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In case the net consideration subscribed as Equity Shares in the SME company is not utilized by the SME company for the purchase of plant and machinery before the due date of filing of return by the individual or HUF, the unutilized amount is required to be deposited under a deposit scheme.</w:t>
      </w:r>
    </w:p>
    <w:p w:rsidR="00BC6640" w:rsidRPr="00497D67" w:rsidRDefault="00BC6640" w:rsidP="005C55E7">
      <w:pPr>
        <w:pStyle w:val="ListParagraph"/>
        <w:spacing w:line="240" w:lineRule="auto"/>
        <w:jc w:val="both"/>
        <w:rPr>
          <w:rFonts w:ascii="Arial" w:hAnsi="Arial" w:cs="Arial"/>
          <w:sz w:val="20"/>
          <w:szCs w:val="20"/>
        </w:rPr>
      </w:pPr>
    </w:p>
    <w:p w:rsidR="00BC6640" w:rsidRPr="00497D67" w:rsidRDefault="00BC6640" w:rsidP="005C55E7">
      <w:pPr>
        <w:pStyle w:val="ListParagraph"/>
        <w:numPr>
          <w:ilvl w:val="0"/>
          <w:numId w:val="16"/>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The amount of net consideration that is used for subscription and the utilized for purchasing new plant and machinery as well as the amount deposited under a deposit scheme will be considered as cost of acquisition of the new asset. In cases, where the amount deposited in the deposit account is not utilized within time prescribed, the same would be taxed as capital gains.</w:t>
      </w:r>
    </w:p>
    <w:p w:rsidR="00BC6640" w:rsidRPr="00497D67" w:rsidRDefault="00BC6640" w:rsidP="005C55E7">
      <w:pPr>
        <w:pStyle w:val="ListParagraph"/>
        <w:spacing w:line="240" w:lineRule="auto"/>
        <w:jc w:val="both"/>
        <w:rPr>
          <w:rFonts w:ascii="Arial" w:hAnsi="Arial" w:cs="Arial"/>
          <w:sz w:val="20"/>
          <w:szCs w:val="20"/>
        </w:rPr>
      </w:pPr>
    </w:p>
    <w:p w:rsidR="00BC6640" w:rsidRPr="00497D67" w:rsidRDefault="00BC6640" w:rsidP="005C55E7">
      <w:pPr>
        <w:pStyle w:val="ListParagraph"/>
        <w:numPr>
          <w:ilvl w:val="0"/>
          <w:numId w:val="16"/>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Also if the shares of the company or the new assets acquired are transferred within a period of five years of its acquisition, the capital gains exempted at the time of sale of residential property would be taxed as capital gains in the year in which the shares or the new asset is transferred.</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pStyle w:val="ListParagraph"/>
        <w:numPr>
          <w:ilvl w:val="0"/>
          <w:numId w:val="1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relief would be available in case of transfer of any residential property made on or before 31st of March 2017.</w:t>
      </w:r>
    </w:p>
    <w:p w:rsidR="00BC6640" w:rsidRPr="00497D67" w:rsidRDefault="00BC6640" w:rsidP="005C55E7">
      <w:pPr>
        <w:pStyle w:val="ListParagraph"/>
        <w:autoSpaceDE w:val="0"/>
        <w:autoSpaceDN w:val="0"/>
        <w:adjustRightInd w:val="0"/>
        <w:spacing w:after="0" w:line="240" w:lineRule="auto"/>
        <w:jc w:val="both"/>
        <w:rPr>
          <w:rFonts w:ascii="Arial" w:hAnsi="Arial" w:cs="Arial"/>
          <w:sz w:val="20"/>
          <w:szCs w:val="20"/>
        </w:rPr>
      </w:pPr>
    </w:p>
    <w:p w:rsidR="00BC6640" w:rsidRPr="00497D67" w:rsidRDefault="00BC6640" w:rsidP="005C55E7">
      <w:pPr>
        <w:pStyle w:val="ListParagraph"/>
        <w:numPr>
          <w:ilvl w:val="0"/>
          <w:numId w:val="1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 will take effect from 1st April 2013 and will, accordingly apply in relation to assessment year 2013-14 and subsequent assessment years.</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5A059C" w:rsidRDefault="005A059C" w:rsidP="005C55E7">
      <w:pPr>
        <w:autoSpaceDE w:val="0"/>
        <w:autoSpaceDN w:val="0"/>
        <w:adjustRightInd w:val="0"/>
        <w:spacing w:after="0" w:line="240" w:lineRule="auto"/>
        <w:ind w:left="360"/>
        <w:jc w:val="both"/>
        <w:rPr>
          <w:rFonts w:ascii="Arial" w:hAnsi="Arial" w:cs="Arial"/>
          <w:b/>
          <w:bCs/>
          <w:sz w:val="20"/>
          <w:szCs w:val="20"/>
        </w:rPr>
      </w:pPr>
    </w:p>
    <w:p w:rsidR="005A059C" w:rsidRDefault="005A059C" w:rsidP="005C55E7">
      <w:pPr>
        <w:autoSpaceDE w:val="0"/>
        <w:autoSpaceDN w:val="0"/>
        <w:adjustRightInd w:val="0"/>
        <w:spacing w:after="0" w:line="240" w:lineRule="auto"/>
        <w:ind w:left="360"/>
        <w:jc w:val="both"/>
        <w:rPr>
          <w:rFonts w:ascii="Arial" w:hAnsi="Arial" w:cs="Arial"/>
          <w:b/>
          <w:bCs/>
          <w:sz w:val="20"/>
          <w:szCs w:val="20"/>
        </w:rPr>
      </w:pPr>
    </w:p>
    <w:p w:rsidR="00BC6640" w:rsidRPr="00497D67" w:rsidRDefault="00BC6640" w:rsidP="005C55E7">
      <w:pPr>
        <w:jc w:val="both"/>
        <w:rPr>
          <w:rFonts w:ascii="Arial" w:hAnsi="Arial" w:cs="Arial"/>
          <w:b/>
          <w:bCs/>
          <w:sz w:val="20"/>
          <w:szCs w:val="20"/>
        </w:rPr>
      </w:pPr>
      <w:bookmarkStart w:id="23" w:name="_Deduction_for_expenditure"/>
      <w:bookmarkEnd w:id="23"/>
      <w:r w:rsidRPr="00497D67">
        <w:rPr>
          <w:rFonts w:ascii="Arial" w:hAnsi="Arial" w:cs="Arial"/>
          <w:b/>
          <w:bCs/>
          <w:sz w:val="20"/>
          <w:szCs w:val="20"/>
        </w:rPr>
        <w:t>Deduction for expenditure on preventive health check up</w:t>
      </w:r>
    </w:p>
    <w:p w:rsidR="00BC6640" w:rsidRPr="00497D67" w:rsidRDefault="00BC6640" w:rsidP="005C55E7">
      <w:pPr>
        <w:autoSpaceDE w:val="0"/>
        <w:autoSpaceDN w:val="0"/>
        <w:adjustRightInd w:val="0"/>
        <w:spacing w:after="0" w:line="240" w:lineRule="auto"/>
        <w:ind w:left="360"/>
        <w:jc w:val="both"/>
        <w:rPr>
          <w:rFonts w:ascii="Arial" w:hAnsi="Arial" w:cs="Arial"/>
          <w:b/>
          <w:bCs/>
          <w:sz w:val="20"/>
          <w:szCs w:val="20"/>
        </w:rPr>
      </w:pPr>
    </w:p>
    <w:p w:rsidR="00BC6640" w:rsidRPr="00497D67" w:rsidRDefault="00BC6640" w:rsidP="005C55E7">
      <w:pPr>
        <w:pStyle w:val="ListParagraph"/>
        <w:numPr>
          <w:ilvl w:val="0"/>
          <w:numId w:val="18"/>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Under the existing provisions of Section 80D, premium paid for health insurance of self, spouse and dependent children is allowed as a deduction upto a maximum limit of Rs 15,000/-.An additional deduction of Rs.15,000/- is allowed for the premium paid for parents.</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pStyle w:val="ListParagraph"/>
        <w:numPr>
          <w:ilvl w:val="0"/>
          <w:numId w:val="18"/>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It is proposed to include any payment made for preventive health check-up of self, spouse, dependent children or parents within the overall limit prescribed in Section 80D,subject to a ceiling of Rs.5,000.</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ind w:left="720"/>
        <w:jc w:val="both"/>
        <w:rPr>
          <w:rFonts w:ascii="Arial" w:hAnsi="Arial" w:cs="Arial"/>
          <w:sz w:val="20"/>
          <w:szCs w:val="20"/>
        </w:rPr>
      </w:pPr>
    </w:p>
    <w:p w:rsidR="00BC6640" w:rsidRPr="00497D67" w:rsidRDefault="00BC6640" w:rsidP="005C55E7">
      <w:pPr>
        <w:autoSpaceDE w:val="0"/>
        <w:autoSpaceDN w:val="0"/>
        <w:adjustRightInd w:val="0"/>
        <w:spacing w:after="0" w:line="240" w:lineRule="auto"/>
        <w:ind w:left="720"/>
        <w:jc w:val="both"/>
        <w:rPr>
          <w:rFonts w:ascii="Arial" w:hAnsi="Arial" w:cs="Arial"/>
          <w:sz w:val="20"/>
          <w:szCs w:val="20"/>
        </w:rPr>
      </w:pPr>
    </w:p>
    <w:p w:rsidR="00BC6640" w:rsidRPr="00497D67" w:rsidRDefault="00BC6640" w:rsidP="005C55E7">
      <w:pPr>
        <w:pStyle w:val="ListParagraph"/>
        <w:numPr>
          <w:ilvl w:val="0"/>
          <w:numId w:val="18"/>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payment under Section 80D can be made -</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pStyle w:val="ListParagraph"/>
        <w:numPr>
          <w:ilvl w:val="0"/>
          <w:numId w:val="19"/>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in any mode including cash for preventive health check up</w:t>
      </w:r>
    </w:p>
    <w:p w:rsidR="00BC6640" w:rsidRPr="00497D67" w:rsidRDefault="00BC6640" w:rsidP="005C55E7">
      <w:pPr>
        <w:pStyle w:val="ListParagraph"/>
        <w:autoSpaceDE w:val="0"/>
        <w:autoSpaceDN w:val="0"/>
        <w:adjustRightInd w:val="0"/>
        <w:spacing w:after="0" w:line="240" w:lineRule="auto"/>
        <w:ind w:left="1080"/>
        <w:jc w:val="both"/>
        <w:rPr>
          <w:rFonts w:ascii="Arial" w:hAnsi="Arial" w:cs="Arial"/>
          <w:sz w:val="20"/>
          <w:szCs w:val="20"/>
        </w:rPr>
      </w:pPr>
    </w:p>
    <w:p w:rsidR="00BC6640" w:rsidRPr="00497D67" w:rsidRDefault="00BC6640" w:rsidP="005C55E7">
      <w:pPr>
        <w:pStyle w:val="ListParagraph"/>
        <w:numPr>
          <w:ilvl w:val="0"/>
          <w:numId w:val="19"/>
        </w:numPr>
        <w:spacing w:line="240" w:lineRule="auto"/>
        <w:ind w:left="1080"/>
        <w:jc w:val="both"/>
        <w:rPr>
          <w:rFonts w:ascii="Arial" w:hAnsi="Arial" w:cs="Arial"/>
          <w:sz w:val="20"/>
          <w:szCs w:val="20"/>
        </w:rPr>
      </w:pPr>
      <w:r w:rsidRPr="00497D67">
        <w:rPr>
          <w:rFonts w:ascii="Arial" w:hAnsi="Arial" w:cs="Arial"/>
          <w:sz w:val="20"/>
          <w:szCs w:val="20"/>
        </w:rPr>
        <w:t>by any mode other than cash, in all other cases.</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pStyle w:val="ListParagraph"/>
        <w:numPr>
          <w:ilvl w:val="0"/>
          <w:numId w:val="2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above amendment will take effect from 1st April 2013 and, will accordingly; apply for the assessment year 2013-14 and subsequent assessment year</w:t>
      </w:r>
      <w:r w:rsidR="00C12AD2" w:rsidRPr="00497D67">
        <w:rPr>
          <w:rFonts w:ascii="Arial" w:hAnsi="Arial" w:cs="Arial"/>
          <w:sz w:val="20"/>
          <w:szCs w:val="20"/>
        </w:rPr>
        <w:t>.</w:t>
      </w:r>
    </w:p>
    <w:p w:rsidR="00C12AD2" w:rsidRPr="00497D67" w:rsidRDefault="00C12AD2" w:rsidP="005C55E7">
      <w:pPr>
        <w:pStyle w:val="ListParagraph"/>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autoSpaceDE w:val="0"/>
        <w:autoSpaceDN w:val="0"/>
        <w:adjustRightInd w:val="0"/>
        <w:spacing w:after="0" w:line="240" w:lineRule="auto"/>
        <w:ind w:left="360"/>
        <w:jc w:val="both"/>
        <w:outlineLvl w:val="0"/>
        <w:rPr>
          <w:rFonts w:ascii="Arial" w:hAnsi="Arial" w:cs="Arial"/>
          <w:b/>
          <w:bCs/>
          <w:sz w:val="20"/>
          <w:szCs w:val="20"/>
        </w:rPr>
      </w:pPr>
      <w:bookmarkStart w:id="24" w:name="Reduction"/>
      <w:r w:rsidRPr="00497D67">
        <w:rPr>
          <w:rFonts w:ascii="Arial" w:hAnsi="Arial" w:cs="Arial"/>
          <w:b/>
          <w:bCs/>
          <w:sz w:val="20"/>
          <w:szCs w:val="20"/>
        </w:rPr>
        <w:t>Reduction of eligible age for senior citizens</w:t>
      </w:r>
    </w:p>
    <w:bookmarkEnd w:id="24"/>
    <w:p w:rsidR="00C12AD2" w:rsidRPr="00497D67" w:rsidRDefault="00C12AD2" w:rsidP="005C55E7">
      <w:pPr>
        <w:pStyle w:val="ListParagraph"/>
        <w:autoSpaceDE w:val="0"/>
        <w:autoSpaceDN w:val="0"/>
        <w:adjustRightInd w:val="0"/>
        <w:spacing w:after="0" w:line="240" w:lineRule="auto"/>
        <w:ind w:left="360"/>
        <w:jc w:val="both"/>
        <w:rPr>
          <w:rFonts w:ascii="Arial" w:hAnsi="Arial" w:cs="Arial"/>
          <w:b/>
          <w:bCs/>
          <w:sz w:val="20"/>
          <w:szCs w:val="20"/>
        </w:rPr>
      </w:pPr>
    </w:p>
    <w:p w:rsidR="00C12AD2" w:rsidRPr="00497D67" w:rsidRDefault="00C12AD2" w:rsidP="005C55E7">
      <w:pPr>
        <w:pStyle w:val="ListParagraph"/>
        <w:numPr>
          <w:ilvl w:val="0"/>
          <w:numId w:val="2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Finance Act 2011 amended the effective age to be considered as a senior citizen from sixty five years to sixty years for the purpose of application of various tax slabs and rates under the Income-tax Act.</w:t>
      </w:r>
    </w:p>
    <w:p w:rsidR="00C12AD2" w:rsidRPr="00497D67" w:rsidRDefault="00C12AD2" w:rsidP="005C55E7">
      <w:pPr>
        <w:pStyle w:val="ListParagraph"/>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numPr>
          <w:ilvl w:val="0"/>
          <w:numId w:val="2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There is, however, inconsistency in other provisions of the Act where the age to be considered as a senior citizen continued to be at sixty five years e.g. Section 80D, 80DDB, 197A(1C).</w:t>
      </w:r>
    </w:p>
    <w:p w:rsidR="00C12AD2" w:rsidRPr="00497D67" w:rsidRDefault="00C12AD2" w:rsidP="005C55E7">
      <w:pPr>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numPr>
          <w:ilvl w:val="0"/>
          <w:numId w:val="2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In order to make the effective age of senior citizens uniform across all the provisions of the Income-tax Act, it is proposed to reduce the age for availing the benefits to a senior citizen from sixty five years to sixty years.</w:t>
      </w:r>
    </w:p>
    <w:p w:rsidR="00C12AD2" w:rsidRPr="00497D67" w:rsidRDefault="00C12AD2" w:rsidP="005C55E7">
      <w:pPr>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numPr>
          <w:ilvl w:val="0"/>
          <w:numId w:val="2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amendment to Section 80D and 80DDB will be effective from 1st April 2013 and, will, accordingly apply from assessment year 2013-14.</w:t>
      </w:r>
    </w:p>
    <w:p w:rsidR="00C12AD2" w:rsidRPr="00497D67" w:rsidRDefault="00C12AD2" w:rsidP="005C55E7">
      <w:pPr>
        <w:autoSpaceDE w:val="0"/>
        <w:autoSpaceDN w:val="0"/>
        <w:adjustRightInd w:val="0"/>
        <w:spacing w:after="0" w:line="240" w:lineRule="auto"/>
        <w:ind w:left="720"/>
        <w:jc w:val="both"/>
        <w:rPr>
          <w:rFonts w:ascii="Arial" w:hAnsi="Arial" w:cs="Arial"/>
          <w:sz w:val="20"/>
          <w:szCs w:val="20"/>
        </w:rPr>
      </w:pPr>
    </w:p>
    <w:p w:rsidR="00C12AD2" w:rsidRPr="00497D67" w:rsidRDefault="00C12AD2" w:rsidP="005C55E7">
      <w:pPr>
        <w:pStyle w:val="ListParagraph"/>
        <w:numPr>
          <w:ilvl w:val="0"/>
          <w:numId w:val="20"/>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amendment to Section 197A will take effect from 1st July 2012.</w:t>
      </w:r>
    </w:p>
    <w:p w:rsidR="00C12AD2" w:rsidRPr="00497D67" w:rsidRDefault="00C12AD2" w:rsidP="005C55E7">
      <w:pPr>
        <w:autoSpaceDE w:val="0"/>
        <w:autoSpaceDN w:val="0"/>
        <w:adjustRightInd w:val="0"/>
        <w:spacing w:after="0" w:line="240" w:lineRule="auto"/>
        <w:jc w:val="both"/>
        <w:rPr>
          <w:rFonts w:ascii="Arial" w:hAnsi="Arial" w:cs="Arial"/>
          <w:sz w:val="20"/>
          <w:szCs w:val="20"/>
        </w:rPr>
      </w:pPr>
    </w:p>
    <w:p w:rsidR="00C12AD2" w:rsidRPr="00497D67" w:rsidRDefault="00C12AD2" w:rsidP="005C55E7">
      <w:pPr>
        <w:autoSpaceDE w:val="0"/>
        <w:autoSpaceDN w:val="0"/>
        <w:adjustRightInd w:val="0"/>
        <w:spacing w:after="0" w:line="240" w:lineRule="auto"/>
        <w:jc w:val="both"/>
        <w:rPr>
          <w:rFonts w:ascii="Arial" w:hAnsi="Arial" w:cs="Arial"/>
          <w:b/>
          <w:bCs/>
          <w:sz w:val="20"/>
          <w:szCs w:val="20"/>
        </w:rPr>
      </w:pPr>
    </w:p>
    <w:p w:rsidR="00C12AD2" w:rsidRPr="00497D67" w:rsidRDefault="00C12AD2" w:rsidP="005C55E7">
      <w:pPr>
        <w:jc w:val="both"/>
        <w:rPr>
          <w:rFonts w:ascii="Arial" w:hAnsi="Arial" w:cs="Arial"/>
          <w:b/>
          <w:bCs/>
          <w:sz w:val="20"/>
          <w:szCs w:val="20"/>
        </w:rPr>
      </w:pPr>
      <w:bookmarkStart w:id="25" w:name="_Deduction_in_respect"/>
      <w:bookmarkEnd w:id="25"/>
      <w:r w:rsidRPr="00497D67">
        <w:rPr>
          <w:rFonts w:ascii="Arial" w:hAnsi="Arial" w:cs="Arial"/>
          <w:b/>
          <w:bCs/>
          <w:sz w:val="20"/>
          <w:szCs w:val="20"/>
        </w:rPr>
        <w:t>Deduction in respect of interest on deposits in savings accounts</w:t>
      </w:r>
    </w:p>
    <w:p w:rsidR="00C12AD2" w:rsidRPr="00497D67" w:rsidRDefault="00C12AD2" w:rsidP="005C55E7">
      <w:pPr>
        <w:autoSpaceDE w:val="0"/>
        <w:autoSpaceDN w:val="0"/>
        <w:adjustRightInd w:val="0"/>
        <w:spacing w:after="0" w:line="240" w:lineRule="auto"/>
        <w:ind w:left="360"/>
        <w:jc w:val="both"/>
        <w:rPr>
          <w:rFonts w:ascii="Arial" w:hAnsi="Arial" w:cs="Arial"/>
          <w:b/>
          <w:bCs/>
          <w:sz w:val="20"/>
          <w:szCs w:val="20"/>
        </w:rPr>
      </w:pPr>
    </w:p>
    <w:p w:rsidR="00C12AD2" w:rsidRPr="00497D67" w:rsidRDefault="00C12AD2" w:rsidP="005C55E7">
      <w:pPr>
        <w:pStyle w:val="ListParagraph"/>
        <w:numPr>
          <w:ilvl w:val="0"/>
          <w:numId w:val="21"/>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Under the proposed new Section 80TTA, a deduction to the extent of ` 10,000/- will be allowed to an Individual or a Hindu Undivided Family in respect of interest income earned from savings bank account in any of the following –</w:t>
      </w:r>
    </w:p>
    <w:p w:rsidR="00C12AD2" w:rsidRPr="00497D67" w:rsidRDefault="00C12AD2" w:rsidP="005C55E7">
      <w:pPr>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numPr>
          <w:ilvl w:val="0"/>
          <w:numId w:val="22"/>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a banking company;</w:t>
      </w:r>
    </w:p>
    <w:p w:rsidR="00C12AD2" w:rsidRPr="00497D67" w:rsidRDefault="00C12AD2" w:rsidP="005C55E7">
      <w:pPr>
        <w:pStyle w:val="ListParagraph"/>
        <w:numPr>
          <w:ilvl w:val="0"/>
          <w:numId w:val="22"/>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a co-operative society engaged in carrying on the business of banking;</w:t>
      </w:r>
    </w:p>
    <w:p w:rsidR="00C12AD2" w:rsidRPr="00497D67" w:rsidRDefault="00C12AD2" w:rsidP="005C55E7">
      <w:pPr>
        <w:pStyle w:val="ListParagraph"/>
        <w:numPr>
          <w:ilvl w:val="0"/>
          <w:numId w:val="22"/>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a post office</w:t>
      </w:r>
    </w:p>
    <w:p w:rsidR="00C12AD2" w:rsidRPr="00497D67" w:rsidRDefault="00C12AD2" w:rsidP="005C55E7">
      <w:pPr>
        <w:pStyle w:val="ListParagraph"/>
        <w:autoSpaceDE w:val="0"/>
        <w:autoSpaceDN w:val="0"/>
        <w:adjustRightInd w:val="0"/>
        <w:spacing w:after="0" w:line="240" w:lineRule="auto"/>
        <w:ind w:left="1080"/>
        <w:jc w:val="both"/>
        <w:rPr>
          <w:rFonts w:ascii="Arial" w:hAnsi="Arial" w:cs="Arial"/>
          <w:sz w:val="20"/>
          <w:szCs w:val="20"/>
        </w:rPr>
      </w:pPr>
    </w:p>
    <w:p w:rsidR="00C12AD2" w:rsidRPr="00497D67" w:rsidRDefault="00C12AD2" w:rsidP="005C55E7">
      <w:pPr>
        <w:pStyle w:val="ListParagraph"/>
        <w:numPr>
          <w:ilvl w:val="0"/>
          <w:numId w:val="2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However, where the above income is derived on deposit held by a firm, an association of person or body of individuals, no deduction shall be allowed to any partner of the firm or any member of the association or body.</w:t>
      </w:r>
    </w:p>
    <w:p w:rsidR="00C12AD2" w:rsidRPr="00497D67" w:rsidRDefault="00C12AD2" w:rsidP="005C55E7">
      <w:pPr>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numPr>
          <w:ilvl w:val="0"/>
          <w:numId w:val="2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above amendment will take effect from 1st April 2013 and will accordingly apply from assessment year 2013-14.</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C12AD2" w:rsidRPr="00497D67" w:rsidRDefault="00C12AD2" w:rsidP="005C55E7">
      <w:pPr>
        <w:autoSpaceDE w:val="0"/>
        <w:autoSpaceDN w:val="0"/>
        <w:adjustRightInd w:val="0"/>
        <w:spacing w:after="0" w:line="240" w:lineRule="auto"/>
        <w:jc w:val="both"/>
        <w:rPr>
          <w:rFonts w:ascii="Arial" w:hAnsi="Arial" w:cs="Arial"/>
          <w:b/>
          <w:sz w:val="20"/>
          <w:szCs w:val="20"/>
        </w:rPr>
      </w:pPr>
    </w:p>
    <w:p w:rsidR="00C12AD2" w:rsidRPr="008047AF" w:rsidRDefault="00C12AD2" w:rsidP="005C55E7">
      <w:pPr>
        <w:jc w:val="both"/>
        <w:rPr>
          <w:rFonts w:ascii="Arial" w:hAnsi="Arial" w:cs="Arial"/>
          <w:b/>
          <w:sz w:val="24"/>
          <w:szCs w:val="24"/>
        </w:rPr>
      </w:pPr>
      <w:bookmarkStart w:id="26" w:name="_E._Rationalisation_of"/>
      <w:bookmarkEnd w:id="26"/>
      <w:r w:rsidRPr="00497D67">
        <w:rPr>
          <w:rFonts w:ascii="Arial" w:hAnsi="Arial" w:cs="Arial"/>
          <w:b/>
          <w:sz w:val="24"/>
          <w:szCs w:val="24"/>
        </w:rPr>
        <w:t>E. Rationalisation of tax deduction at source</w:t>
      </w:r>
    </w:p>
    <w:p w:rsidR="00C12AD2" w:rsidRPr="00497D67" w:rsidRDefault="00C12AD2" w:rsidP="005C55E7">
      <w:pPr>
        <w:jc w:val="both"/>
        <w:rPr>
          <w:rFonts w:ascii="Arial" w:hAnsi="Arial" w:cs="Arial"/>
          <w:b/>
          <w:bCs/>
          <w:sz w:val="20"/>
          <w:szCs w:val="20"/>
        </w:rPr>
      </w:pPr>
      <w:bookmarkStart w:id="27" w:name="_Deemed_date_of"/>
      <w:bookmarkEnd w:id="27"/>
      <w:r w:rsidRPr="00497D67">
        <w:rPr>
          <w:rFonts w:ascii="Arial" w:hAnsi="Arial" w:cs="Arial"/>
          <w:b/>
          <w:bCs/>
          <w:sz w:val="20"/>
          <w:szCs w:val="20"/>
        </w:rPr>
        <w:t>Deemed date of payment of tax by the resident payee</w:t>
      </w:r>
    </w:p>
    <w:p w:rsidR="00C12AD2" w:rsidRPr="00497D67" w:rsidRDefault="00C12AD2" w:rsidP="005C55E7">
      <w:pPr>
        <w:autoSpaceDE w:val="0"/>
        <w:autoSpaceDN w:val="0"/>
        <w:adjustRightInd w:val="0"/>
        <w:spacing w:after="0" w:line="240" w:lineRule="auto"/>
        <w:jc w:val="both"/>
        <w:rPr>
          <w:rFonts w:ascii="Arial" w:hAnsi="Arial" w:cs="Arial"/>
          <w:b/>
          <w:bCs/>
          <w:sz w:val="20"/>
          <w:szCs w:val="20"/>
        </w:rPr>
      </w:pPr>
    </w:p>
    <w:p w:rsidR="00C12AD2" w:rsidRPr="00497D67" w:rsidRDefault="00C12AD2" w:rsidP="005C55E7">
      <w:pPr>
        <w:pStyle w:val="ListParagraph"/>
        <w:numPr>
          <w:ilvl w:val="0"/>
          <w:numId w:val="2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Presently, a person required to deduct tax is considered to have violated the TDS rules if no tax is deducted and the payee has not paid tax directly. If the payee has discharged tax liability on his own, the payer is not treated as assessee in default as per Section 201(1) of the Income-tax Act, 1961.</w:t>
      </w:r>
    </w:p>
    <w:p w:rsidR="00C12AD2" w:rsidRPr="00497D67" w:rsidRDefault="00C12AD2" w:rsidP="005C55E7">
      <w:pPr>
        <w:pStyle w:val="ListParagraph"/>
        <w:autoSpaceDE w:val="0"/>
        <w:autoSpaceDN w:val="0"/>
        <w:adjustRightInd w:val="0"/>
        <w:spacing w:after="0" w:line="240" w:lineRule="auto"/>
        <w:jc w:val="both"/>
        <w:rPr>
          <w:rFonts w:ascii="Arial" w:hAnsi="Arial" w:cs="Arial"/>
          <w:sz w:val="20"/>
          <w:szCs w:val="20"/>
        </w:rPr>
      </w:pPr>
    </w:p>
    <w:p w:rsidR="00C12AD2" w:rsidRPr="00497D67" w:rsidRDefault="00C12AD2" w:rsidP="005C55E7">
      <w:pPr>
        <w:pStyle w:val="ListParagraph"/>
        <w:numPr>
          <w:ilvl w:val="0"/>
          <w:numId w:val="2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payer is liable to pay interest on the amount of non-deduction of tax from the date on which the tax was deductible to the date on which payee has discharged his tax liability directly.</w:t>
      </w:r>
    </w:p>
    <w:p w:rsidR="003374C6" w:rsidRPr="00497D67" w:rsidRDefault="003374C6" w:rsidP="005C55E7">
      <w:pPr>
        <w:pStyle w:val="ListParagraph"/>
        <w:numPr>
          <w:ilvl w:val="0"/>
          <w:numId w:val="2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However, there is lack of clarity as to</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25"/>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when it can be said that the payee has paid directly; and</w:t>
      </w:r>
    </w:p>
    <w:p w:rsidR="003374C6" w:rsidRPr="00497D67" w:rsidRDefault="003374C6" w:rsidP="005C55E7">
      <w:pPr>
        <w:pStyle w:val="ListParagraph"/>
        <w:numPr>
          <w:ilvl w:val="0"/>
          <w:numId w:val="25"/>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which date may be considered as date of payment of tax by the payee.</w:t>
      </w:r>
    </w:p>
    <w:p w:rsidR="003374C6" w:rsidRPr="00497D67" w:rsidRDefault="003374C6" w:rsidP="005C55E7">
      <w:pPr>
        <w:pStyle w:val="ListParagraph"/>
        <w:autoSpaceDE w:val="0"/>
        <w:autoSpaceDN w:val="0"/>
        <w:adjustRightInd w:val="0"/>
        <w:spacing w:after="0" w:line="240" w:lineRule="auto"/>
        <w:ind w:left="1080"/>
        <w:jc w:val="both"/>
        <w:rPr>
          <w:rFonts w:ascii="Arial" w:hAnsi="Arial" w:cs="Arial"/>
          <w:sz w:val="20"/>
          <w:szCs w:val="20"/>
        </w:rPr>
      </w:pPr>
    </w:p>
    <w:p w:rsidR="003374C6" w:rsidRPr="00497D67" w:rsidRDefault="003374C6" w:rsidP="005C55E7">
      <w:pPr>
        <w:pStyle w:val="ListParagraph"/>
        <w:numPr>
          <w:ilvl w:val="0"/>
          <w:numId w:val="26"/>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lastRenderedPageBreak/>
        <w:t>In order to provide clarity on these issues, it is proposed not to treat the payer who fails to deduct the whole or any part of tax on the payment made to a resident payee as assessee in default if the resident payee</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2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has filed his return of income;</w:t>
      </w:r>
    </w:p>
    <w:p w:rsidR="003374C6" w:rsidRPr="00497D67" w:rsidRDefault="003374C6" w:rsidP="005C55E7">
      <w:pPr>
        <w:pStyle w:val="ListParagraph"/>
        <w:numPr>
          <w:ilvl w:val="0"/>
          <w:numId w:val="2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has considered such receipt in his return of income; and</w:t>
      </w:r>
    </w:p>
    <w:p w:rsidR="003374C6" w:rsidRPr="00497D67" w:rsidRDefault="003374C6" w:rsidP="005C55E7">
      <w:pPr>
        <w:pStyle w:val="ListParagraph"/>
        <w:numPr>
          <w:ilvl w:val="0"/>
          <w:numId w:val="2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has paid the tax on the income declared in such return of income and furnishes a certificate to this effect from an accountant in such form as may be prescribed.</w:t>
      </w:r>
    </w:p>
    <w:p w:rsidR="00C12AD2" w:rsidRPr="00497D67" w:rsidRDefault="00C12AD2"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2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further proposed to provide that interest will be payable by the tax payer on the tax from the date on which such tax was deductible to the date of filing of return of income by the resident payee.</w:t>
      </w:r>
    </w:p>
    <w:p w:rsidR="003374C6" w:rsidRPr="00497D67" w:rsidRDefault="003374C6" w:rsidP="005C55E7">
      <w:pPr>
        <w:pStyle w:val="ListParagraph"/>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2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amendment is proposed to take effect from 1st July, 2012.</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jc w:val="both"/>
        <w:rPr>
          <w:rFonts w:ascii="Arial" w:hAnsi="Arial" w:cs="Arial"/>
          <w:sz w:val="20"/>
          <w:szCs w:val="20"/>
        </w:rPr>
      </w:pPr>
      <w:bookmarkStart w:id="28" w:name="_Disallowance_of_business"/>
      <w:bookmarkEnd w:id="28"/>
      <w:r w:rsidRPr="00497D67">
        <w:rPr>
          <w:rFonts w:ascii="Arial" w:hAnsi="Arial" w:cs="Arial"/>
          <w:b/>
          <w:bCs/>
          <w:sz w:val="20"/>
          <w:szCs w:val="20"/>
        </w:rPr>
        <w:t>Disallowance of business expenses on account of non-deduction of tax on payment to resident payee</w:t>
      </w:r>
    </w:p>
    <w:p w:rsidR="003374C6" w:rsidRPr="00497D67" w:rsidRDefault="003374C6" w:rsidP="005C55E7">
      <w:pPr>
        <w:autoSpaceDE w:val="0"/>
        <w:autoSpaceDN w:val="0"/>
        <w:adjustRightInd w:val="0"/>
        <w:spacing w:after="0" w:line="240" w:lineRule="auto"/>
        <w:ind w:left="360"/>
        <w:jc w:val="both"/>
        <w:rPr>
          <w:rFonts w:ascii="Arial" w:hAnsi="Arial" w:cs="Arial"/>
          <w:b/>
          <w:bCs/>
          <w:sz w:val="20"/>
          <w:szCs w:val="20"/>
        </w:rPr>
      </w:pPr>
    </w:p>
    <w:p w:rsidR="003374C6" w:rsidRPr="00497D67" w:rsidRDefault="003374C6" w:rsidP="005C55E7">
      <w:pPr>
        <w:pStyle w:val="ListParagraph"/>
        <w:numPr>
          <w:ilvl w:val="0"/>
          <w:numId w:val="2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Deduction of certain business expenses like interest, commission, brokerage, professional fees etc is disallowed if tax is not deducted thereon. The expense is allowed as deduction in the subsequent year if the appropriate tax is deducted in the subsequent year.</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2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rationalise these provisions, it is proposed to provide that where tax is liable to be deducted on the expenses in the nature of interest, commission etc. and the payer is not considered as assessee in default as per Section 201(1) of the Income-tax Act, 1961 on account of payment of taxes by the payee, such expenses will not be disallowed and the payer will be deemed to have complied with the tax deduction rules.</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2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amendment is proposed to take effect from 1st April, 2013 and subsequent assessment years.</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autoSpaceDE w:val="0"/>
        <w:autoSpaceDN w:val="0"/>
        <w:adjustRightInd w:val="0"/>
        <w:spacing w:after="0" w:line="240" w:lineRule="auto"/>
        <w:jc w:val="both"/>
        <w:rPr>
          <w:rFonts w:ascii="Arial" w:hAnsi="Arial" w:cs="Arial"/>
          <w:b/>
          <w:bCs/>
          <w:sz w:val="20"/>
          <w:szCs w:val="20"/>
        </w:rPr>
      </w:pPr>
    </w:p>
    <w:p w:rsidR="00B84C28" w:rsidRDefault="00B84C28" w:rsidP="005C55E7">
      <w:pPr>
        <w:autoSpaceDE w:val="0"/>
        <w:autoSpaceDN w:val="0"/>
        <w:adjustRightInd w:val="0"/>
        <w:spacing w:after="0" w:line="240" w:lineRule="auto"/>
        <w:jc w:val="both"/>
        <w:rPr>
          <w:rFonts w:ascii="Arial" w:hAnsi="Arial" w:cs="Arial"/>
          <w:b/>
          <w:bCs/>
          <w:sz w:val="20"/>
          <w:szCs w:val="20"/>
        </w:rPr>
      </w:pPr>
    </w:p>
    <w:p w:rsidR="00B84C28" w:rsidRDefault="00B84C28" w:rsidP="005C55E7">
      <w:pPr>
        <w:autoSpaceDE w:val="0"/>
        <w:autoSpaceDN w:val="0"/>
        <w:adjustRightInd w:val="0"/>
        <w:spacing w:after="0" w:line="240" w:lineRule="auto"/>
        <w:jc w:val="both"/>
        <w:rPr>
          <w:rFonts w:ascii="Arial" w:hAnsi="Arial" w:cs="Arial"/>
          <w:b/>
          <w:bCs/>
          <w:sz w:val="20"/>
          <w:szCs w:val="20"/>
        </w:rPr>
      </w:pPr>
    </w:p>
    <w:p w:rsidR="00B84C28" w:rsidRDefault="00B84C28" w:rsidP="005C55E7">
      <w:pPr>
        <w:autoSpaceDE w:val="0"/>
        <w:autoSpaceDN w:val="0"/>
        <w:adjustRightInd w:val="0"/>
        <w:spacing w:after="0" w:line="240" w:lineRule="auto"/>
        <w:jc w:val="both"/>
        <w:rPr>
          <w:rFonts w:ascii="Arial" w:hAnsi="Arial" w:cs="Arial"/>
          <w:b/>
          <w:bCs/>
          <w:sz w:val="20"/>
          <w:szCs w:val="20"/>
        </w:rPr>
      </w:pPr>
    </w:p>
    <w:p w:rsidR="003374C6" w:rsidRPr="00497D67" w:rsidRDefault="003374C6" w:rsidP="005C55E7">
      <w:pPr>
        <w:jc w:val="both"/>
        <w:rPr>
          <w:rFonts w:ascii="Arial" w:hAnsi="Arial" w:cs="Arial"/>
          <w:sz w:val="20"/>
          <w:szCs w:val="20"/>
        </w:rPr>
      </w:pPr>
      <w:bookmarkStart w:id="29" w:name="_Fees_for_delay"/>
      <w:bookmarkEnd w:id="29"/>
      <w:r w:rsidRPr="00497D67">
        <w:rPr>
          <w:rFonts w:ascii="Arial" w:hAnsi="Arial" w:cs="Arial"/>
          <w:b/>
          <w:bCs/>
          <w:sz w:val="20"/>
          <w:szCs w:val="20"/>
        </w:rPr>
        <w:t>Fees for delay in furnishing of TDS/TCS statement</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3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Fees for late furnishing of TDS statement from the due date of furnishing of TDS statement to the date of furnishing TDS certificate is proposed to increase to </w:t>
      </w:r>
      <w:r w:rsidR="00910051" w:rsidRPr="00497D67">
        <w:rPr>
          <w:rFonts w:ascii="Arial" w:hAnsi="Arial" w:cs="Arial"/>
          <w:sz w:val="20"/>
          <w:szCs w:val="20"/>
        </w:rPr>
        <w:t>Rs.</w:t>
      </w:r>
      <w:r w:rsidRPr="00497D67">
        <w:rPr>
          <w:rFonts w:ascii="Arial" w:hAnsi="Arial" w:cs="Arial"/>
          <w:sz w:val="20"/>
          <w:szCs w:val="20"/>
        </w:rPr>
        <w:t xml:space="preserve">200 per day from </w:t>
      </w:r>
      <w:r w:rsidR="00910051" w:rsidRPr="00497D67">
        <w:rPr>
          <w:rFonts w:ascii="Arial" w:hAnsi="Arial" w:cs="Arial"/>
          <w:sz w:val="20"/>
          <w:szCs w:val="20"/>
        </w:rPr>
        <w:t>Rs.</w:t>
      </w:r>
      <w:r w:rsidRPr="00497D67">
        <w:rPr>
          <w:rFonts w:ascii="Arial" w:hAnsi="Arial" w:cs="Arial"/>
          <w:sz w:val="20"/>
          <w:szCs w:val="20"/>
        </w:rPr>
        <w:t>100 per day of default. However, it is proposed to provide that the amount of fees will not exceed the amount of tax deductible or collectible.</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pStyle w:val="ListParagraph"/>
        <w:numPr>
          <w:ilvl w:val="0"/>
          <w:numId w:val="3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provisions are proposed to apply to the TDS/TCS statement to be furnished in respect of tax deducted or collected on or after 1st July 2012.</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3374C6" w:rsidRPr="00497D67" w:rsidRDefault="003374C6" w:rsidP="005C55E7">
      <w:pPr>
        <w:autoSpaceDE w:val="0"/>
        <w:autoSpaceDN w:val="0"/>
        <w:adjustRightInd w:val="0"/>
        <w:spacing w:after="0" w:line="240" w:lineRule="auto"/>
        <w:jc w:val="both"/>
        <w:rPr>
          <w:rFonts w:ascii="Arial" w:hAnsi="Arial" w:cs="Arial"/>
          <w:b/>
          <w:bCs/>
          <w:sz w:val="20"/>
          <w:szCs w:val="20"/>
        </w:rPr>
      </w:pPr>
    </w:p>
    <w:p w:rsidR="003374C6" w:rsidRPr="00497D67" w:rsidRDefault="003374C6" w:rsidP="005C55E7">
      <w:pPr>
        <w:jc w:val="both"/>
        <w:rPr>
          <w:rFonts w:ascii="Arial" w:hAnsi="Arial" w:cs="Arial"/>
          <w:b/>
          <w:bCs/>
          <w:sz w:val="20"/>
          <w:szCs w:val="20"/>
        </w:rPr>
      </w:pPr>
      <w:bookmarkStart w:id="30" w:name="_Penalty_for_delay"/>
      <w:bookmarkEnd w:id="30"/>
      <w:r w:rsidRPr="00497D67">
        <w:rPr>
          <w:rFonts w:ascii="Arial" w:hAnsi="Arial" w:cs="Arial"/>
          <w:b/>
          <w:bCs/>
          <w:sz w:val="20"/>
          <w:szCs w:val="20"/>
        </w:rPr>
        <w:t>Penalty for delay in furnishing of TDS/TCS statement and for incorrect information in TDS/TCS statement</w:t>
      </w:r>
    </w:p>
    <w:p w:rsidR="003374C6" w:rsidRPr="00497D67" w:rsidRDefault="003374C6" w:rsidP="005C55E7">
      <w:pPr>
        <w:autoSpaceDE w:val="0"/>
        <w:autoSpaceDN w:val="0"/>
        <w:adjustRightInd w:val="0"/>
        <w:spacing w:after="0" w:line="240" w:lineRule="auto"/>
        <w:jc w:val="both"/>
        <w:rPr>
          <w:rFonts w:ascii="Arial" w:hAnsi="Arial" w:cs="Arial"/>
          <w:b/>
          <w:bCs/>
          <w:sz w:val="20"/>
          <w:szCs w:val="20"/>
        </w:rPr>
      </w:pPr>
    </w:p>
    <w:p w:rsidR="003374C6" w:rsidRPr="00497D67" w:rsidRDefault="003374C6" w:rsidP="005C55E7">
      <w:pPr>
        <w:pStyle w:val="ListParagraph"/>
        <w:numPr>
          <w:ilvl w:val="0"/>
          <w:numId w:val="3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Penalty for delay in furnishing of TDS/TCS statement if delay exceeds one year from the due date of filing the statement</w:t>
      </w:r>
    </w:p>
    <w:p w:rsidR="003374C6" w:rsidRPr="00497D67" w:rsidRDefault="003374C6" w:rsidP="005C55E7">
      <w:pPr>
        <w:pStyle w:val="ListParagraph"/>
        <w:numPr>
          <w:ilvl w:val="0"/>
          <w:numId w:val="3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Penalty of </w:t>
      </w:r>
      <w:r w:rsidR="00910051" w:rsidRPr="00497D67">
        <w:rPr>
          <w:rFonts w:ascii="Arial" w:hAnsi="Arial" w:cs="Arial"/>
          <w:sz w:val="20"/>
          <w:szCs w:val="20"/>
        </w:rPr>
        <w:t>Rs.</w:t>
      </w:r>
      <w:r w:rsidRPr="00497D67">
        <w:rPr>
          <w:rFonts w:ascii="Arial" w:hAnsi="Arial" w:cs="Arial"/>
          <w:sz w:val="20"/>
          <w:szCs w:val="20"/>
        </w:rPr>
        <w:t xml:space="preserve">10,000/- to </w:t>
      </w:r>
      <w:r w:rsidR="00910051" w:rsidRPr="00497D67">
        <w:rPr>
          <w:rFonts w:ascii="Arial" w:hAnsi="Arial" w:cs="Arial"/>
          <w:sz w:val="20"/>
          <w:szCs w:val="20"/>
        </w:rPr>
        <w:t>Rs.</w:t>
      </w:r>
      <w:r w:rsidRPr="00497D67">
        <w:rPr>
          <w:rFonts w:ascii="Arial" w:hAnsi="Arial" w:cs="Arial"/>
          <w:sz w:val="20"/>
          <w:szCs w:val="20"/>
        </w:rPr>
        <w:t>1,00,000/- is proposed to be levied for not furnishing TDS statement within time limits.</w:t>
      </w:r>
    </w:p>
    <w:p w:rsidR="003374C6" w:rsidRPr="00497D67" w:rsidRDefault="003374C6" w:rsidP="005C55E7">
      <w:pPr>
        <w:autoSpaceDE w:val="0"/>
        <w:autoSpaceDN w:val="0"/>
        <w:adjustRightInd w:val="0"/>
        <w:spacing w:after="0" w:line="240" w:lineRule="auto"/>
        <w:ind w:left="360"/>
        <w:jc w:val="both"/>
        <w:rPr>
          <w:rFonts w:ascii="Arial" w:hAnsi="Arial" w:cs="Arial"/>
          <w:sz w:val="20"/>
          <w:szCs w:val="20"/>
        </w:rPr>
      </w:pPr>
    </w:p>
    <w:p w:rsidR="003374C6" w:rsidRPr="00497D67" w:rsidRDefault="0022374C" w:rsidP="005C55E7">
      <w:pPr>
        <w:pStyle w:val="ListParagraph"/>
        <w:numPr>
          <w:ilvl w:val="0"/>
          <w:numId w:val="31"/>
        </w:numPr>
        <w:autoSpaceDE w:val="0"/>
        <w:autoSpaceDN w:val="0"/>
        <w:adjustRightInd w:val="0"/>
        <w:spacing w:after="0" w:line="240" w:lineRule="auto"/>
        <w:jc w:val="both"/>
        <w:rPr>
          <w:rFonts w:ascii="Arial" w:hAnsi="Arial" w:cs="Arial"/>
          <w:b/>
          <w:bCs/>
          <w:sz w:val="20"/>
          <w:szCs w:val="20"/>
        </w:rPr>
      </w:pPr>
      <w:r w:rsidRPr="00497D67">
        <w:rPr>
          <w:rFonts w:ascii="Arial" w:hAnsi="Arial" w:cs="Arial"/>
          <w:sz w:val="20"/>
          <w:szCs w:val="20"/>
        </w:rPr>
        <w:t>Penalty for incorrect information in TDS/TCS statement</w:t>
      </w:r>
    </w:p>
    <w:p w:rsidR="0022374C" w:rsidRPr="00497D67" w:rsidRDefault="0022374C" w:rsidP="005C55E7">
      <w:pPr>
        <w:pStyle w:val="ListParagraph"/>
        <w:numPr>
          <w:ilvl w:val="0"/>
          <w:numId w:val="32"/>
        </w:numPr>
        <w:autoSpaceDE w:val="0"/>
        <w:autoSpaceDN w:val="0"/>
        <w:adjustRightInd w:val="0"/>
        <w:spacing w:after="0" w:line="240" w:lineRule="auto"/>
        <w:ind w:left="1260"/>
        <w:jc w:val="both"/>
        <w:rPr>
          <w:rFonts w:ascii="Arial" w:hAnsi="Arial" w:cs="Arial"/>
          <w:sz w:val="20"/>
          <w:szCs w:val="20"/>
        </w:rPr>
      </w:pPr>
      <w:r w:rsidRPr="00497D67">
        <w:rPr>
          <w:rFonts w:ascii="Arial" w:hAnsi="Arial" w:cs="Arial"/>
          <w:sz w:val="20"/>
          <w:szCs w:val="20"/>
        </w:rPr>
        <w:t>Penalty of Rs.10,000/- to Rs.1,00,000/- is proposed to be levied for furnishing incorrect information in TDS statement.</w:t>
      </w:r>
    </w:p>
    <w:p w:rsidR="0022374C" w:rsidRPr="00497D67" w:rsidRDefault="0022374C" w:rsidP="005C55E7">
      <w:pPr>
        <w:pStyle w:val="ListParagraph"/>
        <w:autoSpaceDE w:val="0"/>
        <w:autoSpaceDN w:val="0"/>
        <w:adjustRightInd w:val="0"/>
        <w:spacing w:after="0" w:line="240" w:lineRule="auto"/>
        <w:jc w:val="both"/>
        <w:rPr>
          <w:rFonts w:ascii="Arial" w:hAnsi="Arial" w:cs="Arial"/>
          <w:sz w:val="20"/>
          <w:szCs w:val="20"/>
        </w:rPr>
      </w:pPr>
    </w:p>
    <w:p w:rsidR="0022374C" w:rsidRPr="00497D67" w:rsidRDefault="0022374C" w:rsidP="005C55E7">
      <w:pPr>
        <w:pStyle w:val="ListParagraph"/>
        <w:numPr>
          <w:ilvl w:val="0"/>
          <w:numId w:val="31"/>
        </w:numPr>
        <w:autoSpaceDE w:val="0"/>
        <w:autoSpaceDN w:val="0"/>
        <w:adjustRightInd w:val="0"/>
        <w:spacing w:after="0" w:line="240" w:lineRule="auto"/>
        <w:jc w:val="both"/>
        <w:rPr>
          <w:rFonts w:ascii="Arial" w:hAnsi="Arial" w:cs="Arial"/>
          <w:b/>
          <w:bCs/>
          <w:sz w:val="20"/>
          <w:szCs w:val="20"/>
        </w:rPr>
      </w:pPr>
      <w:r w:rsidRPr="00497D67">
        <w:rPr>
          <w:rFonts w:ascii="Arial" w:hAnsi="Arial" w:cs="Arial"/>
          <w:sz w:val="20"/>
          <w:szCs w:val="20"/>
        </w:rPr>
        <w:lastRenderedPageBreak/>
        <w:t>The above penalty provisions are proposed to apply to the TDS/TCS statement to be furnished in respect of tax deducted or collected on or after 1st July2012.</w:t>
      </w:r>
    </w:p>
    <w:p w:rsidR="0022374C" w:rsidRPr="00497D67" w:rsidRDefault="0022374C" w:rsidP="005C55E7">
      <w:pPr>
        <w:autoSpaceDE w:val="0"/>
        <w:autoSpaceDN w:val="0"/>
        <w:adjustRightInd w:val="0"/>
        <w:spacing w:after="0" w:line="240" w:lineRule="auto"/>
        <w:jc w:val="both"/>
        <w:rPr>
          <w:rFonts w:ascii="Arial" w:hAnsi="Arial" w:cs="Arial"/>
          <w:b/>
          <w:bCs/>
          <w:sz w:val="20"/>
          <w:szCs w:val="20"/>
        </w:rPr>
      </w:pPr>
    </w:p>
    <w:p w:rsidR="0022374C" w:rsidRPr="00497D67" w:rsidRDefault="0022374C" w:rsidP="005C55E7">
      <w:pPr>
        <w:jc w:val="both"/>
        <w:rPr>
          <w:rFonts w:ascii="Arial" w:hAnsi="Arial" w:cs="Arial"/>
          <w:sz w:val="20"/>
          <w:szCs w:val="20"/>
        </w:rPr>
      </w:pPr>
      <w:bookmarkStart w:id="31" w:name="_Intimation_after_processing"/>
      <w:bookmarkEnd w:id="31"/>
      <w:r w:rsidRPr="00497D67">
        <w:rPr>
          <w:rFonts w:ascii="Arial" w:hAnsi="Arial" w:cs="Arial"/>
          <w:b/>
          <w:bCs/>
          <w:sz w:val="20"/>
          <w:szCs w:val="20"/>
        </w:rPr>
        <w:t>Intimation after processing of TDS statement</w:t>
      </w:r>
    </w:p>
    <w:p w:rsidR="0022374C" w:rsidRPr="00497D67" w:rsidRDefault="0022374C" w:rsidP="005C55E7">
      <w:pPr>
        <w:autoSpaceDE w:val="0"/>
        <w:autoSpaceDN w:val="0"/>
        <w:adjustRightInd w:val="0"/>
        <w:spacing w:after="0" w:line="240" w:lineRule="auto"/>
        <w:jc w:val="both"/>
        <w:rPr>
          <w:rFonts w:ascii="Arial" w:hAnsi="Arial" w:cs="Arial"/>
          <w:sz w:val="20"/>
          <w:szCs w:val="20"/>
        </w:rPr>
      </w:pPr>
    </w:p>
    <w:p w:rsidR="0022374C" w:rsidRPr="00497D67" w:rsidRDefault="0022374C" w:rsidP="005C55E7">
      <w:pPr>
        <w:pStyle w:val="ListParagraph"/>
        <w:numPr>
          <w:ilvl w:val="0"/>
          <w:numId w:val="3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Presently, the intimation generated after processing of TDS statement in accordance with the provisions of Section 200A of the Income-tax Act, 1961 is not subject to rectification application and is not appealable and is also not treated as notice of demand.</w:t>
      </w:r>
    </w:p>
    <w:p w:rsidR="008E7DB1" w:rsidRPr="00497D67" w:rsidRDefault="008E7DB1" w:rsidP="005C55E7">
      <w:pPr>
        <w:autoSpaceDE w:val="0"/>
        <w:autoSpaceDN w:val="0"/>
        <w:adjustRightInd w:val="0"/>
        <w:spacing w:after="0" w:line="240" w:lineRule="auto"/>
        <w:ind w:left="360"/>
        <w:jc w:val="both"/>
        <w:rPr>
          <w:rFonts w:ascii="Arial" w:hAnsi="Arial" w:cs="Arial"/>
          <w:sz w:val="20"/>
          <w:szCs w:val="20"/>
        </w:rPr>
      </w:pPr>
    </w:p>
    <w:p w:rsidR="008E7DB1" w:rsidRPr="00497D67" w:rsidRDefault="008E7DB1" w:rsidP="005C55E7">
      <w:pPr>
        <w:pStyle w:val="ListParagraph"/>
        <w:numPr>
          <w:ilvl w:val="0"/>
          <w:numId w:val="3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reduce the compliance burden of the deductor, it is proposed to treat the intimation generated after processing of TDS statement as a rectifiable order u/s 154, an appealable order u/s 24A and a notice of demand u/s 156 of the Income-tax Act, 1956.</w:t>
      </w:r>
    </w:p>
    <w:p w:rsidR="008E7DB1" w:rsidRPr="00497D67" w:rsidRDefault="008E7DB1" w:rsidP="005C55E7">
      <w:pPr>
        <w:autoSpaceDE w:val="0"/>
        <w:autoSpaceDN w:val="0"/>
        <w:adjustRightInd w:val="0"/>
        <w:spacing w:after="0" w:line="240" w:lineRule="auto"/>
        <w:jc w:val="both"/>
        <w:rPr>
          <w:rFonts w:ascii="Arial" w:hAnsi="Arial" w:cs="Arial"/>
          <w:sz w:val="20"/>
          <w:szCs w:val="20"/>
        </w:rPr>
      </w:pPr>
    </w:p>
    <w:p w:rsidR="008E7DB1" w:rsidRPr="00497D67" w:rsidRDefault="008E7DB1" w:rsidP="005C55E7">
      <w:pPr>
        <w:pStyle w:val="ListParagraph"/>
        <w:numPr>
          <w:ilvl w:val="0"/>
          <w:numId w:val="3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amendment is proposed to take effect from 1st July, 2012.</w:t>
      </w:r>
    </w:p>
    <w:p w:rsidR="003374C6" w:rsidRPr="00497D67" w:rsidRDefault="003374C6" w:rsidP="005C55E7">
      <w:pPr>
        <w:autoSpaceDE w:val="0"/>
        <w:autoSpaceDN w:val="0"/>
        <w:adjustRightInd w:val="0"/>
        <w:spacing w:after="0" w:line="240" w:lineRule="auto"/>
        <w:jc w:val="both"/>
        <w:rPr>
          <w:rFonts w:ascii="Arial" w:hAnsi="Arial" w:cs="Arial"/>
          <w:sz w:val="20"/>
          <w:szCs w:val="20"/>
        </w:rPr>
      </w:pPr>
    </w:p>
    <w:p w:rsidR="008E7DB1" w:rsidRPr="00497D67" w:rsidRDefault="008E7DB1" w:rsidP="005C55E7">
      <w:pPr>
        <w:jc w:val="both"/>
        <w:rPr>
          <w:rFonts w:ascii="Arial" w:hAnsi="Arial" w:cs="Arial"/>
          <w:sz w:val="20"/>
          <w:szCs w:val="20"/>
        </w:rPr>
      </w:pPr>
      <w:bookmarkStart w:id="32" w:name="_Extension_of_time"/>
      <w:bookmarkEnd w:id="32"/>
      <w:r w:rsidRPr="00497D67">
        <w:rPr>
          <w:rFonts w:ascii="Arial" w:hAnsi="Arial" w:cs="Arial"/>
          <w:b/>
          <w:bCs/>
          <w:sz w:val="20"/>
          <w:szCs w:val="20"/>
        </w:rPr>
        <w:t>Extension of time for passing an order under Section 201 treating a person to be an assessee in default</w:t>
      </w:r>
    </w:p>
    <w:p w:rsidR="008E7DB1" w:rsidRPr="00497D67" w:rsidRDefault="008E7DB1" w:rsidP="005C55E7">
      <w:pPr>
        <w:autoSpaceDE w:val="0"/>
        <w:autoSpaceDN w:val="0"/>
        <w:adjustRightInd w:val="0"/>
        <w:spacing w:after="0" w:line="240" w:lineRule="auto"/>
        <w:jc w:val="both"/>
        <w:rPr>
          <w:rFonts w:ascii="Arial" w:hAnsi="Arial" w:cs="Arial"/>
          <w:b/>
          <w:bCs/>
          <w:sz w:val="20"/>
          <w:szCs w:val="20"/>
        </w:rPr>
      </w:pPr>
    </w:p>
    <w:p w:rsidR="008E7DB1" w:rsidRPr="00497D67" w:rsidRDefault="008E7DB1" w:rsidP="005C55E7">
      <w:pPr>
        <w:pStyle w:val="ListParagraph"/>
        <w:numPr>
          <w:ilvl w:val="0"/>
          <w:numId w:val="3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Time limit for passing an order u/s 201 of the Income-tax Act, 1961 treating a person to be an assessee in default has been extended to six years from four years in case where no TDS statement has been filed.</w:t>
      </w:r>
    </w:p>
    <w:p w:rsidR="008E7DB1" w:rsidRPr="00497D67" w:rsidRDefault="008E7DB1" w:rsidP="005C55E7">
      <w:pPr>
        <w:autoSpaceDE w:val="0"/>
        <w:autoSpaceDN w:val="0"/>
        <w:adjustRightInd w:val="0"/>
        <w:spacing w:after="0" w:line="240" w:lineRule="auto"/>
        <w:jc w:val="both"/>
        <w:rPr>
          <w:rFonts w:ascii="Arial" w:hAnsi="Arial" w:cs="Arial"/>
          <w:sz w:val="20"/>
          <w:szCs w:val="20"/>
        </w:rPr>
      </w:pPr>
    </w:p>
    <w:p w:rsidR="00BC6640" w:rsidRPr="00497D67" w:rsidRDefault="008E7DB1" w:rsidP="005C55E7">
      <w:pPr>
        <w:pStyle w:val="ListParagraph"/>
        <w:numPr>
          <w:ilvl w:val="0"/>
          <w:numId w:val="3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amendment is proposed to take retrospective effect from 1st April, 2010.</w:t>
      </w: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BC6640" w:rsidRPr="00497D67" w:rsidRDefault="00BC6640" w:rsidP="005C55E7">
      <w:pPr>
        <w:autoSpaceDE w:val="0"/>
        <w:autoSpaceDN w:val="0"/>
        <w:adjustRightInd w:val="0"/>
        <w:spacing w:after="0" w:line="240" w:lineRule="auto"/>
        <w:jc w:val="both"/>
        <w:rPr>
          <w:rFonts w:ascii="Arial" w:hAnsi="Arial" w:cs="Arial"/>
          <w:sz w:val="20"/>
          <w:szCs w:val="20"/>
        </w:rPr>
      </w:pPr>
    </w:p>
    <w:p w:rsidR="00CA0FBF" w:rsidRDefault="00CA0FBF" w:rsidP="005C55E7">
      <w:pPr>
        <w:autoSpaceDE w:val="0"/>
        <w:autoSpaceDN w:val="0"/>
        <w:adjustRightInd w:val="0"/>
        <w:spacing w:after="0" w:line="240" w:lineRule="auto"/>
        <w:jc w:val="both"/>
        <w:rPr>
          <w:rFonts w:ascii="Arial" w:hAnsi="Arial" w:cs="Arial"/>
          <w:b/>
          <w:bCs/>
          <w:sz w:val="20"/>
          <w:szCs w:val="20"/>
        </w:rPr>
      </w:pPr>
    </w:p>
    <w:p w:rsidR="00CA0FBF" w:rsidRDefault="00CA0FBF" w:rsidP="005C55E7">
      <w:pPr>
        <w:autoSpaceDE w:val="0"/>
        <w:autoSpaceDN w:val="0"/>
        <w:adjustRightInd w:val="0"/>
        <w:spacing w:after="0" w:line="240" w:lineRule="auto"/>
        <w:jc w:val="both"/>
        <w:rPr>
          <w:rFonts w:ascii="Arial" w:hAnsi="Arial" w:cs="Arial"/>
          <w:b/>
          <w:bCs/>
          <w:sz w:val="20"/>
          <w:szCs w:val="20"/>
        </w:rPr>
      </w:pPr>
    </w:p>
    <w:p w:rsidR="000E7D28" w:rsidRPr="00497D67" w:rsidRDefault="008E7DB1" w:rsidP="005C55E7">
      <w:pPr>
        <w:jc w:val="both"/>
        <w:rPr>
          <w:rFonts w:ascii="Arial" w:hAnsi="Arial" w:cs="Arial"/>
          <w:sz w:val="20"/>
          <w:szCs w:val="20"/>
        </w:rPr>
      </w:pPr>
      <w:bookmarkStart w:id="33" w:name="_Threshold_for_TDS"/>
      <w:bookmarkEnd w:id="33"/>
      <w:r w:rsidRPr="00497D67">
        <w:rPr>
          <w:rFonts w:ascii="Arial" w:hAnsi="Arial" w:cs="Arial"/>
          <w:b/>
          <w:bCs/>
          <w:sz w:val="20"/>
          <w:szCs w:val="20"/>
        </w:rPr>
        <w:t>Threshold for TDS on payment of interest on debenture</w:t>
      </w:r>
    </w:p>
    <w:p w:rsidR="008E7DB1" w:rsidRPr="00497D67" w:rsidRDefault="008E7DB1" w:rsidP="005C55E7">
      <w:pPr>
        <w:autoSpaceDE w:val="0"/>
        <w:autoSpaceDN w:val="0"/>
        <w:adjustRightInd w:val="0"/>
        <w:spacing w:after="0" w:line="240" w:lineRule="auto"/>
        <w:ind w:left="720"/>
        <w:jc w:val="both"/>
        <w:rPr>
          <w:rFonts w:ascii="Arial" w:hAnsi="Arial" w:cs="Arial"/>
          <w:sz w:val="20"/>
          <w:szCs w:val="20"/>
        </w:rPr>
      </w:pPr>
    </w:p>
    <w:p w:rsidR="008E7DB1" w:rsidRPr="00497D67" w:rsidRDefault="008E7DB1" w:rsidP="005C55E7">
      <w:pPr>
        <w:pStyle w:val="ListParagraph"/>
        <w:numPr>
          <w:ilvl w:val="0"/>
          <w:numId w:val="3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In order to reduce compliance burden of small assessees and companies, it is proposed that no deduction of tax should be made from payment of interest on any debenture, listed or unlisted, issued by a company in which public are substantially interested, to a resident individual or HUF if the aggregate amount of interest does not exceed ` 5,000/- paid during financial year and the payment is made by account payee cheque.</w:t>
      </w:r>
    </w:p>
    <w:p w:rsidR="008E7DB1" w:rsidRPr="00497D67" w:rsidRDefault="008E7DB1" w:rsidP="005C55E7">
      <w:pPr>
        <w:autoSpaceDE w:val="0"/>
        <w:autoSpaceDN w:val="0"/>
        <w:adjustRightInd w:val="0"/>
        <w:spacing w:after="0" w:line="240" w:lineRule="auto"/>
        <w:jc w:val="both"/>
        <w:rPr>
          <w:rFonts w:ascii="Arial" w:hAnsi="Arial" w:cs="Arial"/>
          <w:sz w:val="20"/>
          <w:szCs w:val="20"/>
        </w:rPr>
      </w:pPr>
    </w:p>
    <w:p w:rsidR="008E7DB1" w:rsidRPr="00497D67" w:rsidRDefault="008245D8" w:rsidP="005C55E7">
      <w:pPr>
        <w:pStyle w:val="ListParagraph"/>
        <w:numPr>
          <w:ilvl w:val="0"/>
          <w:numId w:val="34"/>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amendment is proposed to take effect from 1st July, 2012.</w:t>
      </w:r>
    </w:p>
    <w:p w:rsidR="008E7DB1" w:rsidRPr="00497D67" w:rsidRDefault="008E7DB1"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autoSpaceDE w:val="0"/>
        <w:autoSpaceDN w:val="0"/>
        <w:adjustRightInd w:val="0"/>
        <w:spacing w:after="0" w:line="240" w:lineRule="auto"/>
        <w:jc w:val="both"/>
        <w:rPr>
          <w:rFonts w:ascii="Arial" w:hAnsi="Arial" w:cs="Arial"/>
          <w:b/>
          <w:bCs/>
          <w:color w:val="6D6E70"/>
          <w:sz w:val="24"/>
          <w:szCs w:val="24"/>
        </w:rPr>
      </w:pPr>
    </w:p>
    <w:p w:rsidR="008245D8" w:rsidRPr="004653AE" w:rsidRDefault="008245D8" w:rsidP="005C55E7">
      <w:pPr>
        <w:jc w:val="both"/>
        <w:rPr>
          <w:rFonts w:ascii="Arial" w:hAnsi="Arial" w:cs="Arial"/>
          <w:b/>
          <w:sz w:val="24"/>
          <w:szCs w:val="24"/>
        </w:rPr>
      </w:pPr>
      <w:bookmarkStart w:id="34" w:name="_F._Rationalisation_of"/>
      <w:bookmarkEnd w:id="34"/>
      <w:r w:rsidRPr="00497D67">
        <w:rPr>
          <w:rFonts w:ascii="Arial" w:hAnsi="Arial" w:cs="Arial"/>
          <w:b/>
          <w:sz w:val="24"/>
          <w:szCs w:val="24"/>
        </w:rPr>
        <w:t>F. Rationalisation of international taxation provisions</w:t>
      </w:r>
    </w:p>
    <w:p w:rsidR="008245D8" w:rsidRPr="004653AE" w:rsidRDefault="008245D8" w:rsidP="005C55E7">
      <w:pPr>
        <w:jc w:val="both"/>
        <w:rPr>
          <w:rFonts w:ascii="Arial" w:hAnsi="Arial" w:cs="Arial"/>
          <w:b/>
          <w:bCs/>
          <w:sz w:val="20"/>
          <w:szCs w:val="20"/>
        </w:rPr>
      </w:pPr>
      <w:bookmarkStart w:id="35" w:name="_Amendment_in_Section"/>
      <w:bookmarkEnd w:id="35"/>
      <w:r w:rsidRPr="004653AE">
        <w:rPr>
          <w:rFonts w:ascii="Arial" w:hAnsi="Arial" w:cs="Arial"/>
          <w:b/>
          <w:sz w:val="20"/>
          <w:szCs w:val="20"/>
        </w:rPr>
        <w:t>Amendment in Section 9: Post Outcome of Vodafone Verdict.</w:t>
      </w:r>
    </w:p>
    <w:p w:rsidR="008245D8" w:rsidRPr="00497D67" w:rsidRDefault="008245D8" w:rsidP="005C55E7">
      <w:pPr>
        <w:autoSpaceDE w:val="0"/>
        <w:autoSpaceDN w:val="0"/>
        <w:adjustRightInd w:val="0"/>
        <w:spacing w:after="0" w:line="240" w:lineRule="auto"/>
        <w:jc w:val="both"/>
        <w:rPr>
          <w:rFonts w:ascii="Arial" w:hAnsi="Arial" w:cs="Arial"/>
          <w:b/>
          <w:bCs/>
          <w:sz w:val="20"/>
          <w:szCs w:val="20"/>
        </w:rPr>
      </w:pPr>
    </w:p>
    <w:p w:rsidR="008245D8" w:rsidRPr="00497D67" w:rsidRDefault="008245D8" w:rsidP="005C55E7">
      <w:pPr>
        <w:pStyle w:val="ListParagraph"/>
        <w:numPr>
          <w:ilvl w:val="0"/>
          <w:numId w:val="35"/>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Section 9 of the Income-tax Act entails a deeming fiction, thereby bringing income of a non resident under the tax net, which otherwise would not be taxable in India. As per Section 9 any income accruing or arising, whether directly or indirectly, through or from any property in India or through or from any asset or source of income in India or through the transfer of a capital asset situated in India are deemed to accrue or arise in India.</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While delivering its judgment on the most debated and controversial issue of the Income-tax history, the Hon’ble Supreme Court held in the case of Vodafone International Holdings BV that source rule as enshrined in Section9 is a deeming fiction. Hence, should be interpreted strictly not purposively and in the absence of any provisions for indirect transfer in place, income arising from indirect transfer of share cannot be considered as income deemed to accrue or arise in India.</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lastRenderedPageBreak/>
        <w:t xml:space="preserve">The Supreme Court further held that under the current provisions of </w:t>
      </w:r>
      <w:r w:rsidR="000E169C" w:rsidRPr="00497D67">
        <w:rPr>
          <w:rFonts w:ascii="Arial" w:hAnsi="Arial" w:cs="Arial"/>
          <w:sz w:val="20"/>
          <w:szCs w:val="20"/>
        </w:rPr>
        <w:t>Income tax</w:t>
      </w:r>
      <w:r w:rsidRPr="00497D67">
        <w:rPr>
          <w:rFonts w:ascii="Arial" w:hAnsi="Arial" w:cs="Arial"/>
          <w:sz w:val="20"/>
          <w:szCs w:val="20"/>
        </w:rPr>
        <w:t>, there are no provisions which stipulates for taxation of an indirect transfer. Such provisions are proposed in Direct Tax Code, but there are no such provisions in the existing tax law. Hence, Income-tax department was instructed by the court that in order to bring these transactions under the tax ambit, suitable amendment in the tax law is required.</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repeal the effects of this ruling, following explanations have been inserted after Explanation 3 to clause (i) with effect from the 1st day of April, 1962 for the words used in the following excerpts of Section 9(1):—</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All income accruing or arising, whether directly or indirectly through or from any business connection in India, or through or from any property in India, or through or from any asset or source of income in India or through the transfer of a capital asset situated in India.</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6"/>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Expression “</w:t>
      </w:r>
      <w:r w:rsidRPr="00497D67">
        <w:rPr>
          <w:rFonts w:ascii="Arial" w:hAnsi="Arial" w:cs="Arial"/>
          <w:b/>
          <w:bCs/>
          <w:sz w:val="20"/>
          <w:szCs w:val="20"/>
        </w:rPr>
        <w:t>through</w:t>
      </w:r>
      <w:r w:rsidRPr="00497D67">
        <w:rPr>
          <w:rFonts w:ascii="Arial" w:hAnsi="Arial" w:cs="Arial"/>
          <w:sz w:val="20"/>
          <w:szCs w:val="20"/>
        </w:rPr>
        <w:t>” shall mean and include and shall be deemed to have always meant and included “by means of”, “in consequence of” or “by reason of”.</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An asset or a ‘</w:t>
      </w:r>
      <w:r w:rsidRPr="00497D67">
        <w:rPr>
          <w:rFonts w:ascii="Arial" w:hAnsi="Arial" w:cs="Arial"/>
          <w:b/>
          <w:bCs/>
          <w:sz w:val="20"/>
          <w:szCs w:val="20"/>
        </w:rPr>
        <w:t>capital asset</w:t>
      </w:r>
      <w:r w:rsidRPr="00497D67">
        <w:rPr>
          <w:rFonts w:ascii="Arial" w:hAnsi="Arial" w:cs="Arial"/>
          <w:sz w:val="20"/>
          <w:szCs w:val="20"/>
        </w:rPr>
        <w:t>’ being any share or interest in a company or entity registered or incorporated outside India shall be deemed to be and shall always be deemed to have been situated in India, if the share or interest derives, directly or indirectly, its value substantially from the assets located in India.</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However, what would constitute substantial value is not provided by the Finance Bill.</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 will be in force retrospectively from 1st April, 1962.</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pStyle w:val="ListParagraph"/>
        <w:numPr>
          <w:ilvl w:val="0"/>
          <w:numId w:val="3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tandem with the above exercise to nullify the effect of Hon’ble Supreme Court, the following amendments are proposed in the case of definition of ‘capital asset’ and ‘transfer’.</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8245D8" w:rsidRPr="00497D67" w:rsidRDefault="008245D8" w:rsidP="005C55E7">
      <w:pPr>
        <w:jc w:val="both"/>
        <w:rPr>
          <w:rFonts w:ascii="Arial" w:hAnsi="Arial" w:cs="Arial"/>
          <w:b/>
          <w:bCs/>
          <w:sz w:val="20"/>
          <w:szCs w:val="20"/>
        </w:rPr>
      </w:pPr>
      <w:bookmarkStart w:id="36" w:name="_Further_Clarification_on"/>
      <w:bookmarkEnd w:id="36"/>
      <w:r w:rsidRPr="00497D67">
        <w:rPr>
          <w:rFonts w:ascii="Arial" w:hAnsi="Arial" w:cs="Arial"/>
          <w:b/>
          <w:bCs/>
          <w:sz w:val="20"/>
          <w:szCs w:val="20"/>
        </w:rPr>
        <w:t>Further Clarification on the definition of Capital Asset</w:t>
      </w:r>
    </w:p>
    <w:p w:rsidR="008245D8" w:rsidRPr="00497D67" w:rsidRDefault="008245D8" w:rsidP="005C55E7">
      <w:pPr>
        <w:autoSpaceDE w:val="0"/>
        <w:autoSpaceDN w:val="0"/>
        <w:adjustRightInd w:val="0"/>
        <w:spacing w:after="0" w:line="240" w:lineRule="auto"/>
        <w:jc w:val="both"/>
        <w:rPr>
          <w:rFonts w:ascii="Arial" w:hAnsi="Arial" w:cs="Arial"/>
          <w:sz w:val="20"/>
          <w:szCs w:val="20"/>
        </w:rPr>
      </w:pPr>
    </w:p>
    <w:p w:rsidR="00676C9F" w:rsidRPr="00497D67" w:rsidRDefault="008245D8" w:rsidP="005C55E7">
      <w:pPr>
        <w:pStyle w:val="ListParagraph"/>
        <w:numPr>
          <w:ilvl w:val="0"/>
          <w:numId w:val="3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Section 2(14) provides the definition of ‘capital asset’ wherein the word</w:t>
      </w:r>
      <w:r w:rsidR="00676C9F" w:rsidRPr="00497D67">
        <w:rPr>
          <w:rFonts w:ascii="Arial" w:hAnsi="Arial" w:cs="Arial"/>
          <w:sz w:val="20"/>
          <w:szCs w:val="20"/>
        </w:rPr>
        <w:t xml:space="preserve"> capital asset means property of any kind held by an assessee.</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pStyle w:val="ListParagraph"/>
        <w:numPr>
          <w:ilvl w:val="0"/>
          <w:numId w:val="3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proposed to amend the Section 2(14) to clarify that ‘property’ includes and shall be deemed to have always included any rights in or in relation to an Indian company, including rights of management or control or any other rights whatsoever.</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pStyle w:val="ListParagraph"/>
        <w:numPr>
          <w:ilvl w:val="0"/>
          <w:numId w:val="3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 will be applicable with effect from 1st April, 1962.</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8245D8" w:rsidRPr="00497D67" w:rsidRDefault="00676C9F" w:rsidP="005C55E7">
      <w:pPr>
        <w:jc w:val="both"/>
        <w:rPr>
          <w:rFonts w:ascii="Arial" w:hAnsi="Arial" w:cs="Arial"/>
          <w:b/>
          <w:bCs/>
          <w:sz w:val="20"/>
          <w:szCs w:val="20"/>
        </w:rPr>
      </w:pPr>
      <w:bookmarkStart w:id="37" w:name="_Amendment_in_the"/>
      <w:bookmarkEnd w:id="37"/>
      <w:r w:rsidRPr="00497D67">
        <w:rPr>
          <w:rFonts w:ascii="Arial" w:hAnsi="Arial" w:cs="Arial"/>
          <w:b/>
          <w:bCs/>
          <w:sz w:val="20"/>
          <w:szCs w:val="20"/>
        </w:rPr>
        <w:t>Amendment in the definition of transfer</w:t>
      </w:r>
    </w:p>
    <w:p w:rsidR="00676C9F" w:rsidRPr="00497D67" w:rsidRDefault="00676C9F" w:rsidP="005C55E7">
      <w:pPr>
        <w:autoSpaceDE w:val="0"/>
        <w:autoSpaceDN w:val="0"/>
        <w:adjustRightInd w:val="0"/>
        <w:spacing w:after="0" w:line="240" w:lineRule="auto"/>
        <w:jc w:val="both"/>
        <w:rPr>
          <w:rFonts w:ascii="Arial" w:hAnsi="Arial" w:cs="Arial"/>
          <w:b/>
          <w:bCs/>
          <w:sz w:val="20"/>
          <w:szCs w:val="20"/>
        </w:rPr>
      </w:pPr>
    </w:p>
    <w:p w:rsidR="00676C9F" w:rsidRPr="00497D67" w:rsidRDefault="00676C9F" w:rsidP="005C55E7">
      <w:pPr>
        <w:pStyle w:val="ListParagraph"/>
        <w:numPr>
          <w:ilvl w:val="0"/>
          <w:numId w:val="4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bring indirect transfer of shares/interest of assets situated in India within the ambit of definition of transfer, it is now proposed to insert a new explanation in Section 2(47) expanding the scope of transfer for the purpose of taxability under capital gain.</w:t>
      </w:r>
    </w:p>
    <w:p w:rsidR="00676C9F" w:rsidRPr="00497D67" w:rsidRDefault="00676C9F" w:rsidP="005C55E7">
      <w:pPr>
        <w:autoSpaceDE w:val="0"/>
        <w:autoSpaceDN w:val="0"/>
        <w:adjustRightInd w:val="0"/>
        <w:spacing w:after="0" w:line="240" w:lineRule="auto"/>
        <w:ind w:left="360"/>
        <w:jc w:val="both"/>
        <w:rPr>
          <w:rFonts w:ascii="Arial" w:hAnsi="Arial" w:cs="Arial"/>
          <w:sz w:val="20"/>
          <w:szCs w:val="20"/>
        </w:rPr>
      </w:pPr>
    </w:p>
    <w:p w:rsidR="00676C9F" w:rsidRPr="00497D67" w:rsidRDefault="00676C9F" w:rsidP="005C55E7">
      <w:pPr>
        <w:pStyle w:val="ListParagraph"/>
        <w:numPr>
          <w:ilvl w:val="0"/>
          <w:numId w:val="4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As per the new explanation, all type of direct or indirect, absolute or conditional, voluntary or involuntary transfer of rights being effectuated from the transfer of shares of a company registered outside India shall be deemed to have always included in the definition of ‘transfer’.</w:t>
      </w:r>
    </w:p>
    <w:p w:rsidR="00676C9F" w:rsidRPr="00497D67" w:rsidRDefault="00676C9F" w:rsidP="005C55E7">
      <w:pPr>
        <w:autoSpaceDE w:val="0"/>
        <w:autoSpaceDN w:val="0"/>
        <w:adjustRightInd w:val="0"/>
        <w:spacing w:after="0" w:line="240" w:lineRule="auto"/>
        <w:ind w:left="360"/>
        <w:jc w:val="both"/>
        <w:rPr>
          <w:rFonts w:ascii="Arial" w:hAnsi="Arial" w:cs="Arial"/>
          <w:sz w:val="20"/>
          <w:szCs w:val="20"/>
        </w:rPr>
      </w:pPr>
    </w:p>
    <w:p w:rsidR="00676C9F" w:rsidRPr="00497D67" w:rsidRDefault="00676C9F" w:rsidP="005C55E7">
      <w:pPr>
        <w:pStyle w:val="ListParagraph"/>
        <w:numPr>
          <w:ilvl w:val="0"/>
          <w:numId w:val="4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 will be retrospectively applicable with effect from1st April, 1962.</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pStyle w:val="ListParagraph"/>
        <w:numPr>
          <w:ilvl w:val="0"/>
          <w:numId w:val="4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With the above consequential amendments, the sale of shares of a company having substantial assets in India would be considered as income deemed to accrue or arise. The rights in the assets of underlying company would be considered as assets and indirect transfer of ownership would be considered as transfer. Consequently, resulting capital gain will be taxable in India.</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jc w:val="both"/>
        <w:rPr>
          <w:rFonts w:ascii="Arial" w:hAnsi="Arial" w:cs="Arial"/>
          <w:b/>
          <w:bCs/>
          <w:sz w:val="20"/>
          <w:szCs w:val="20"/>
        </w:rPr>
      </w:pPr>
      <w:bookmarkStart w:id="38" w:name="_Expansion_of_definition"/>
      <w:bookmarkEnd w:id="38"/>
      <w:r w:rsidRPr="00497D67">
        <w:rPr>
          <w:rFonts w:ascii="Arial" w:hAnsi="Arial" w:cs="Arial"/>
          <w:b/>
          <w:bCs/>
          <w:sz w:val="20"/>
          <w:szCs w:val="20"/>
        </w:rPr>
        <w:t>Expansion of definition of Royalty – Disposition of unsettled issue</w:t>
      </w:r>
    </w:p>
    <w:p w:rsidR="00676C9F" w:rsidRPr="00497D67" w:rsidRDefault="00676C9F" w:rsidP="005C55E7">
      <w:pPr>
        <w:pStyle w:val="ListParagraph"/>
        <w:numPr>
          <w:ilvl w:val="0"/>
          <w:numId w:val="4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lastRenderedPageBreak/>
        <w:t>Section 9(1</w:t>
      </w:r>
      <w:r w:rsidR="000E169C" w:rsidRPr="00497D67">
        <w:rPr>
          <w:rFonts w:ascii="Arial" w:hAnsi="Arial" w:cs="Arial"/>
          <w:sz w:val="20"/>
          <w:szCs w:val="20"/>
        </w:rPr>
        <w:t>) (</w:t>
      </w:r>
      <w:r w:rsidRPr="00497D67">
        <w:rPr>
          <w:rFonts w:ascii="Arial" w:hAnsi="Arial" w:cs="Arial"/>
          <w:sz w:val="20"/>
          <w:szCs w:val="20"/>
        </w:rPr>
        <w:t>vi) defines the royalty income of non-resident which is deemed to accrue and arise in India and accordingly subject to withholding tax in India.</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pStyle w:val="ListParagraph"/>
        <w:numPr>
          <w:ilvl w:val="0"/>
          <w:numId w:val="4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From its inception, there is spate of contrary judgments on the </w:t>
      </w:r>
      <w:r w:rsidR="000E169C" w:rsidRPr="00497D67">
        <w:rPr>
          <w:rFonts w:ascii="Arial" w:hAnsi="Arial" w:cs="Arial"/>
          <w:sz w:val="20"/>
          <w:szCs w:val="20"/>
        </w:rPr>
        <w:t>characterization</w:t>
      </w:r>
      <w:r w:rsidRPr="00497D67">
        <w:rPr>
          <w:rFonts w:ascii="Arial" w:hAnsi="Arial" w:cs="Arial"/>
          <w:sz w:val="20"/>
          <w:szCs w:val="20"/>
        </w:rPr>
        <w:t xml:space="preserve"> of payment otherwise taxable in India i.e. business income or royalty income. The most important issue inter-alia pertains to payment for software.</w:t>
      </w:r>
    </w:p>
    <w:p w:rsidR="00676C9F" w:rsidRPr="00497D67" w:rsidRDefault="00676C9F" w:rsidP="005C55E7">
      <w:pPr>
        <w:pStyle w:val="ListParagraph"/>
        <w:autoSpaceDE w:val="0"/>
        <w:autoSpaceDN w:val="0"/>
        <w:adjustRightInd w:val="0"/>
        <w:spacing w:after="0" w:line="240" w:lineRule="auto"/>
        <w:jc w:val="both"/>
        <w:rPr>
          <w:rFonts w:ascii="Arial" w:hAnsi="Arial" w:cs="Arial"/>
          <w:sz w:val="20"/>
          <w:szCs w:val="20"/>
        </w:rPr>
      </w:pPr>
    </w:p>
    <w:p w:rsidR="00676C9F" w:rsidRPr="00497D67" w:rsidRDefault="00676C9F" w:rsidP="005C55E7">
      <w:pPr>
        <w:pStyle w:val="ListParagraph"/>
        <w:numPr>
          <w:ilvl w:val="0"/>
          <w:numId w:val="4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weed out these issue; it is proposed to expand the meaning of the term “Royalty”.</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pStyle w:val="ListParagraph"/>
        <w:numPr>
          <w:ilvl w:val="0"/>
          <w:numId w:val="4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With the expanded definition of royalty, following categories of payment shall be characterized as payment for royalty:-</w:t>
      </w: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676C9F" w:rsidRPr="00497D67" w:rsidRDefault="00676C9F" w:rsidP="005C55E7">
      <w:pPr>
        <w:autoSpaceDE w:val="0"/>
        <w:autoSpaceDN w:val="0"/>
        <w:adjustRightInd w:val="0"/>
        <w:spacing w:after="0" w:line="240" w:lineRule="auto"/>
        <w:jc w:val="both"/>
        <w:rPr>
          <w:rFonts w:ascii="Arial" w:hAnsi="Arial" w:cs="Arial"/>
          <w:sz w:val="20"/>
          <w:szCs w:val="20"/>
        </w:rPr>
      </w:pPr>
    </w:p>
    <w:p w:rsidR="008E7DB1" w:rsidRPr="00497D67" w:rsidRDefault="00676C9F" w:rsidP="005C55E7">
      <w:pPr>
        <w:pStyle w:val="ListParagraph"/>
        <w:numPr>
          <w:ilvl w:val="0"/>
          <w:numId w:val="42"/>
        </w:numPr>
        <w:autoSpaceDE w:val="0"/>
        <w:autoSpaceDN w:val="0"/>
        <w:adjustRightInd w:val="0"/>
        <w:spacing w:after="0" w:line="240" w:lineRule="auto"/>
        <w:ind w:left="1260"/>
        <w:jc w:val="both"/>
        <w:rPr>
          <w:rFonts w:ascii="Arial" w:hAnsi="Arial" w:cs="Arial"/>
          <w:sz w:val="20"/>
          <w:szCs w:val="20"/>
        </w:rPr>
      </w:pPr>
      <w:r w:rsidRPr="00497D67">
        <w:rPr>
          <w:rFonts w:ascii="Arial" w:hAnsi="Arial" w:cs="Arial"/>
          <w:sz w:val="20"/>
          <w:szCs w:val="20"/>
        </w:rPr>
        <w:t>Payment for computer software;</w:t>
      </w:r>
    </w:p>
    <w:p w:rsidR="00676C9F" w:rsidRPr="00497D67" w:rsidRDefault="00676C9F" w:rsidP="005C55E7">
      <w:pPr>
        <w:autoSpaceDE w:val="0"/>
        <w:autoSpaceDN w:val="0"/>
        <w:adjustRightInd w:val="0"/>
        <w:spacing w:after="0" w:line="240" w:lineRule="auto"/>
        <w:ind w:left="720"/>
        <w:jc w:val="both"/>
        <w:rPr>
          <w:rFonts w:ascii="Arial" w:hAnsi="Arial" w:cs="Arial"/>
          <w:sz w:val="20"/>
          <w:szCs w:val="20"/>
        </w:rPr>
      </w:pPr>
    </w:p>
    <w:p w:rsidR="00676C9F" w:rsidRPr="00497D67" w:rsidRDefault="00676C9F" w:rsidP="005C55E7">
      <w:pPr>
        <w:pStyle w:val="ListParagraph"/>
        <w:numPr>
          <w:ilvl w:val="0"/>
          <w:numId w:val="42"/>
        </w:numPr>
        <w:autoSpaceDE w:val="0"/>
        <w:autoSpaceDN w:val="0"/>
        <w:adjustRightInd w:val="0"/>
        <w:spacing w:after="0" w:line="240" w:lineRule="auto"/>
        <w:ind w:left="1260"/>
        <w:jc w:val="both"/>
        <w:rPr>
          <w:rFonts w:ascii="Arial" w:hAnsi="Arial" w:cs="Arial"/>
          <w:sz w:val="20"/>
          <w:szCs w:val="20"/>
        </w:rPr>
      </w:pPr>
      <w:r w:rsidRPr="00497D67">
        <w:rPr>
          <w:rFonts w:ascii="Arial" w:hAnsi="Arial" w:cs="Arial"/>
          <w:sz w:val="20"/>
          <w:szCs w:val="20"/>
        </w:rPr>
        <w:t>Payment for all type of processes. Further process will also include transmission of data via satellite or any other medium whether or not process is secret.</w:t>
      </w:r>
    </w:p>
    <w:p w:rsidR="00676C9F" w:rsidRPr="00497D67" w:rsidRDefault="00676C9F" w:rsidP="005C55E7">
      <w:p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 xml:space="preserve"> </w:t>
      </w:r>
    </w:p>
    <w:p w:rsidR="00676C9F" w:rsidRPr="00497D67" w:rsidRDefault="00676C9F" w:rsidP="005C55E7">
      <w:pPr>
        <w:pStyle w:val="ListParagraph"/>
        <w:numPr>
          <w:ilvl w:val="0"/>
          <w:numId w:val="4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This amendment will take place from June 1, 1976.</w:t>
      </w:r>
    </w:p>
    <w:p w:rsidR="00676C9F" w:rsidRPr="00497D67" w:rsidRDefault="00676C9F" w:rsidP="005C55E7">
      <w:pPr>
        <w:autoSpaceDE w:val="0"/>
        <w:autoSpaceDN w:val="0"/>
        <w:adjustRightInd w:val="0"/>
        <w:spacing w:after="0" w:line="240" w:lineRule="auto"/>
        <w:ind w:left="360"/>
        <w:jc w:val="both"/>
        <w:rPr>
          <w:rFonts w:ascii="Arial" w:hAnsi="Arial" w:cs="Arial"/>
          <w:sz w:val="20"/>
          <w:szCs w:val="20"/>
        </w:rPr>
      </w:pPr>
    </w:p>
    <w:p w:rsidR="004653AE" w:rsidRDefault="004653AE" w:rsidP="005C55E7">
      <w:pPr>
        <w:autoSpaceDE w:val="0"/>
        <w:autoSpaceDN w:val="0"/>
        <w:adjustRightInd w:val="0"/>
        <w:spacing w:after="0" w:line="240" w:lineRule="auto"/>
        <w:jc w:val="both"/>
        <w:rPr>
          <w:rFonts w:ascii="Arial" w:hAnsi="Arial" w:cs="Arial"/>
          <w:b/>
          <w:bCs/>
          <w:sz w:val="20"/>
          <w:szCs w:val="20"/>
        </w:rPr>
      </w:pPr>
    </w:p>
    <w:p w:rsidR="00E3336D" w:rsidRDefault="00E3336D" w:rsidP="005C55E7">
      <w:pPr>
        <w:autoSpaceDE w:val="0"/>
        <w:autoSpaceDN w:val="0"/>
        <w:adjustRightInd w:val="0"/>
        <w:spacing w:after="0" w:line="240" w:lineRule="auto"/>
        <w:jc w:val="both"/>
        <w:rPr>
          <w:rFonts w:ascii="Arial" w:hAnsi="Arial" w:cs="Arial"/>
          <w:b/>
          <w:bCs/>
          <w:sz w:val="20"/>
          <w:szCs w:val="20"/>
        </w:rPr>
      </w:pPr>
    </w:p>
    <w:p w:rsidR="000E7D28" w:rsidRPr="00876BDB" w:rsidRDefault="00AA5663" w:rsidP="005C55E7">
      <w:pPr>
        <w:jc w:val="both"/>
        <w:rPr>
          <w:rFonts w:ascii="Arial" w:hAnsi="Arial" w:cs="Arial"/>
          <w:b/>
          <w:sz w:val="20"/>
          <w:szCs w:val="20"/>
        </w:rPr>
      </w:pPr>
      <w:bookmarkStart w:id="39" w:name="_Amendments_in_Withholding"/>
      <w:bookmarkEnd w:id="39"/>
      <w:r w:rsidRPr="00876BDB">
        <w:rPr>
          <w:rFonts w:ascii="Arial" w:hAnsi="Arial" w:cs="Arial"/>
          <w:b/>
          <w:sz w:val="20"/>
          <w:szCs w:val="20"/>
        </w:rPr>
        <w:t>Amendments in Withholding of Taxes</w:t>
      </w:r>
    </w:p>
    <w:p w:rsidR="000E7D28" w:rsidRPr="00497D67" w:rsidRDefault="000E7D28" w:rsidP="005C55E7">
      <w:pPr>
        <w:autoSpaceDE w:val="0"/>
        <w:autoSpaceDN w:val="0"/>
        <w:adjustRightInd w:val="0"/>
        <w:spacing w:after="0" w:line="240" w:lineRule="auto"/>
        <w:jc w:val="both"/>
        <w:rPr>
          <w:rFonts w:ascii="Arial" w:hAnsi="Arial" w:cs="Arial"/>
          <w:sz w:val="20"/>
          <w:szCs w:val="20"/>
        </w:rPr>
      </w:pPr>
    </w:p>
    <w:p w:rsidR="00AA5663" w:rsidRPr="00497D67" w:rsidRDefault="00AA5663" w:rsidP="005C55E7">
      <w:pPr>
        <w:pStyle w:val="ListParagraph"/>
        <w:numPr>
          <w:ilvl w:val="0"/>
          <w:numId w:val="4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As per the existing provisions of Section 195, a person is responsible to deduct tax at the time of making any payment to a non resident, not being a company, or to a foreign company chargeable under the provisions of the Act.</w:t>
      </w:r>
    </w:p>
    <w:p w:rsidR="00AA5663" w:rsidRPr="00497D67" w:rsidRDefault="00AA5663" w:rsidP="005C55E7">
      <w:pPr>
        <w:autoSpaceDE w:val="0"/>
        <w:autoSpaceDN w:val="0"/>
        <w:adjustRightInd w:val="0"/>
        <w:spacing w:after="0" w:line="240" w:lineRule="auto"/>
        <w:ind w:left="720"/>
        <w:jc w:val="both"/>
        <w:rPr>
          <w:rFonts w:ascii="Arial" w:hAnsi="Arial" w:cs="Arial"/>
          <w:sz w:val="20"/>
          <w:szCs w:val="20"/>
        </w:rPr>
      </w:pPr>
    </w:p>
    <w:p w:rsidR="00AA5663" w:rsidRPr="00497D67" w:rsidRDefault="00AA5663" w:rsidP="005C55E7">
      <w:pPr>
        <w:pStyle w:val="ListParagraph"/>
        <w:numPr>
          <w:ilvl w:val="0"/>
          <w:numId w:val="4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It is proposed that the Board, may by notification in the Official Gazette, specify a class of persons or cases, where the person responsible for paying to a non resident not being a company or to a foreign company, any sum, whether or not chargeable under the provisions of this Act, shall make an application to the Assessing Officer to determine, by general order or special order, the appropriate proportion of sum chargeable and after such determination by the order, tax shall be deducted on that proportion of the sum which is so chargeable</w:t>
      </w:r>
    </w:p>
    <w:p w:rsidR="00AA5663" w:rsidRPr="00497D67" w:rsidRDefault="00AA5663" w:rsidP="005C55E7">
      <w:pPr>
        <w:autoSpaceDE w:val="0"/>
        <w:autoSpaceDN w:val="0"/>
        <w:adjustRightInd w:val="0"/>
        <w:spacing w:after="0" w:line="240" w:lineRule="auto"/>
        <w:ind w:left="720"/>
        <w:jc w:val="both"/>
        <w:rPr>
          <w:rFonts w:ascii="Arial" w:hAnsi="Arial" w:cs="Arial"/>
          <w:sz w:val="20"/>
          <w:szCs w:val="20"/>
        </w:rPr>
      </w:pPr>
    </w:p>
    <w:p w:rsidR="00AA5663" w:rsidRPr="00497D67" w:rsidRDefault="00AA5663" w:rsidP="005C55E7">
      <w:pPr>
        <w:pStyle w:val="ListParagraph"/>
        <w:numPr>
          <w:ilvl w:val="0"/>
          <w:numId w:val="4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This amendment will take effect from 1st July, 2012.</w:t>
      </w:r>
    </w:p>
    <w:p w:rsidR="00AA5663" w:rsidRPr="00497D67" w:rsidRDefault="00AA5663" w:rsidP="005C55E7">
      <w:pPr>
        <w:autoSpaceDE w:val="0"/>
        <w:autoSpaceDN w:val="0"/>
        <w:adjustRightInd w:val="0"/>
        <w:spacing w:after="0" w:line="240" w:lineRule="auto"/>
        <w:ind w:left="720"/>
        <w:jc w:val="both"/>
        <w:rPr>
          <w:rFonts w:ascii="Arial" w:hAnsi="Arial" w:cs="Arial"/>
          <w:sz w:val="20"/>
          <w:szCs w:val="20"/>
        </w:rPr>
      </w:pPr>
    </w:p>
    <w:p w:rsidR="00AA5663" w:rsidRPr="00497D67" w:rsidRDefault="00AA5663" w:rsidP="005C55E7">
      <w:pPr>
        <w:pStyle w:val="ListParagraph"/>
        <w:numPr>
          <w:ilvl w:val="0"/>
          <w:numId w:val="4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Further, it is clarified that obligation to withhold the tax will be applied regardless of absence of any territorial nexus. This clarificatory explanation is in line with the explanation as provided in Section 9 as substituted by Finance Act, 2010.</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AA5663" w:rsidRPr="00497D67" w:rsidRDefault="00233925" w:rsidP="005C55E7">
      <w:pPr>
        <w:pStyle w:val="ListParagraph"/>
        <w:numPr>
          <w:ilvl w:val="0"/>
          <w:numId w:val="4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This amendment will take effect from 1st April, 1962.</w:t>
      </w:r>
    </w:p>
    <w:p w:rsidR="00AA5663" w:rsidRPr="00497D67" w:rsidRDefault="00AA5663" w:rsidP="005C55E7">
      <w:pPr>
        <w:autoSpaceDE w:val="0"/>
        <w:autoSpaceDN w:val="0"/>
        <w:adjustRightInd w:val="0"/>
        <w:spacing w:after="0" w:line="240" w:lineRule="auto"/>
        <w:jc w:val="both"/>
        <w:rPr>
          <w:rFonts w:ascii="Arial" w:hAnsi="Arial" w:cs="Arial"/>
          <w:sz w:val="20"/>
          <w:szCs w:val="20"/>
        </w:rPr>
      </w:pPr>
    </w:p>
    <w:p w:rsidR="00233925" w:rsidRPr="00876BDB" w:rsidRDefault="00233925" w:rsidP="005C55E7">
      <w:pPr>
        <w:jc w:val="both"/>
        <w:rPr>
          <w:rFonts w:ascii="Arial" w:hAnsi="Arial" w:cs="Arial"/>
          <w:b/>
          <w:sz w:val="20"/>
          <w:szCs w:val="20"/>
        </w:rPr>
      </w:pPr>
      <w:bookmarkStart w:id="40" w:name="_Validation_clause_for"/>
      <w:bookmarkEnd w:id="40"/>
      <w:r w:rsidRPr="00876BDB">
        <w:rPr>
          <w:rFonts w:ascii="Arial" w:hAnsi="Arial" w:cs="Arial"/>
          <w:b/>
          <w:sz w:val="20"/>
          <w:szCs w:val="20"/>
        </w:rPr>
        <w:t>Validation clause for notice issued for non-withholding of taxes on cross border transactions</w:t>
      </w:r>
    </w:p>
    <w:p w:rsidR="00233925" w:rsidRPr="00497D67" w:rsidRDefault="00233925" w:rsidP="005C55E7">
      <w:pPr>
        <w:autoSpaceDE w:val="0"/>
        <w:autoSpaceDN w:val="0"/>
        <w:adjustRightInd w:val="0"/>
        <w:spacing w:after="0" w:line="240" w:lineRule="auto"/>
        <w:jc w:val="both"/>
        <w:rPr>
          <w:rFonts w:ascii="Arial" w:hAnsi="Arial" w:cs="Arial"/>
          <w:b/>
          <w:bCs/>
          <w:sz w:val="20"/>
          <w:szCs w:val="20"/>
        </w:rPr>
      </w:pPr>
    </w:p>
    <w:p w:rsidR="00233925" w:rsidRPr="00497D67" w:rsidRDefault="00233925" w:rsidP="005C55E7">
      <w:pPr>
        <w:pStyle w:val="ListParagraph"/>
        <w:numPr>
          <w:ilvl w:val="0"/>
          <w:numId w:val="4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the past few years, the government has issued a lot of notices under Section 201 to various companies for cross border transactions wherein the ownership of Indian companies were indirectly transferred via sale of shares of intermediate holding company. In this chain, a few big names were Vodafone, AT &amp; T and Aditya Birla Nuvo.</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most recent and distinguished case is that of the Vodafone which has been termed as the most debated tax issue in India, which has been decided by the Hon’ble Supreme court in favour of the assessee.</w:t>
      </w:r>
    </w:p>
    <w:p w:rsidR="00233925" w:rsidRPr="00497D67" w:rsidRDefault="00233925" w:rsidP="005C55E7">
      <w:pPr>
        <w:autoSpaceDE w:val="0"/>
        <w:autoSpaceDN w:val="0"/>
        <w:adjustRightInd w:val="0"/>
        <w:spacing w:after="0" w:line="240" w:lineRule="auto"/>
        <w:ind w:left="360"/>
        <w:jc w:val="both"/>
        <w:rPr>
          <w:rFonts w:ascii="Arial" w:hAnsi="Arial" w:cs="Arial"/>
          <w:sz w:val="20"/>
          <w:szCs w:val="20"/>
        </w:rPr>
      </w:pPr>
    </w:p>
    <w:p w:rsidR="00233925" w:rsidRPr="00497D67" w:rsidRDefault="00233925" w:rsidP="005C55E7">
      <w:pPr>
        <w:pStyle w:val="ListParagraph"/>
        <w:numPr>
          <w:ilvl w:val="0"/>
          <w:numId w:val="4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repeal the effect of this judicial pronouncement of the Hon’ble Supreme Court, the central government has proposed plethora of changes in the Finance Bill with retrospective effect from 1st April, 1962.</w:t>
      </w:r>
    </w:p>
    <w:p w:rsidR="00233925" w:rsidRPr="00497D67" w:rsidRDefault="00233925" w:rsidP="005C55E7">
      <w:pPr>
        <w:autoSpaceDE w:val="0"/>
        <w:autoSpaceDN w:val="0"/>
        <w:adjustRightInd w:val="0"/>
        <w:spacing w:after="0" w:line="240" w:lineRule="auto"/>
        <w:ind w:left="360"/>
        <w:jc w:val="both"/>
        <w:rPr>
          <w:rFonts w:ascii="Arial" w:hAnsi="Arial" w:cs="Arial"/>
          <w:sz w:val="20"/>
          <w:szCs w:val="20"/>
        </w:rPr>
      </w:pPr>
    </w:p>
    <w:p w:rsidR="00233925" w:rsidRPr="00497D67" w:rsidRDefault="00233925" w:rsidP="005C55E7">
      <w:pPr>
        <w:pStyle w:val="ListParagraph"/>
        <w:numPr>
          <w:ilvl w:val="0"/>
          <w:numId w:val="4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Since, a lot of issues are pending on the above subject before various High Courts and the Hon’ble Supreme Court Therefore, in order to give legislative validity to notice u/s 201 issued </w:t>
      </w:r>
      <w:r w:rsidRPr="00497D67">
        <w:rPr>
          <w:rFonts w:ascii="Arial" w:hAnsi="Arial" w:cs="Arial"/>
          <w:sz w:val="20"/>
          <w:szCs w:val="20"/>
        </w:rPr>
        <w:lastRenderedPageBreak/>
        <w:t>to all these companies, it is proposed to insert a validation clause in support of notices issued u/s 201.</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annul the impact of any judiciary verdict, it is proposed that this clause shall operate notwithstanding anything contained in any judgment, decree or order of any Court of Tribunal.</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Validation clause shall take effect after the Finance Bill 2012 comes into force.</w:t>
      </w:r>
    </w:p>
    <w:p w:rsidR="00233925" w:rsidRPr="00497D67" w:rsidRDefault="00233925" w:rsidP="005C55E7">
      <w:pPr>
        <w:pStyle w:val="ListParagraph"/>
        <w:autoSpaceDE w:val="0"/>
        <w:autoSpaceDN w:val="0"/>
        <w:adjustRightInd w:val="0"/>
        <w:spacing w:after="0" w:line="240" w:lineRule="auto"/>
        <w:jc w:val="both"/>
        <w:rPr>
          <w:rFonts w:ascii="Arial" w:hAnsi="Arial" w:cs="Arial"/>
          <w:sz w:val="20"/>
          <w:szCs w:val="20"/>
        </w:rPr>
      </w:pP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876BDB" w:rsidRDefault="00233925" w:rsidP="005C55E7">
      <w:pPr>
        <w:jc w:val="both"/>
        <w:rPr>
          <w:rFonts w:ascii="Arial" w:hAnsi="Arial" w:cs="Arial"/>
          <w:b/>
          <w:sz w:val="20"/>
          <w:szCs w:val="20"/>
        </w:rPr>
      </w:pPr>
      <w:bookmarkStart w:id="41" w:name="_Extension_of_time_1"/>
      <w:bookmarkEnd w:id="41"/>
      <w:r w:rsidRPr="00876BDB">
        <w:rPr>
          <w:rFonts w:ascii="Arial" w:hAnsi="Arial" w:cs="Arial"/>
          <w:b/>
          <w:sz w:val="20"/>
          <w:szCs w:val="20"/>
        </w:rPr>
        <w:t>Extension of time limit for completion of assessment or reassessment where information is sought under the DTAA</w:t>
      </w:r>
    </w:p>
    <w:p w:rsidR="00233925" w:rsidRPr="00497D67" w:rsidRDefault="00233925" w:rsidP="005C55E7">
      <w:pPr>
        <w:autoSpaceDE w:val="0"/>
        <w:autoSpaceDN w:val="0"/>
        <w:adjustRightInd w:val="0"/>
        <w:spacing w:after="0" w:line="240" w:lineRule="auto"/>
        <w:jc w:val="both"/>
        <w:rPr>
          <w:rFonts w:ascii="Arial" w:hAnsi="Arial" w:cs="Arial"/>
          <w:b/>
          <w:bCs/>
          <w:sz w:val="20"/>
          <w:szCs w:val="20"/>
        </w:rPr>
      </w:pPr>
    </w:p>
    <w:p w:rsidR="00233925" w:rsidRPr="00497D67" w:rsidRDefault="00233925" w:rsidP="005C55E7">
      <w:pPr>
        <w:pStyle w:val="ListParagraph"/>
        <w:numPr>
          <w:ilvl w:val="0"/>
          <w:numId w:val="4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last few years, Indian government is aggressively tracing the black money stashed abroad by Indian nationals. In pursuance to this aggressive search, India has so far completed negotiations of 22 new Tax Information Exchange Agreements with various tax havens. Further, existing double taxation avoidance agreements are being in stage of re-negotiation to incorporate Tax Exchange Information provisions.</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As per provisions of Section 153, every type of assessment proceedings should be completed in prescribed time period only. However, in the case of assessment proceedings involving the assessment of income stashed aboard, getting the information about a tax errant assessee is a time consuming process and poses a bottleneck in completion of assessment proceedings in the stipulated time period.</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Considering the time involved in getting this information, it was provided in Finance Act, 2011 that time involved in securing information from overseas territories shall not be reckoned for the purpose of computation of period of limitation as provided in Section 153 subject to a maximum period of 6 months.</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Now, it is proposed to extend this maximum period from 6 months to 12 months. This proposal is based on the recent assessment/reassessment experience of Income-tax department wherein information as required was not received within the time of 6 months.</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is proposed to take effect from 1st July 2012.</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autoSpaceDE w:val="0"/>
        <w:autoSpaceDN w:val="0"/>
        <w:adjustRightInd w:val="0"/>
        <w:spacing w:after="0" w:line="240" w:lineRule="auto"/>
        <w:jc w:val="both"/>
        <w:rPr>
          <w:rFonts w:ascii="Arial" w:hAnsi="Arial" w:cs="Arial"/>
          <w:b/>
          <w:bCs/>
          <w:color w:val="6D6E70"/>
          <w:sz w:val="24"/>
          <w:szCs w:val="24"/>
        </w:rPr>
      </w:pPr>
    </w:p>
    <w:p w:rsidR="00233925" w:rsidRPr="00497D67" w:rsidRDefault="00233925" w:rsidP="005C55E7">
      <w:pPr>
        <w:jc w:val="both"/>
        <w:rPr>
          <w:rFonts w:ascii="Arial" w:hAnsi="Arial" w:cs="Arial"/>
          <w:b/>
          <w:sz w:val="24"/>
          <w:szCs w:val="24"/>
        </w:rPr>
      </w:pPr>
      <w:bookmarkStart w:id="42" w:name="_G._Rationalisation_of"/>
      <w:bookmarkEnd w:id="42"/>
      <w:r w:rsidRPr="00497D67">
        <w:rPr>
          <w:rFonts w:ascii="Arial" w:hAnsi="Arial" w:cs="Arial"/>
          <w:b/>
          <w:sz w:val="24"/>
          <w:szCs w:val="24"/>
        </w:rPr>
        <w:t>G. Rationalisation of transfer pricing provisions</w:t>
      </w:r>
    </w:p>
    <w:p w:rsidR="00233925" w:rsidRPr="00497D67" w:rsidRDefault="00233925" w:rsidP="005C55E7">
      <w:pPr>
        <w:jc w:val="both"/>
        <w:rPr>
          <w:rFonts w:ascii="Arial" w:hAnsi="Arial" w:cs="Arial"/>
          <w:sz w:val="20"/>
          <w:szCs w:val="20"/>
        </w:rPr>
      </w:pPr>
      <w:bookmarkStart w:id="43" w:name="_Advance_price_agreement"/>
      <w:bookmarkEnd w:id="43"/>
      <w:r w:rsidRPr="00497D67">
        <w:rPr>
          <w:rFonts w:ascii="Arial" w:hAnsi="Arial" w:cs="Arial"/>
          <w:b/>
          <w:bCs/>
          <w:sz w:val="20"/>
          <w:szCs w:val="20"/>
        </w:rPr>
        <w:t>Advance price agreement</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233925" w:rsidRPr="00497D67" w:rsidRDefault="00233925" w:rsidP="005C55E7">
      <w:pPr>
        <w:pStyle w:val="ListParagraph"/>
        <w:numPr>
          <w:ilvl w:val="0"/>
          <w:numId w:val="4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budget has introduced Advance Price Agreement (APA) vide inserting Sections 92CC and 92CD under the Income-tax Act, which is applicable from 1</w:t>
      </w:r>
      <w:r w:rsidRPr="00497D67">
        <w:rPr>
          <w:rFonts w:ascii="Arial" w:hAnsi="Arial" w:cs="Arial"/>
          <w:sz w:val="12"/>
          <w:szCs w:val="12"/>
        </w:rPr>
        <w:t xml:space="preserve">st </w:t>
      </w:r>
      <w:r w:rsidRPr="00497D67">
        <w:rPr>
          <w:rFonts w:ascii="Arial" w:hAnsi="Arial" w:cs="Arial"/>
          <w:sz w:val="20"/>
          <w:szCs w:val="20"/>
        </w:rPr>
        <w:t>July, 2012. APA will allow the tax payer to enter into an agreement with the tax authority and they can mutually agree on the arms length price that will be transacted between the two associated enterprises keeping in mind the regulation in place.</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pStyle w:val="ListParagraph"/>
        <w:numPr>
          <w:ilvl w:val="0"/>
          <w:numId w:val="4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With the introduction of APA there will be certainty in minds of the tax payer for any international transaction with the associated enterprise. Currently litigation surrounding TP matters is quite alarming so this will be an effective tool to reduce the litigation in transfer price.</w:t>
      </w:r>
    </w:p>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pStyle w:val="ListParagraph"/>
        <w:numPr>
          <w:ilvl w:val="0"/>
          <w:numId w:val="4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concept of APA is present in all almost all the countries, where the Transfer Pricing Regulations exists.</w:t>
      </w:r>
    </w:p>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pStyle w:val="ListParagraph"/>
        <w:numPr>
          <w:ilvl w:val="0"/>
          <w:numId w:val="4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Salient features are;</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pStyle w:val="ListParagraph"/>
        <w:numPr>
          <w:ilvl w:val="0"/>
          <w:numId w:val="4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The agreement is binding on both that is the Tax authority and the assessee.</w:t>
      </w:r>
    </w:p>
    <w:p w:rsidR="00B415BC" w:rsidRPr="00497D67" w:rsidRDefault="00B415BC" w:rsidP="005C55E7">
      <w:pPr>
        <w:pStyle w:val="ListParagraph"/>
        <w:numPr>
          <w:ilvl w:val="0"/>
          <w:numId w:val="4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Maximum time limit the agreement can be enforced is 5 years.</w:t>
      </w:r>
    </w:p>
    <w:p w:rsidR="00B415BC" w:rsidRPr="00497D67" w:rsidRDefault="00B415BC" w:rsidP="005C55E7">
      <w:pPr>
        <w:pStyle w:val="ListParagraph"/>
        <w:numPr>
          <w:ilvl w:val="0"/>
          <w:numId w:val="4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lastRenderedPageBreak/>
        <w:t>Method of determination of arms length price is based upon the existing methods or any other method.</w:t>
      </w:r>
    </w:p>
    <w:p w:rsidR="00B415BC" w:rsidRPr="00497D67" w:rsidRDefault="00B415BC" w:rsidP="005C55E7">
      <w:pPr>
        <w:pStyle w:val="ListParagraph"/>
        <w:numPr>
          <w:ilvl w:val="0"/>
          <w:numId w:val="4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Central Government may declare the agreement as void ab-ini-tio in certain circumstances.</w:t>
      </w:r>
    </w:p>
    <w:p w:rsidR="00B415BC" w:rsidRPr="00497D67" w:rsidRDefault="00B415BC" w:rsidP="005C55E7">
      <w:pPr>
        <w:pStyle w:val="ListParagraph"/>
        <w:numPr>
          <w:ilvl w:val="0"/>
          <w:numId w:val="47"/>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The assessments or reassessments will be completed according to the agreement and within the revised time limit as specified.</w:t>
      </w:r>
    </w:p>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233925" w:rsidRPr="00497D67" w:rsidRDefault="00B415BC" w:rsidP="005C55E7">
      <w:pPr>
        <w:jc w:val="both"/>
        <w:rPr>
          <w:rFonts w:ascii="Arial" w:hAnsi="Arial" w:cs="Arial"/>
          <w:b/>
          <w:sz w:val="24"/>
          <w:szCs w:val="24"/>
        </w:rPr>
      </w:pPr>
      <w:bookmarkStart w:id="44" w:name="_H._General_anti-avoidance"/>
      <w:bookmarkEnd w:id="44"/>
      <w:r w:rsidRPr="00497D67">
        <w:rPr>
          <w:rFonts w:ascii="Arial" w:hAnsi="Arial" w:cs="Arial"/>
          <w:b/>
          <w:sz w:val="24"/>
          <w:szCs w:val="24"/>
        </w:rPr>
        <w:t>H. General anti-avoidance rule (GAAR)</w:t>
      </w:r>
    </w:p>
    <w:p w:rsidR="00233925" w:rsidRPr="00497D67" w:rsidRDefault="00233925"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pStyle w:val="ListParagraph"/>
        <w:numPr>
          <w:ilvl w:val="0"/>
          <w:numId w:val="48"/>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Over past few years, the doctrine of “form over substance” has been upheld unless there is judicial determination of a fraud or sham. The proposed introduction of GAAR provisions will legislatively empower the tax authorities to intervene in circumstances where they allege that the primary motive of a particular transaction or arrangement is to obtain a tax advantage. The government felt that in view of aggressive tax planning with the use of sophisticated structure it is imperative to have statutory provisions to codify the doctrine of “substance over form” where the real intention of the parties and effect of the transactions and purpose of an arrangement is taken into account for determining the tax consequences, irrespective of the legal structure that has been superimposed to camouflage the real intent and purpose</w:t>
      </w: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pStyle w:val="ListParagraph"/>
        <w:numPr>
          <w:ilvl w:val="0"/>
          <w:numId w:val="48"/>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 Finance Bill brings into a proposal for Anti Avoidance of Tax which is termed as GAAR. The GAAR provisions provide for any arrangement which results in reduction or avoidance of tax as if it has not taken place at all and the tax will be computed accordingly. The provisions are on the line of what was given in the Direct Tax Code (DTC) discussion paper. It also seems that the government felt the need to bring in these provisions in view of the Apex Court decisions in Vodafone.</w:t>
      </w:r>
    </w:p>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pStyle w:val="ListParagraph"/>
        <w:numPr>
          <w:ilvl w:val="0"/>
          <w:numId w:val="48"/>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Provisions of GAAR are invoked when assessee has entered into an “impermissible avoidance arrangement”. The main premise of invoking GAAR is that any transaction or step in a transaction which has one of its main purposes is to the obtain of a tax benefit, should be disregarded or dealt with in such a manner so as to protect the right of the revenue to taxes. In addition to obtaining the tax benefit, the arrangement should:</w:t>
      </w:r>
    </w:p>
    <w:p w:rsidR="00B415BC" w:rsidRPr="00497D67" w:rsidRDefault="00B415BC" w:rsidP="005C55E7">
      <w:pPr>
        <w:autoSpaceDE w:val="0"/>
        <w:autoSpaceDN w:val="0"/>
        <w:adjustRightInd w:val="0"/>
        <w:spacing w:after="0" w:line="240" w:lineRule="auto"/>
        <w:ind w:left="1080"/>
        <w:jc w:val="both"/>
        <w:rPr>
          <w:rFonts w:ascii="Arial" w:hAnsi="Arial" w:cs="Arial"/>
          <w:sz w:val="20"/>
          <w:szCs w:val="20"/>
        </w:rPr>
      </w:pPr>
    </w:p>
    <w:p w:rsidR="00B415BC" w:rsidRPr="00497D67" w:rsidRDefault="00B415BC" w:rsidP="005C55E7">
      <w:pPr>
        <w:pStyle w:val="ListParagraph"/>
        <w:numPr>
          <w:ilvl w:val="0"/>
          <w:numId w:val="49"/>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Create rights and obligations, which are not normally created between parties dealing cat arm’s length.</w:t>
      </w:r>
    </w:p>
    <w:p w:rsidR="00B415BC" w:rsidRPr="00497D67" w:rsidRDefault="00B415BC" w:rsidP="005C55E7">
      <w:pPr>
        <w:pStyle w:val="ListParagraph"/>
        <w:numPr>
          <w:ilvl w:val="0"/>
          <w:numId w:val="49"/>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It results in misuse or abuse of provisions of tax laws.</w:t>
      </w:r>
    </w:p>
    <w:p w:rsidR="00B415BC" w:rsidRPr="00497D67" w:rsidRDefault="00B415BC" w:rsidP="005C55E7">
      <w:pPr>
        <w:pStyle w:val="ListParagraph"/>
        <w:numPr>
          <w:ilvl w:val="0"/>
          <w:numId w:val="49"/>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It lacks commercial substance or is deemed to lack commercial substance.</w:t>
      </w:r>
    </w:p>
    <w:p w:rsidR="00B415BC" w:rsidRPr="00497D67" w:rsidRDefault="00B415BC" w:rsidP="005C55E7">
      <w:pPr>
        <w:pStyle w:val="ListParagraph"/>
        <w:numPr>
          <w:ilvl w:val="0"/>
          <w:numId w:val="49"/>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Is carried out in a manner, which is normally not employed for bonafide purpose.</w:t>
      </w:r>
    </w:p>
    <w:p w:rsidR="00B415BC" w:rsidRPr="00497D67" w:rsidRDefault="00B415BC" w:rsidP="005C55E7">
      <w:pPr>
        <w:autoSpaceDE w:val="0"/>
        <w:autoSpaceDN w:val="0"/>
        <w:adjustRightInd w:val="0"/>
        <w:spacing w:after="0" w:line="240" w:lineRule="auto"/>
        <w:ind w:left="1440"/>
        <w:jc w:val="both"/>
        <w:rPr>
          <w:rFonts w:ascii="Arial" w:hAnsi="Arial" w:cs="Arial"/>
          <w:sz w:val="20"/>
          <w:szCs w:val="20"/>
        </w:rPr>
      </w:pPr>
    </w:p>
    <w:p w:rsidR="00F80455" w:rsidRPr="00497D67" w:rsidRDefault="00B415BC" w:rsidP="005C55E7">
      <w:pPr>
        <w:pStyle w:val="ListParagraph"/>
        <w:numPr>
          <w:ilvl w:val="0"/>
          <w:numId w:val="5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section also gives definition or situation where it will be deemed to lack</w:t>
      </w:r>
      <w:r w:rsidR="00F80455" w:rsidRPr="00497D67">
        <w:rPr>
          <w:rFonts w:ascii="Arial" w:hAnsi="Arial" w:cs="Arial"/>
          <w:sz w:val="20"/>
          <w:szCs w:val="20"/>
        </w:rPr>
        <w:t xml:space="preserve"> commercial substance which are as under:</w:t>
      </w:r>
    </w:p>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1"/>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the substance or effect of the arrangement as a whole, is inconsistent with, or differs significantly from, the form of its individual steps or a part; or</w:t>
      </w:r>
    </w:p>
    <w:p w:rsidR="00F80455" w:rsidRPr="00497D67" w:rsidRDefault="00F80455" w:rsidP="005C55E7">
      <w:pPr>
        <w:pStyle w:val="ListParagraph"/>
        <w:numPr>
          <w:ilvl w:val="0"/>
          <w:numId w:val="51"/>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it involves or includes -</w:t>
      </w:r>
    </w:p>
    <w:p w:rsidR="00F80455" w:rsidRPr="00497D67" w:rsidRDefault="00F80455" w:rsidP="005C55E7">
      <w:pPr>
        <w:pStyle w:val="ListParagraph"/>
        <w:numPr>
          <w:ilvl w:val="0"/>
          <w:numId w:val="52"/>
        </w:num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round trip financing;</w:t>
      </w:r>
    </w:p>
    <w:p w:rsidR="00F80455" w:rsidRPr="00497D67" w:rsidRDefault="00F80455" w:rsidP="005C55E7">
      <w:pPr>
        <w:pStyle w:val="ListParagraph"/>
        <w:numPr>
          <w:ilvl w:val="0"/>
          <w:numId w:val="52"/>
        </w:num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an accommodating party ;</w:t>
      </w:r>
    </w:p>
    <w:p w:rsidR="00F80455" w:rsidRPr="00497D67" w:rsidRDefault="00F80455" w:rsidP="005C55E7">
      <w:pPr>
        <w:pStyle w:val="ListParagraph"/>
        <w:numPr>
          <w:ilvl w:val="0"/>
          <w:numId w:val="52"/>
        </w:num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elements that have effect of offsetting or cancelling each other; or</w:t>
      </w:r>
    </w:p>
    <w:p w:rsidR="00F80455" w:rsidRPr="00497D67" w:rsidRDefault="00F80455" w:rsidP="005C55E7">
      <w:pPr>
        <w:pStyle w:val="ListParagraph"/>
        <w:numPr>
          <w:ilvl w:val="0"/>
          <w:numId w:val="52"/>
        </w:num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a transaction which is conducted through one or more persons and disguises the value, location, source, ownership or control of fund which is subject matter of such transaction; or</w:t>
      </w:r>
    </w:p>
    <w:p w:rsidR="00F80455" w:rsidRPr="00497D67" w:rsidRDefault="00F80455" w:rsidP="005C55E7">
      <w:pPr>
        <w:pStyle w:val="ListParagraph"/>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involves the location of an asset or of a transaction or of the place of residence of any party which would not have been so located for any substantial commercial purpose other than obtaining tax benefit for a party.</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section also clarifies that certain circumstances like period of existence of arrangement, taxes arising from arrangement, exit route, shall not be taken into account while determining ‘lack of commercial substance’ test for an arrangement.</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If GAAR is invoked the following consequences or any one of them can result:</w:t>
      </w:r>
    </w:p>
    <w:p w:rsidR="00F80455" w:rsidRPr="00497D67" w:rsidRDefault="00F80455" w:rsidP="005C55E7">
      <w:pPr>
        <w:pStyle w:val="ListParagraph"/>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Disregarding or combining any step of the arrangement.</w:t>
      </w: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Ignoring the arrangement for the purpose of taxation law.</w:t>
      </w: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Disregarding or combining any party to the arrangement.</w:t>
      </w: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Reallocating expenses and income between the parties to the arrangement.</w:t>
      </w: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Relocating place of residence of a party, or location of a transaction or situs of an asset to a place other than provided in the arrangement.</w:t>
      </w: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Considering or looking through the arrangement by disregarding any corporate structure.</w:t>
      </w:r>
    </w:p>
    <w:p w:rsidR="00F80455" w:rsidRPr="00497D67" w:rsidRDefault="00F80455" w:rsidP="005C55E7">
      <w:pPr>
        <w:pStyle w:val="ListParagraph"/>
        <w:numPr>
          <w:ilvl w:val="0"/>
          <w:numId w:val="5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Re-characterizing equity into debt, capital into revenue etc.</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If the arrangement falls in above category, the Assessing Officer may propose to invoke the GAAR provisions. To safeguard against the indiscriminate use of this power, the provisions make it necessary for an Assessing officer to refer the matter to Commissioner of Income-tax (CIT) and CIT shall hear the taxpayer and is of the opinion that provisions of GAAR are to be invoked, he shall refer the matter to collegiums of panel, consisting of three or more CITs. This collegiums will finally approve or disapprove application of GAAR provisions. If GAAR provisions are applied and assessee is aggrieved by it, the appeal shall lie to Income-tax Appellate Tribunal (ITAT).</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Board shall prescribe a scheme for regulating the condition and manner</w:t>
      </w:r>
    </w:p>
    <w:p w:rsidR="00F80455" w:rsidRPr="00497D67" w:rsidRDefault="00F80455" w:rsidP="005C55E7">
      <w:p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of application of these provisions.</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proposed enactment will be effective from 1st April 2013, and will accordingly apply in relation to the assessment year 2013-2014 and subsequent assessment years.</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autoSpaceDE w:val="0"/>
        <w:autoSpaceDN w:val="0"/>
        <w:adjustRightInd w:val="0"/>
        <w:spacing w:after="0" w:line="240" w:lineRule="auto"/>
        <w:jc w:val="both"/>
        <w:rPr>
          <w:rFonts w:ascii="Arial" w:hAnsi="Arial" w:cs="Arial"/>
          <w:b/>
          <w:sz w:val="20"/>
          <w:szCs w:val="20"/>
        </w:rPr>
      </w:pPr>
    </w:p>
    <w:p w:rsidR="00F80455" w:rsidRPr="002A33A5" w:rsidRDefault="00F80455" w:rsidP="005C55E7">
      <w:pPr>
        <w:jc w:val="both"/>
        <w:rPr>
          <w:rFonts w:ascii="Arial" w:hAnsi="Arial" w:cs="Arial"/>
          <w:b/>
          <w:sz w:val="24"/>
          <w:szCs w:val="24"/>
        </w:rPr>
      </w:pPr>
      <w:bookmarkStart w:id="45" w:name="_I._Other_clarifications"/>
      <w:bookmarkEnd w:id="45"/>
      <w:r w:rsidRPr="00497D67">
        <w:rPr>
          <w:rFonts w:ascii="Arial" w:hAnsi="Arial" w:cs="Arial"/>
          <w:b/>
          <w:sz w:val="24"/>
          <w:szCs w:val="24"/>
        </w:rPr>
        <w:t>I. Other clarifications</w:t>
      </w:r>
    </w:p>
    <w:p w:rsidR="00F80455" w:rsidRPr="00497D67" w:rsidRDefault="00F80455" w:rsidP="005C55E7">
      <w:pPr>
        <w:jc w:val="both"/>
        <w:rPr>
          <w:rFonts w:ascii="Arial" w:hAnsi="Arial" w:cs="Arial"/>
          <w:b/>
          <w:sz w:val="20"/>
          <w:szCs w:val="20"/>
        </w:rPr>
      </w:pPr>
      <w:bookmarkStart w:id="46" w:name="_Extension_of_Time_2"/>
      <w:bookmarkEnd w:id="46"/>
      <w:r w:rsidRPr="00497D67">
        <w:rPr>
          <w:rFonts w:ascii="Arial" w:hAnsi="Arial" w:cs="Arial"/>
          <w:b/>
          <w:bCs/>
          <w:sz w:val="20"/>
          <w:szCs w:val="20"/>
        </w:rPr>
        <w:t xml:space="preserve">Extension of Time Limit for Completion </w:t>
      </w:r>
      <w:r w:rsidR="000E169C" w:rsidRPr="00497D67">
        <w:rPr>
          <w:rFonts w:ascii="Arial" w:hAnsi="Arial" w:cs="Arial"/>
          <w:b/>
          <w:bCs/>
          <w:sz w:val="20"/>
          <w:szCs w:val="20"/>
        </w:rPr>
        <w:t>of</w:t>
      </w:r>
      <w:r w:rsidRPr="00497D67">
        <w:rPr>
          <w:rFonts w:ascii="Arial" w:hAnsi="Arial" w:cs="Arial"/>
          <w:b/>
          <w:bCs/>
          <w:sz w:val="20"/>
          <w:szCs w:val="20"/>
        </w:rPr>
        <w:t xml:space="preserve"> Assessments </w:t>
      </w:r>
      <w:r w:rsidR="000E169C" w:rsidRPr="00497D67">
        <w:rPr>
          <w:rFonts w:ascii="Arial" w:hAnsi="Arial" w:cs="Arial"/>
          <w:b/>
          <w:bCs/>
          <w:sz w:val="20"/>
          <w:szCs w:val="20"/>
        </w:rPr>
        <w:t>and</w:t>
      </w:r>
      <w:r w:rsidRPr="00497D67">
        <w:rPr>
          <w:rFonts w:ascii="Arial" w:hAnsi="Arial" w:cs="Arial"/>
          <w:b/>
          <w:bCs/>
          <w:sz w:val="20"/>
          <w:szCs w:val="20"/>
        </w:rPr>
        <w:t xml:space="preserve"> Reassessments</w:t>
      </w:r>
    </w:p>
    <w:p w:rsidR="00F80455" w:rsidRPr="00497D67" w:rsidRDefault="00F80455" w:rsidP="005C55E7">
      <w:pPr>
        <w:autoSpaceDE w:val="0"/>
        <w:autoSpaceDN w:val="0"/>
        <w:adjustRightInd w:val="0"/>
        <w:spacing w:after="0" w:line="240" w:lineRule="auto"/>
        <w:jc w:val="both"/>
        <w:rPr>
          <w:rFonts w:ascii="Arial" w:hAnsi="Arial" w:cs="Arial"/>
          <w:b/>
          <w:sz w:val="20"/>
          <w:szCs w:val="20"/>
        </w:rPr>
      </w:pPr>
    </w:p>
    <w:p w:rsidR="00F80455" w:rsidRPr="00497D67" w:rsidRDefault="00F80455" w:rsidP="005C55E7">
      <w:pPr>
        <w:pStyle w:val="ListParagraph"/>
        <w:numPr>
          <w:ilvl w:val="0"/>
          <w:numId w:val="55"/>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It is proposed to revise the time limits for completion of assessments and reassessments, and also fresh assessments in set aside proceedings and increase the same by three months.</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p w:rsidR="00F80455" w:rsidRPr="00497D67" w:rsidRDefault="00F80455" w:rsidP="005C55E7">
      <w:pPr>
        <w:pStyle w:val="ListParagraph"/>
        <w:numPr>
          <w:ilvl w:val="0"/>
          <w:numId w:val="55"/>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In view of the above, the existing and the extended limit for completion of the proceedings are as under:</w:t>
      </w:r>
    </w:p>
    <w:p w:rsidR="00F80455" w:rsidRPr="00497D67" w:rsidRDefault="00F80455" w:rsidP="005C55E7">
      <w:pPr>
        <w:autoSpaceDE w:val="0"/>
        <w:autoSpaceDN w:val="0"/>
        <w:adjustRightInd w:val="0"/>
        <w:spacing w:after="0" w:line="240" w:lineRule="auto"/>
        <w:jc w:val="both"/>
        <w:rPr>
          <w:rFonts w:ascii="Arial" w:hAnsi="Arial" w:cs="Arial"/>
          <w:sz w:val="20"/>
          <w:szCs w:val="20"/>
        </w:rPr>
      </w:pPr>
    </w:p>
    <w:tbl>
      <w:tblPr>
        <w:tblStyle w:val="LightList-Accent5"/>
        <w:tblW w:w="9090" w:type="dxa"/>
        <w:tblInd w:w="108" w:type="dxa"/>
        <w:tblLook w:val="04A0"/>
      </w:tblPr>
      <w:tblGrid>
        <w:gridCol w:w="1727"/>
        <w:gridCol w:w="2831"/>
        <w:gridCol w:w="2468"/>
        <w:gridCol w:w="2064"/>
      </w:tblGrid>
      <w:tr w:rsidR="00965296" w:rsidRPr="00497D67" w:rsidTr="00E51DB9">
        <w:trPr>
          <w:cnfStyle w:val="100000000000"/>
          <w:trHeight w:val="214"/>
        </w:trPr>
        <w:tc>
          <w:tcPr>
            <w:cnfStyle w:val="001000000000"/>
            <w:tcW w:w="1727" w:type="dxa"/>
            <w:tcBorders>
              <w:left w:val="single" w:sz="4" w:space="0" w:color="CE5A1B" w:themeColor="accent5" w:themeShade="BF"/>
              <w:right w:val="single" w:sz="4" w:space="0" w:color="CE5A1B" w:themeColor="accent5" w:themeShade="BF"/>
            </w:tcBorders>
          </w:tcPr>
          <w:p w:rsidR="00965296" w:rsidRPr="00497D67" w:rsidRDefault="00965296" w:rsidP="005C55E7">
            <w:pPr>
              <w:pStyle w:val="ListParagraph"/>
              <w:autoSpaceDE w:val="0"/>
              <w:autoSpaceDN w:val="0"/>
              <w:adjustRightInd w:val="0"/>
              <w:ind w:left="0"/>
              <w:jc w:val="both"/>
              <w:rPr>
                <w:rFonts w:ascii="Arial" w:hAnsi="Arial" w:cs="Arial"/>
                <w:sz w:val="20"/>
                <w:szCs w:val="20"/>
              </w:rPr>
            </w:pPr>
            <w:r w:rsidRPr="00497D67">
              <w:rPr>
                <w:rFonts w:ascii="Arial" w:hAnsi="Arial" w:cs="Arial"/>
                <w:b w:val="0"/>
                <w:bCs w:val="0"/>
                <w:color w:val="FFFFFF"/>
                <w:sz w:val="20"/>
                <w:szCs w:val="20"/>
              </w:rPr>
              <w:t>Proceedings</w:t>
            </w:r>
          </w:p>
        </w:tc>
        <w:tc>
          <w:tcPr>
            <w:tcW w:w="2831" w:type="dxa"/>
            <w:tcBorders>
              <w:left w:val="single" w:sz="4" w:space="0" w:color="CE5A1B" w:themeColor="accent5" w:themeShade="BF"/>
              <w:right w:val="single" w:sz="4" w:space="0" w:color="CE5A1B" w:themeColor="accent5" w:themeShade="BF"/>
            </w:tcBorders>
          </w:tcPr>
          <w:p w:rsidR="00965296" w:rsidRPr="00497D67" w:rsidRDefault="00965296" w:rsidP="005C55E7">
            <w:pPr>
              <w:pStyle w:val="ListParagraph"/>
              <w:autoSpaceDE w:val="0"/>
              <w:autoSpaceDN w:val="0"/>
              <w:adjustRightInd w:val="0"/>
              <w:ind w:left="0"/>
              <w:jc w:val="both"/>
              <w:cnfStyle w:val="100000000000"/>
              <w:rPr>
                <w:rFonts w:ascii="Arial" w:hAnsi="Arial" w:cs="Arial"/>
                <w:b w:val="0"/>
                <w:bCs w:val="0"/>
                <w:color w:val="FFFFFF"/>
                <w:sz w:val="20"/>
                <w:szCs w:val="20"/>
              </w:rPr>
            </w:pPr>
            <w:r w:rsidRPr="00497D67">
              <w:rPr>
                <w:rFonts w:ascii="Arial" w:hAnsi="Arial" w:cs="Arial"/>
                <w:b w:val="0"/>
                <w:bCs w:val="0"/>
                <w:color w:val="FFFFFF"/>
                <w:sz w:val="20"/>
                <w:szCs w:val="20"/>
              </w:rPr>
              <w:t>Existing time limit</w:t>
            </w:r>
          </w:p>
          <w:p w:rsidR="00965296" w:rsidRPr="00497D67" w:rsidRDefault="00965296" w:rsidP="005C55E7">
            <w:pPr>
              <w:pStyle w:val="ListParagraph"/>
              <w:autoSpaceDE w:val="0"/>
              <w:autoSpaceDN w:val="0"/>
              <w:adjustRightInd w:val="0"/>
              <w:ind w:left="0"/>
              <w:jc w:val="both"/>
              <w:cnfStyle w:val="100000000000"/>
              <w:rPr>
                <w:rFonts w:ascii="Arial" w:hAnsi="Arial" w:cs="Arial"/>
                <w:b w:val="0"/>
                <w:bCs w:val="0"/>
                <w:color w:val="FFFFFF"/>
                <w:sz w:val="20"/>
                <w:szCs w:val="20"/>
              </w:rPr>
            </w:pPr>
          </w:p>
        </w:tc>
        <w:tc>
          <w:tcPr>
            <w:tcW w:w="2468" w:type="dxa"/>
            <w:tcBorders>
              <w:left w:val="single" w:sz="4" w:space="0" w:color="CE5A1B" w:themeColor="accent5" w:themeShade="BF"/>
              <w:right w:val="single" w:sz="4" w:space="0" w:color="CE5A1B" w:themeColor="accent5" w:themeShade="BF"/>
            </w:tcBorders>
          </w:tcPr>
          <w:p w:rsidR="00965296" w:rsidRPr="00497D67" w:rsidRDefault="00965296" w:rsidP="005C55E7">
            <w:pPr>
              <w:pStyle w:val="ListParagraph"/>
              <w:autoSpaceDE w:val="0"/>
              <w:autoSpaceDN w:val="0"/>
              <w:adjustRightInd w:val="0"/>
              <w:ind w:left="0"/>
              <w:jc w:val="both"/>
              <w:cnfStyle w:val="100000000000"/>
              <w:rPr>
                <w:rFonts w:ascii="Arial" w:hAnsi="Arial" w:cs="Arial"/>
                <w:b w:val="0"/>
                <w:bCs w:val="0"/>
                <w:color w:val="FFFFFF"/>
                <w:sz w:val="20"/>
                <w:szCs w:val="20"/>
              </w:rPr>
            </w:pPr>
            <w:r w:rsidRPr="00497D67">
              <w:rPr>
                <w:rFonts w:ascii="Arial" w:hAnsi="Arial" w:cs="Arial"/>
                <w:b w:val="0"/>
                <w:bCs w:val="0"/>
                <w:color w:val="FFFFFF"/>
                <w:sz w:val="20"/>
                <w:szCs w:val="20"/>
              </w:rPr>
              <w:t>Extended time limit</w:t>
            </w:r>
          </w:p>
          <w:p w:rsidR="00965296" w:rsidRPr="00497D67" w:rsidRDefault="00965296" w:rsidP="005C55E7">
            <w:pPr>
              <w:pStyle w:val="ListParagraph"/>
              <w:autoSpaceDE w:val="0"/>
              <w:autoSpaceDN w:val="0"/>
              <w:adjustRightInd w:val="0"/>
              <w:ind w:left="0"/>
              <w:jc w:val="both"/>
              <w:cnfStyle w:val="100000000000"/>
              <w:rPr>
                <w:rFonts w:ascii="Arial" w:hAnsi="Arial" w:cs="Arial"/>
                <w:b w:val="0"/>
                <w:bCs w:val="0"/>
                <w:color w:val="FFFFFF"/>
                <w:sz w:val="20"/>
                <w:szCs w:val="20"/>
              </w:rPr>
            </w:pPr>
          </w:p>
        </w:tc>
        <w:tc>
          <w:tcPr>
            <w:tcW w:w="2064" w:type="dxa"/>
            <w:tcBorders>
              <w:left w:val="single" w:sz="4" w:space="0" w:color="CE5A1B" w:themeColor="accent5" w:themeShade="BF"/>
            </w:tcBorders>
          </w:tcPr>
          <w:p w:rsidR="00965296" w:rsidRPr="00497D67" w:rsidRDefault="00965296" w:rsidP="005C55E7">
            <w:pPr>
              <w:pStyle w:val="ListParagraph"/>
              <w:autoSpaceDE w:val="0"/>
              <w:autoSpaceDN w:val="0"/>
              <w:adjustRightInd w:val="0"/>
              <w:ind w:left="0"/>
              <w:jc w:val="both"/>
              <w:cnfStyle w:val="100000000000"/>
              <w:rPr>
                <w:rFonts w:ascii="Arial" w:hAnsi="Arial" w:cs="Arial"/>
                <w:b w:val="0"/>
                <w:bCs w:val="0"/>
                <w:color w:val="FFFFFF"/>
                <w:sz w:val="20"/>
                <w:szCs w:val="20"/>
              </w:rPr>
            </w:pPr>
            <w:r w:rsidRPr="00497D67">
              <w:rPr>
                <w:rFonts w:ascii="Arial" w:hAnsi="Arial" w:cs="Arial"/>
                <w:b w:val="0"/>
                <w:bCs w:val="0"/>
                <w:color w:val="FFFFFF"/>
                <w:sz w:val="20"/>
                <w:szCs w:val="20"/>
              </w:rPr>
              <w:t>Remarks</w:t>
            </w:r>
          </w:p>
        </w:tc>
      </w:tr>
      <w:tr w:rsidR="00965296" w:rsidRPr="00497D67" w:rsidTr="00E51DB9">
        <w:trPr>
          <w:cnfStyle w:val="000000100000"/>
        </w:trPr>
        <w:tc>
          <w:tcPr>
            <w:cnfStyle w:val="001000000000"/>
            <w:tcW w:w="1727" w:type="dxa"/>
            <w:tcBorders>
              <w:left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Assessment under</w:t>
            </w:r>
          </w:p>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Section 143</w:t>
            </w:r>
          </w:p>
        </w:tc>
        <w:tc>
          <w:tcPr>
            <w:tcW w:w="2831" w:type="dxa"/>
            <w:tcBorders>
              <w:left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21 months from the end of the assessment year</w:t>
            </w:r>
          </w:p>
          <w:p w:rsidR="00965296" w:rsidRPr="00497D67" w:rsidRDefault="00965296" w:rsidP="005C55E7">
            <w:pPr>
              <w:autoSpaceDE w:val="0"/>
              <w:autoSpaceDN w:val="0"/>
              <w:adjustRightInd w:val="0"/>
              <w:jc w:val="both"/>
              <w:cnfStyle w:val="000000100000"/>
              <w:rPr>
                <w:rFonts w:ascii="Arial" w:hAnsi="Arial" w:cs="Arial"/>
                <w:b/>
                <w:bCs/>
                <w:sz w:val="18"/>
                <w:szCs w:val="18"/>
              </w:rPr>
            </w:pPr>
            <w:r w:rsidRPr="00497D67">
              <w:rPr>
                <w:rFonts w:ascii="Arial" w:hAnsi="Arial" w:cs="Arial"/>
                <w:sz w:val="18"/>
                <w:szCs w:val="18"/>
              </w:rPr>
              <w:t>(r.w First proviso)</w:t>
            </w:r>
          </w:p>
        </w:tc>
        <w:tc>
          <w:tcPr>
            <w:tcW w:w="2468" w:type="dxa"/>
            <w:tcBorders>
              <w:left w:val="single" w:sz="4" w:space="0" w:color="CE5A1B" w:themeColor="accent5" w:themeShade="BF"/>
              <w:right w:val="single" w:sz="4" w:space="0" w:color="CE5A1B" w:themeColor="accent5" w:themeShade="BF"/>
            </w:tcBorders>
          </w:tcPr>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24 months from the end of the assessment year</w:t>
            </w:r>
          </w:p>
          <w:p w:rsidR="00965296" w:rsidRPr="00497D67" w:rsidRDefault="00965296" w:rsidP="005C55E7">
            <w:pPr>
              <w:autoSpaceDE w:val="0"/>
              <w:autoSpaceDN w:val="0"/>
              <w:adjustRightInd w:val="0"/>
              <w:jc w:val="both"/>
              <w:cnfStyle w:val="000000100000"/>
              <w:rPr>
                <w:rFonts w:ascii="Arial" w:hAnsi="Arial" w:cs="Arial"/>
                <w:b/>
                <w:bCs/>
                <w:sz w:val="20"/>
                <w:szCs w:val="20"/>
              </w:rPr>
            </w:pPr>
          </w:p>
        </w:tc>
        <w:tc>
          <w:tcPr>
            <w:tcW w:w="2064" w:type="dxa"/>
            <w:tcBorders>
              <w:left w:val="single" w:sz="4" w:space="0" w:color="CE5A1B" w:themeColor="accent5" w:themeShade="BF"/>
            </w:tcBorders>
          </w:tcPr>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First proviso now amended</w:t>
            </w:r>
          </w:p>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to apply to AYs 2004-05 to AY2009-10. In view of the</w:t>
            </w:r>
          </w:p>
          <w:p w:rsidR="00965296"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same, for assessments for AY2010-11 onwards, the original time limit of two years specified under subsection 1, clause (a) would be applicable</w:t>
            </w:r>
          </w:p>
        </w:tc>
      </w:tr>
      <w:tr w:rsidR="00965296" w:rsidRPr="00497D67" w:rsidTr="00E51DB9">
        <w:tc>
          <w:tcPr>
            <w:cnfStyle w:val="001000000000"/>
            <w:tcW w:w="1727" w:type="dxa"/>
            <w:tcBorders>
              <w:left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Assessment under</w:t>
            </w:r>
          </w:p>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Section 143 and</w:t>
            </w:r>
          </w:p>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reference under</w:t>
            </w:r>
          </w:p>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Section 92CA</w:t>
            </w:r>
          </w:p>
        </w:tc>
        <w:tc>
          <w:tcPr>
            <w:tcW w:w="2831" w:type="dxa"/>
            <w:tcBorders>
              <w:left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33 months from the end of the assessment year</w:t>
            </w:r>
          </w:p>
          <w:p w:rsidR="00965296" w:rsidRPr="00497D67" w:rsidRDefault="00965296"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(r.w second proviso)</w:t>
            </w:r>
          </w:p>
        </w:tc>
        <w:tc>
          <w:tcPr>
            <w:tcW w:w="2468" w:type="dxa"/>
            <w:tcBorders>
              <w:left w:val="single" w:sz="4" w:space="0" w:color="CE5A1B" w:themeColor="accent5" w:themeShade="BF"/>
              <w:right w:val="single" w:sz="4" w:space="0" w:color="CE5A1B" w:themeColor="accent5" w:themeShade="BF"/>
            </w:tcBorders>
          </w:tcPr>
          <w:p w:rsidR="00965296" w:rsidRPr="00497D67" w:rsidRDefault="00E51DB9" w:rsidP="005C55E7">
            <w:pPr>
              <w:autoSpaceDE w:val="0"/>
              <w:autoSpaceDN w:val="0"/>
              <w:adjustRightInd w:val="0"/>
              <w:jc w:val="both"/>
              <w:cnfStyle w:val="000000000000"/>
              <w:rPr>
                <w:rFonts w:ascii="Arial" w:hAnsi="Arial" w:cs="Arial"/>
                <w:sz w:val="16"/>
                <w:szCs w:val="16"/>
              </w:rPr>
            </w:pPr>
            <w:r w:rsidRPr="00497D67">
              <w:rPr>
                <w:rFonts w:ascii="Arial" w:hAnsi="Arial" w:cs="Arial"/>
                <w:sz w:val="16"/>
                <w:szCs w:val="16"/>
              </w:rPr>
              <w:t>36 months from the end of the assessment year</w:t>
            </w:r>
          </w:p>
        </w:tc>
        <w:tc>
          <w:tcPr>
            <w:tcW w:w="2064" w:type="dxa"/>
            <w:tcBorders>
              <w:left w:val="single" w:sz="4" w:space="0" w:color="CE5A1B" w:themeColor="accent5" w:themeShade="BF"/>
            </w:tcBorders>
          </w:tcPr>
          <w:p w:rsidR="00E51DB9" w:rsidRPr="00497D67" w:rsidRDefault="00E51DB9" w:rsidP="005C55E7">
            <w:pPr>
              <w:autoSpaceDE w:val="0"/>
              <w:autoSpaceDN w:val="0"/>
              <w:adjustRightInd w:val="0"/>
              <w:jc w:val="both"/>
              <w:cnfStyle w:val="000000000000"/>
              <w:rPr>
                <w:rFonts w:ascii="Arial" w:hAnsi="Arial" w:cs="Arial"/>
                <w:sz w:val="16"/>
                <w:szCs w:val="16"/>
              </w:rPr>
            </w:pPr>
            <w:r w:rsidRPr="00497D67">
              <w:rPr>
                <w:rFonts w:ascii="Arial" w:hAnsi="Arial" w:cs="Arial"/>
                <w:sz w:val="16"/>
                <w:szCs w:val="16"/>
              </w:rPr>
              <w:t>Second proviso now amended to apply to AY 2005-06 to AY2008-09. In view of this, for AY2009-10 onwards the time limit of36</w:t>
            </w:r>
          </w:p>
          <w:p w:rsidR="00965296" w:rsidRPr="00497D67" w:rsidRDefault="00E51DB9" w:rsidP="005C55E7">
            <w:pPr>
              <w:autoSpaceDE w:val="0"/>
              <w:autoSpaceDN w:val="0"/>
              <w:adjustRightInd w:val="0"/>
              <w:jc w:val="both"/>
              <w:cnfStyle w:val="000000000000"/>
              <w:rPr>
                <w:rFonts w:ascii="Arial" w:hAnsi="Arial" w:cs="Arial"/>
                <w:sz w:val="16"/>
                <w:szCs w:val="16"/>
              </w:rPr>
            </w:pPr>
            <w:r w:rsidRPr="00497D67">
              <w:rPr>
                <w:rFonts w:ascii="Arial" w:hAnsi="Arial" w:cs="Arial"/>
                <w:sz w:val="16"/>
                <w:szCs w:val="16"/>
              </w:rPr>
              <w:t>months would apply</w:t>
            </w:r>
          </w:p>
        </w:tc>
      </w:tr>
      <w:tr w:rsidR="00965296" w:rsidRPr="00497D67" w:rsidTr="00E51DB9">
        <w:trPr>
          <w:cnfStyle w:val="000000100000"/>
        </w:trPr>
        <w:tc>
          <w:tcPr>
            <w:cnfStyle w:val="001000000000"/>
            <w:tcW w:w="1727" w:type="dxa"/>
            <w:tcBorders>
              <w:left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Assessment under</w:t>
            </w:r>
          </w:p>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sz w:val="18"/>
                <w:szCs w:val="18"/>
              </w:rPr>
              <w:t>Section 147</w:t>
            </w:r>
          </w:p>
        </w:tc>
        <w:tc>
          <w:tcPr>
            <w:tcW w:w="2831" w:type="dxa"/>
            <w:tcBorders>
              <w:left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9 months from the end of the Financial year in which notice is issued</w:t>
            </w:r>
          </w:p>
          <w:p w:rsidR="00965296" w:rsidRPr="00497D67" w:rsidRDefault="00965296" w:rsidP="005C55E7">
            <w:pPr>
              <w:autoSpaceDE w:val="0"/>
              <w:autoSpaceDN w:val="0"/>
              <w:adjustRightInd w:val="0"/>
              <w:jc w:val="both"/>
              <w:cnfStyle w:val="000000100000"/>
              <w:rPr>
                <w:rFonts w:ascii="Arial" w:hAnsi="Arial" w:cs="Arial"/>
                <w:sz w:val="18"/>
                <w:szCs w:val="18"/>
              </w:rPr>
            </w:pPr>
            <w:r w:rsidRPr="00497D67">
              <w:rPr>
                <w:rFonts w:ascii="Arial" w:hAnsi="Arial" w:cs="Arial"/>
                <w:sz w:val="18"/>
                <w:szCs w:val="18"/>
              </w:rPr>
              <w:t>(r.w second proviso)</w:t>
            </w:r>
          </w:p>
        </w:tc>
        <w:tc>
          <w:tcPr>
            <w:tcW w:w="2468" w:type="dxa"/>
            <w:tcBorders>
              <w:left w:val="single" w:sz="4" w:space="0" w:color="CE5A1B" w:themeColor="accent5" w:themeShade="BF"/>
              <w:right w:val="single" w:sz="4" w:space="0" w:color="CE5A1B" w:themeColor="accent5" w:themeShade="BF"/>
            </w:tcBorders>
          </w:tcPr>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12 months from the end of the Financial year in which notice is</w:t>
            </w:r>
          </w:p>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issued</w:t>
            </w:r>
          </w:p>
          <w:p w:rsidR="00965296" w:rsidRPr="00497D67" w:rsidRDefault="00965296" w:rsidP="005C55E7">
            <w:pPr>
              <w:autoSpaceDE w:val="0"/>
              <w:autoSpaceDN w:val="0"/>
              <w:adjustRightInd w:val="0"/>
              <w:jc w:val="both"/>
              <w:cnfStyle w:val="000000100000"/>
              <w:rPr>
                <w:rFonts w:ascii="Arial" w:hAnsi="Arial" w:cs="Arial"/>
                <w:b/>
                <w:bCs/>
                <w:sz w:val="20"/>
                <w:szCs w:val="20"/>
              </w:rPr>
            </w:pPr>
          </w:p>
        </w:tc>
        <w:tc>
          <w:tcPr>
            <w:tcW w:w="2064" w:type="dxa"/>
            <w:tcBorders>
              <w:left w:val="single" w:sz="4" w:space="0" w:color="CE5A1B" w:themeColor="accent5" w:themeShade="BF"/>
            </w:tcBorders>
          </w:tcPr>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Second proviso now amended to apply to AY 2005-06 to AY</w:t>
            </w:r>
          </w:p>
          <w:p w:rsidR="00E51DB9"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2010-11. In view of the same for AY2011-12 onwards, the original</w:t>
            </w:r>
          </w:p>
          <w:p w:rsidR="00965296" w:rsidRPr="00497D67" w:rsidRDefault="00E51DB9" w:rsidP="005C55E7">
            <w:pPr>
              <w:autoSpaceDE w:val="0"/>
              <w:autoSpaceDN w:val="0"/>
              <w:adjustRightInd w:val="0"/>
              <w:jc w:val="both"/>
              <w:cnfStyle w:val="000000100000"/>
              <w:rPr>
                <w:rFonts w:ascii="Arial" w:hAnsi="Arial" w:cs="Arial"/>
                <w:sz w:val="16"/>
                <w:szCs w:val="16"/>
              </w:rPr>
            </w:pPr>
            <w:r w:rsidRPr="00497D67">
              <w:rPr>
                <w:rFonts w:ascii="Arial" w:hAnsi="Arial" w:cs="Arial"/>
                <w:sz w:val="16"/>
                <w:szCs w:val="16"/>
              </w:rPr>
              <w:t xml:space="preserve">time limit of one year </w:t>
            </w:r>
            <w:r w:rsidRPr="00497D67">
              <w:rPr>
                <w:rFonts w:ascii="Arial" w:hAnsi="Arial" w:cs="Arial"/>
                <w:sz w:val="16"/>
                <w:szCs w:val="16"/>
              </w:rPr>
              <w:lastRenderedPageBreak/>
              <w:t>specified under subsection 2, clause (a) would be applicable</w:t>
            </w:r>
          </w:p>
        </w:tc>
      </w:tr>
      <w:tr w:rsidR="00965296" w:rsidRPr="00497D67" w:rsidTr="00E51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cnfStyle w:val="000010000000"/>
            <w:tcW w:w="1727" w:type="dxa"/>
            <w:tcBorders>
              <w:left w:val="single" w:sz="4" w:space="0" w:color="CE5A1B" w:themeColor="accent5" w:themeShade="BF"/>
              <w:bottom w:val="single" w:sz="4" w:space="0" w:color="CE5A1B" w:themeColor="accent5" w:themeShade="BF"/>
              <w:right w:val="single" w:sz="4" w:space="0" w:color="CE5A1B" w:themeColor="accent5" w:themeShade="BF"/>
            </w:tcBorders>
          </w:tcPr>
          <w:p w:rsidR="00965296" w:rsidRPr="00497D67" w:rsidRDefault="00965296" w:rsidP="005C55E7">
            <w:pPr>
              <w:autoSpaceDE w:val="0"/>
              <w:autoSpaceDN w:val="0"/>
              <w:adjustRightInd w:val="0"/>
              <w:jc w:val="both"/>
              <w:rPr>
                <w:rFonts w:ascii="Arial" w:hAnsi="Arial" w:cs="Arial"/>
                <w:b/>
                <w:sz w:val="18"/>
                <w:szCs w:val="18"/>
              </w:rPr>
            </w:pPr>
            <w:r w:rsidRPr="00497D67">
              <w:rPr>
                <w:rFonts w:ascii="Arial" w:hAnsi="Arial" w:cs="Arial"/>
                <w:b/>
                <w:sz w:val="18"/>
                <w:szCs w:val="18"/>
              </w:rPr>
              <w:lastRenderedPageBreak/>
              <w:t>Assessment under</w:t>
            </w:r>
          </w:p>
          <w:p w:rsidR="00965296" w:rsidRPr="00497D67" w:rsidRDefault="00965296" w:rsidP="005C55E7">
            <w:pPr>
              <w:autoSpaceDE w:val="0"/>
              <w:autoSpaceDN w:val="0"/>
              <w:adjustRightInd w:val="0"/>
              <w:jc w:val="both"/>
              <w:rPr>
                <w:rFonts w:ascii="Arial" w:hAnsi="Arial" w:cs="Arial"/>
                <w:b/>
                <w:sz w:val="18"/>
                <w:szCs w:val="18"/>
              </w:rPr>
            </w:pPr>
            <w:r w:rsidRPr="00497D67">
              <w:rPr>
                <w:rFonts w:ascii="Arial" w:hAnsi="Arial" w:cs="Arial"/>
                <w:b/>
                <w:sz w:val="18"/>
                <w:szCs w:val="18"/>
              </w:rPr>
              <w:t>Section 147 and</w:t>
            </w:r>
          </w:p>
          <w:p w:rsidR="00965296" w:rsidRPr="00497D67" w:rsidRDefault="00965296" w:rsidP="005C55E7">
            <w:pPr>
              <w:autoSpaceDE w:val="0"/>
              <w:autoSpaceDN w:val="0"/>
              <w:adjustRightInd w:val="0"/>
              <w:jc w:val="both"/>
              <w:rPr>
                <w:rFonts w:ascii="Arial" w:hAnsi="Arial" w:cs="Arial"/>
                <w:b/>
                <w:sz w:val="18"/>
                <w:szCs w:val="18"/>
              </w:rPr>
            </w:pPr>
            <w:r w:rsidRPr="00497D67">
              <w:rPr>
                <w:rFonts w:ascii="Arial" w:hAnsi="Arial" w:cs="Arial"/>
                <w:b/>
                <w:sz w:val="18"/>
                <w:szCs w:val="18"/>
              </w:rPr>
              <w:t>reference under</w:t>
            </w:r>
          </w:p>
          <w:p w:rsidR="00965296" w:rsidRPr="00497D67" w:rsidRDefault="00965296" w:rsidP="005C55E7">
            <w:pPr>
              <w:autoSpaceDE w:val="0"/>
              <w:autoSpaceDN w:val="0"/>
              <w:adjustRightInd w:val="0"/>
              <w:jc w:val="both"/>
              <w:rPr>
                <w:rFonts w:ascii="Arial" w:hAnsi="Arial" w:cs="Arial"/>
                <w:b/>
                <w:sz w:val="18"/>
                <w:szCs w:val="18"/>
              </w:rPr>
            </w:pPr>
            <w:r w:rsidRPr="00497D67">
              <w:rPr>
                <w:rFonts w:ascii="Arial" w:hAnsi="Arial" w:cs="Arial"/>
                <w:b/>
                <w:sz w:val="18"/>
                <w:szCs w:val="18"/>
              </w:rPr>
              <w:t>Section</w:t>
            </w:r>
          </w:p>
          <w:p w:rsidR="00965296" w:rsidRPr="00497D67" w:rsidRDefault="00965296" w:rsidP="005C55E7">
            <w:pPr>
              <w:autoSpaceDE w:val="0"/>
              <w:autoSpaceDN w:val="0"/>
              <w:adjustRightInd w:val="0"/>
              <w:jc w:val="both"/>
              <w:rPr>
                <w:rFonts w:ascii="Arial" w:hAnsi="Arial" w:cs="Arial"/>
                <w:sz w:val="18"/>
                <w:szCs w:val="18"/>
              </w:rPr>
            </w:pPr>
            <w:r w:rsidRPr="00497D67">
              <w:rPr>
                <w:rFonts w:ascii="Arial" w:hAnsi="Arial" w:cs="Arial"/>
                <w:b/>
                <w:sz w:val="18"/>
                <w:szCs w:val="18"/>
              </w:rPr>
              <w:t>92CA</w:t>
            </w:r>
          </w:p>
          <w:p w:rsidR="00965296" w:rsidRPr="00497D67" w:rsidRDefault="00965296" w:rsidP="005C55E7">
            <w:pPr>
              <w:autoSpaceDE w:val="0"/>
              <w:autoSpaceDN w:val="0"/>
              <w:adjustRightInd w:val="0"/>
              <w:ind w:left="108"/>
              <w:jc w:val="both"/>
              <w:rPr>
                <w:rFonts w:ascii="Arial" w:hAnsi="Arial" w:cs="Arial"/>
                <w:sz w:val="18"/>
                <w:szCs w:val="18"/>
              </w:rPr>
            </w:pPr>
          </w:p>
        </w:tc>
        <w:tc>
          <w:tcPr>
            <w:tcW w:w="2831" w:type="dxa"/>
            <w:tcBorders>
              <w:left w:val="single" w:sz="4" w:space="0" w:color="CE5A1B" w:themeColor="accent5" w:themeShade="BF"/>
              <w:bottom w:val="single" w:sz="4" w:space="0" w:color="CE5A1B" w:themeColor="accent5" w:themeShade="BF"/>
              <w:right w:val="single" w:sz="4" w:space="0" w:color="CE5A1B" w:themeColor="accent5" w:themeShade="BF"/>
            </w:tcBorders>
          </w:tcPr>
          <w:p w:rsidR="00965296" w:rsidRPr="00497D67" w:rsidRDefault="00965296" w:rsidP="005C55E7">
            <w:pPr>
              <w:jc w:val="both"/>
              <w:cnfStyle w:val="000000000000"/>
              <w:rPr>
                <w:rFonts w:ascii="Arial" w:hAnsi="Arial" w:cs="Arial"/>
                <w:sz w:val="18"/>
                <w:szCs w:val="18"/>
              </w:rPr>
            </w:pPr>
            <w:r w:rsidRPr="00497D67">
              <w:rPr>
                <w:rFonts w:ascii="Arial" w:hAnsi="Arial" w:cs="Arial"/>
                <w:sz w:val="18"/>
                <w:szCs w:val="18"/>
              </w:rPr>
              <w:t>21 months from the end of the Financial year in which notice is issued</w:t>
            </w:r>
          </w:p>
          <w:p w:rsidR="00965296" w:rsidRPr="00497D67" w:rsidRDefault="00965296" w:rsidP="005C55E7">
            <w:pPr>
              <w:autoSpaceDE w:val="0"/>
              <w:autoSpaceDN w:val="0"/>
              <w:adjustRightInd w:val="0"/>
              <w:jc w:val="both"/>
              <w:cnfStyle w:val="000000000000"/>
              <w:rPr>
                <w:rFonts w:ascii="Arial" w:hAnsi="Arial" w:cs="Arial"/>
                <w:sz w:val="18"/>
                <w:szCs w:val="18"/>
              </w:rPr>
            </w:pPr>
            <w:r w:rsidRPr="00497D67">
              <w:rPr>
                <w:rFonts w:ascii="Arial" w:hAnsi="Arial" w:cs="Arial"/>
                <w:sz w:val="18"/>
                <w:szCs w:val="18"/>
              </w:rPr>
              <w:t>(r.w third proviso</w:t>
            </w:r>
          </w:p>
        </w:tc>
        <w:tc>
          <w:tcPr>
            <w:cnfStyle w:val="000010000000"/>
            <w:tcW w:w="2468" w:type="dxa"/>
            <w:tcBorders>
              <w:left w:val="single" w:sz="4" w:space="0" w:color="CE5A1B" w:themeColor="accent5" w:themeShade="BF"/>
              <w:bottom w:val="single" w:sz="4" w:space="0" w:color="CE5A1B" w:themeColor="accent5" w:themeShade="BF"/>
              <w:right w:val="single" w:sz="4" w:space="0" w:color="CE5A1B" w:themeColor="accent5" w:themeShade="BF"/>
            </w:tcBorders>
          </w:tcPr>
          <w:p w:rsidR="00E51DB9" w:rsidRPr="00497D67" w:rsidRDefault="00E51DB9" w:rsidP="005C55E7">
            <w:pPr>
              <w:autoSpaceDE w:val="0"/>
              <w:autoSpaceDN w:val="0"/>
              <w:adjustRightInd w:val="0"/>
              <w:jc w:val="both"/>
              <w:rPr>
                <w:rFonts w:ascii="Arial" w:hAnsi="Arial" w:cs="Arial"/>
                <w:sz w:val="16"/>
                <w:szCs w:val="16"/>
              </w:rPr>
            </w:pPr>
            <w:r w:rsidRPr="00497D67">
              <w:rPr>
                <w:rFonts w:ascii="Arial" w:hAnsi="Arial" w:cs="Arial"/>
                <w:sz w:val="16"/>
                <w:szCs w:val="16"/>
              </w:rPr>
              <w:t>24 months from the end of the</w:t>
            </w:r>
          </w:p>
          <w:p w:rsidR="00E51DB9" w:rsidRPr="00497D67" w:rsidRDefault="00E51DB9" w:rsidP="005C55E7">
            <w:pPr>
              <w:autoSpaceDE w:val="0"/>
              <w:autoSpaceDN w:val="0"/>
              <w:adjustRightInd w:val="0"/>
              <w:jc w:val="both"/>
              <w:rPr>
                <w:rFonts w:ascii="Arial" w:hAnsi="Arial" w:cs="Arial"/>
                <w:sz w:val="16"/>
                <w:szCs w:val="16"/>
              </w:rPr>
            </w:pPr>
            <w:r w:rsidRPr="00497D67">
              <w:rPr>
                <w:rFonts w:ascii="Arial" w:hAnsi="Arial" w:cs="Arial"/>
                <w:sz w:val="16"/>
                <w:szCs w:val="16"/>
              </w:rPr>
              <w:t>Financial year in which notice is</w:t>
            </w:r>
          </w:p>
          <w:p w:rsidR="00E51DB9" w:rsidRPr="00497D67" w:rsidRDefault="00E51DB9" w:rsidP="005C55E7">
            <w:pPr>
              <w:jc w:val="both"/>
              <w:rPr>
                <w:rFonts w:ascii="Arial" w:hAnsi="Arial" w:cs="Arial"/>
                <w:sz w:val="20"/>
                <w:szCs w:val="20"/>
              </w:rPr>
            </w:pPr>
            <w:r w:rsidRPr="00497D67">
              <w:rPr>
                <w:rFonts w:ascii="Arial" w:hAnsi="Arial" w:cs="Arial"/>
                <w:sz w:val="16"/>
                <w:szCs w:val="16"/>
              </w:rPr>
              <w:t>issued</w:t>
            </w:r>
          </w:p>
          <w:p w:rsidR="00E51DB9" w:rsidRPr="00497D67" w:rsidRDefault="00E51DB9" w:rsidP="005C55E7">
            <w:pPr>
              <w:autoSpaceDE w:val="0"/>
              <w:autoSpaceDN w:val="0"/>
              <w:adjustRightInd w:val="0"/>
              <w:jc w:val="both"/>
              <w:rPr>
                <w:rFonts w:ascii="Arial" w:hAnsi="Arial" w:cs="Arial"/>
                <w:sz w:val="16"/>
                <w:szCs w:val="16"/>
              </w:rPr>
            </w:pPr>
          </w:p>
          <w:p w:rsidR="00965296" w:rsidRPr="00497D67" w:rsidRDefault="00965296" w:rsidP="005C55E7">
            <w:pPr>
              <w:autoSpaceDE w:val="0"/>
              <w:autoSpaceDN w:val="0"/>
              <w:adjustRightInd w:val="0"/>
              <w:jc w:val="both"/>
              <w:rPr>
                <w:rFonts w:ascii="Arial" w:hAnsi="Arial" w:cs="Arial"/>
                <w:sz w:val="20"/>
                <w:szCs w:val="20"/>
              </w:rPr>
            </w:pPr>
          </w:p>
        </w:tc>
        <w:tc>
          <w:tcPr>
            <w:tcW w:w="2064" w:type="dxa"/>
            <w:tcBorders>
              <w:left w:val="single" w:sz="4" w:space="0" w:color="CE5A1B" w:themeColor="accent5" w:themeShade="BF"/>
              <w:bottom w:val="single" w:sz="4" w:space="0" w:color="CE5A1B" w:themeColor="accent5" w:themeShade="BF"/>
              <w:right w:val="single" w:sz="4" w:space="0" w:color="F1B696" w:themeColor="accent5" w:themeTint="99"/>
            </w:tcBorders>
          </w:tcPr>
          <w:p w:rsidR="00965296" w:rsidRPr="00497D67" w:rsidRDefault="00E51DB9" w:rsidP="005C55E7">
            <w:pPr>
              <w:autoSpaceDE w:val="0"/>
              <w:autoSpaceDN w:val="0"/>
              <w:adjustRightInd w:val="0"/>
              <w:jc w:val="both"/>
              <w:cnfStyle w:val="000000000000"/>
              <w:rPr>
                <w:rFonts w:ascii="Arial" w:hAnsi="Arial" w:cs="Arial"/>
                <w:sz w:val="16"/>
                <w:szCs w:val="16"/>
              </w:rPr>
            </w:pPr>
            <w:r w:rsidRPr="00497D67">
              <w:rPr>
                <w:rFonts w:ascii="Arial" w:hAnsi="Arial" w:cs="Arial"/>
                <w:sz w:val="16"/>
                <w:szCs w:val="16"/>
              </w:rPr>
              <w:t>Third proviso now amended to apply to AY 2006-07 to AY2009-10. In view of this, AY 2010-11 onwards the time limit of 24 months would apply</w:t>
            </w:r>
          </w:p>
        </w:tc>
      </w:tr>
    </w:tbl>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autoSpaceDE w:val="0"/>
        <w:autoSpaceDN w:val="0"/>
        <w:adjustRightInd w:val="0"/>
        <w:spacing w:after="0" w:line="240" w:lineRule="auto"/>
        <w:jc w:val="both"/>
        <w:rPr>
          <w:rFonts w:ascii="Arial" w:hAnsi="Arial" w:cs="Arial"/>
          <w:sz w:val="20"/>
          <w:szCs w:val="20"/>
        </w:rPr>
      </w:pPr>
    </w:p>
    <w:p w:rsidR="00B415BC" w:rsidRPr="00497D67" w:rsidRDefault="00E51DB9" w:rsidP="005C55E7">
      <w:pPr>
        <w:jc w:val="both"/>
        <w:rPr>
          <w:rFonts w:ascii="Arial" w:hAnsi="Arial" w:cs="Arial"/>
          <w:b/>
          <w:bCs/>
          <w:sz w:val="20"/>
          <w:szCs w:val="20"/>
        </w:rPr>
      </w:pPr>
      <w:bookmarkStart w:id="47" w:name="_Due_date_for"/>
      <w:bookmarkEnd w:id="47"/>
      <w:r w:rsidRPr="00497D67">
        <w:rPr>
          <w:rFonts w:ascii="Arial" w:hAnsi="Arial" w:cs="Arial"/>
          <w:b/>
          <w:bCs/>
          <w:sz w:val="20"/>
          <w:szCs w:val="20"/>
        </w:rPr>
        <w:t>Due date for furnishing audit report in case of international transactions</w:t>
      </w:r>
    </w:p>
    <w:p w:rsidR="00E51DB9" w:rsidRPr="00497D67" w:rsidRDefault="00E51DB9" w:rsidP="005C55E7">
      <w:pPr>
        <w:autoSpaceDE w:val="0"/>
        <w:autoSpaceDN w:val="0"/>
        <w:adjustRightInd w:val="0"/>
        <w:spacing w:after="0" w:line="240" w:lineRule="auto"/>
        <w:jc w:val="both"/>
        <w:rPr>
          <w:rFonts w:ascii="Arial" w:hAnsi="Arial" w:cs="Arial"/>
          <w:b/>
          <w:bCs/>
          <w:sz w:val="20"/>
          <w:szCs w:val="20"/>
        </w:rPr>
      </w:pPr>
    </w:p>
    <w:p w:rsidR="00E51DB9" w:rsidRPr="00497D67" w:rsidRDefault="00E51DB9" w:rsidP="005C55E7">
      <w:pPr>
        <w:pStyle w:val="ListParagraph"/>
        <w:numPr>
          <w:ilvl w:val="0"/>
          <w:numId w:val="5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Under the existing provisions, corporate assessees are required to file the return of income on or before 30</w:t>
      </w:r>
      <w:r w:rsidRPr="00497D67">
        <w:rPr>
          <w:rFonts w:ascii="Arial" w:hAnsi="Arial" w:cs="Arial"/>
          <w:sz w:val="12"/>
          <w:szCs w:val="12"/>
        </w:rPr>
        <w:t xml:space="preserve">th </w:t>
      </w:r>
      <w:r w:rsidRPr="00497D67">
        <w:rPr>
          <w:rFonts w:ascii="Arial" w:hAnsi="Arial" w:cs="Arial"/>
          <w:sz w:val="20"/>
          <w:szCs w:val="20"/>
        </w:rPr>
        <w:t>September of the assessment year.</w:t>
      </w:r>
    </w:p>
    <w:p w:rsidR="00E51DB9" w:rsidRPr="00497D67" w:rsidRDefault="00E51DB9" w:rsidP="005C55E7">
      <w:pPr>
        <w:autoSpaceDE w:val="0"/>
        <w:autoSpaceDN w:val="0"/>
        <w:adjustRightInd w:val="0"/>
        <w:spacing w:after="0" w:line="240" w:lineRule="auto"/>
        <w:jc w:val="both"/>
        <w:rPr>
          <w:rFonts w:ascii="Arial" w:hAnsi="Arial" w:cs="Arial"/>
          <w:sz w:val="20"/>
          <w:szCs w:val="20"/>
        </w:rPr>
      </w:pPr>
    </w:p>
    <w:p w:rsidR="00E51DB9" w:rsidRPr="00497D67" w:rsidRDefault="00E51DB9" w:rsidP="005C55E7">
      <w:pPr>
        <w:pStyle w:val="ListParagraph"/>
        <w:numPr>
          <w:ilvl w:val="0"/>
          <w:numId w:val="5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As per the Finance Act 2011 the due date for filing return of income for corporate assessees who have undertaken international transactions was extended from 30</w:t>
      </w:r>
      <w:r w:rsidRPr="00497D67">
        <w:rPr>
          <w:rFonts w:ascii="Arial" w:hAnsi="Arial" w:cs="Arial"/>
          <w:sz w:val="12"/>
          <w:szCs w:val="12"/>
        </w:rPr>
        <w:t xml:space="preserve">th </w:t>
      </w:r>
      <w:r w:rsidRPr="00497D67">
        <w:rPr>
          <w:rFonts w:ascii="Arial" w:hAnsi="Arial" w:cs="Arial"/>
          <w:sz w:val="20"/>
          <w:szCs w:val="20"/>
        </w:rPr>
        <w:t>September to 30</w:t>
      </w:r>
      <w:r w:rsidRPr="00497D67">
        <w:rPr>
          <w:rFonts w:ascii="Arial" w:hAnsi="Arial" w:cs="Arial"/>
          <w:sz w:val="12"/>
          <w:szCs w:val="12"/>
        </w:rPr>
        <w:t xml:space="preserve">th </w:t>
      </w:r>
      <w:r w:rsidRPr="00497D67">
        <w:rPr>
          <w:rFonts w:ascii="Arial" w:hAnsi="Arial" w:cs="Arial"/>
          <w:sz w:val="20"/>
          <w:szCs w:val="20"/>
        </w:rPr>
        <w:t>November. However the due date for furnishing of tax audit report was 30</w:t>
      </w:r>
      <w:r w:rsidRPr="00497D67">
        <w:rPr>
          <w:rFonts w:ascii="Arial" w:hAnsi="Arial" w:cs="Arial"/>
          <w:sz w:val="12"/>
          <w:szCs w:val="12"/>
        </w:rPr>
        <w:t xml:space="preserve">th </w:t>
      </w:r>
      <w:r w:rsidRPr="00497D67">
        <w:rPr>
          <w:rFonts w:ascii="Arial" w:hAnsi="Arial" w:cs="Arial"/>
          <w:sz w:val="20"/>
          <w:szCs w:val="20"/>
        </w:rPr>
        <w:t>September.</w:t>
      </w:r>
    </w:p>
    <w:p w:rsidR="00E51DB9" w:rsidRPr="00497D67" w:rsidRDefault="00E51DB9" w:rsidP="005C55E7">
      <w:pPr>
        <w:autoSpaceDE w:val="0"/>
        <w:autoSpaceDN w:val="0"/>
        <w:adjustRightInd w:val="0"/>
        <w:spacing w:after="0" w:line="240" w:lineRule="auto"/>
        <w:jc w:val="both"/>
        <w:rPr>
          <w:rFonts w:ascii="Arial" w:hAnsi="Arial" w:cs="Arial"/>
          <w:sz w:val="20"/>
          <w:szCs w:val="20"/>
        </w:rPr>
      </w:pPr>
    </w:p>
    <w:p w:rsidR="00E51DB9" w:rsidRPr="00497D67" w:rsidRDefault="00E51DB9" w:rsidP="005C55E7">
      <w:pPr>
        <w:pStyle w:val="ListParagraph"/>
        <w:numPr>
          <w:ilvl w:val="0"/>
          <w:numId w:val="5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order to align the due date for filing of return and furnishing of tax audit report u/s 44AB by the above category of corporate assessees, it has been proposed to extend the due date for furnishing of tax audit report from 30</w:t>
      </w:r>
      <w:r w:rsidRPr="00497D67">
        <w:rPr>
          <w:rFonts w:ascii="Arial" w:hAnsi="Arial" w:cs="Arial"/>
          <w:sz w:val="12"/>
          <w:szCs w:val="12"/>
        </w:rPr>
        <w:t>th</w:t>
      </w:r>
      <w:r w:rsidRPr="00497D67">
        <w:rPr>
          <w:rFonts w:ascii="Arial" w:hAnsi="Arial" w:cs="Arial"/>
          <w:sz w:val="20"/>
          <w:szCs w:val="20"/>
        </w:rPr>
        <w:t xml:space="preserve"> September to 30</w:t>
      </w:r>
      <w:r w:rsidRPr="00497D67">
        <w:rPr>
          <w:rFonts w:ascii="Arial" w:hAnsi="Arial" w:cs="Arial"/>
          <w:sz w:val="12"/>
          <w:szCs w:val="12"/>
        </w:rPr>
        <w:t xml:space="preserve">th </w:t>
      </w:r>
      <w:r w:rsidRPr="00497D67">
        <w:rPr>
          <w:rFonts w:ascii="Arial" w:hAnsi="Arial" w:cs="Arial"/>
          <w:sz w:val="20"/>
          <w:szCs w:val="20"/>
        </w:rPr>
        <w:t>November of the assessment year.</w:t>
      </w:r>
    </w:p>
    <w:p w:rsidR="00E51DB9" w:rsidRPr="00497D67" w:rsidRDefault="00E51DB9" w:rsidP="005C55E7">
      <w:pPr>
        <w:autoSpaceDE w:val="0"/>
        <w:autoSpaceDN w:val="0"/>
        <w:adjustRightInd w:val="0"/>
        <w:spacing w:after="0" w:line="240" w:lineRule="auto"/>
        <w:jc w:val="both"/>
        <w:rPr>
          <w:rFonts w:ascii="Arial" w:hAnsi="Arial" w:cs="Arial"/>
          <w:sz w:val="12"/>
          <w:szCs w:val="12"/>
        </w:rPr>
      </w:pPr>
    </w:p>
    <w:p w:rsidR="00E51DB9" w:rsidRPr="00497D67" w:rsidRDefault="00E51DB9" w:rsidP="005C55E7">
      <w:pPr>
        <w:autoSpaceDE w:val="0"/>
        <w:autoSpaceDN w:val="0"/>
        <w:adjustRightInd w:val="0"/>
        <w:spacing w:after="0" w:line="240" w:lineRule="auto"/>
        <w:jc w:val="both"/>
        <w:rPr>
          <w:rFonts w:ascii="Arial" w:hAnsi="Arial" w:cs="Arial"/>
          <w:sz w:val="20"/>
          <w:szCs w:val="20"/>
        </w:rPr>
      </w:pPr>
    </w:p>
    <w:p w:rsidR="00E51DB9" w:rsidRPr="00497D67" w:rsidRDefault="007B6691" w:rsidP="005C55E7">
      <w:pPr>
        <w:jc w:val="both"/>
        <w:rPr>
          <w:rFonts w:ascii="Arial" w:hAnsi="Arial" w:cs="Arial"/>
          <w:b/>
          <w:bCs/>
          <w:sz w:val="20"/>
          <w:szCs w:val="20"/>
        </w:rPr>
      </w:pPr>
      <w:bookmarkStart w:id="48" w:name="_Minimum_Alternate_Tax"/>
      <w:bookmarkEnd w:id="48"/>
      <w:r w:rsidRPr="00497D67">
        <w:rPr>
          <w:rFonts w:ascii="Arial" w:hAnsi="Arial" w:cs="Arial"/>
          <w:b/>
          <w:bCs/>
          <w:sz w:val="20"/>
          <w:szCs w:val="20"/>
        </w:rPr>
        <w:t>Minimum Alternate Tax (MAT) u/s. 115JB</w:t>
      </w:r>
    </w:p>
    <w:p w:rsidR="007B6691" w:rsidRPr="00497D67" w:rsidRDefault="007B6691" w:rsidP="005C55E7">
      <w:pPr>
        <w:autoSpaceDE w:val="0"/>
        <w:autoSpaceDN w:val="0"/>
        <w:adjustRightInd w:val="0"/>
        <w:spacing w:after="0" w:line="240" w:lineRule="auto"/>
        <w:jc w:val="both"/>
        <w:rPr>
          <w:rFonts w:ascii="Arial" w:hAnsi="Arial" w:cs="Arial"/>
          <w:b/>
          <w:bCs/>
          <w:sz w:val="20"/>
          <w:szCs w:val="20"/>
        </w:rPr>
      </w:pPr>
    </w:p>
    <w:p w:rsidR="007B6691" w:rsidRPr="00497D67" w:rsidRDefault="007B6691" w:rsidP="005C55E7">
      <w:pPr>
        <w:pStyle w:val="ListParagraph"/>
        <w:numPr>
          <w:ilvl w:val="0"/>
          <w:numId w:val="5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Section 115JB provides for computation of tax at the rate of 18.5% of the book profit of the company in case its total income computed under the normal provisions of the Income-tax Act is less than 18.5% of the book profit.</w:t>
      </w: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pStyle w:val="ListParagraph"/>
        <w:numPr>
          <w:ilvl w:val="0"/>
          <w:numId w:val="5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Book profit for this purpose is computed by making certain adjustments to the profit disclosed in the profit and loss account prepared in accordance with Schedule VI of the Companies Act, 1956 as given in Sub-Section (1) and (2) of Section 211 of the Companies Act. However, Proviso to Section211 of the Companies Act states that the above provisions of sub-section (1) and (2) of Section 211 does not apply to Insurance Companies, Banking Companies, companies engaged in generation and supply of electricity and any other companies for which a form of profit and loss account has been specified in or under the Act governing such class of company. On account of the aforesaid Section 211 of the Companies Act 1956, it was interpreted that Section 115JB will not apply to Banking Company/Insurance Company. With this amendment, Section 115JB will also apply to such companies and the profit and loss account prepared in accordance with the provisions of the Act governing such company shall be considered for arriving at the book profit under section 115JB.</w:t>
      </w: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pStyle w:val="ListParagraph"/>
        <w:numPr>
          <w:ilvl w:val="0"/>
          <w:numId w:val="5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was noted that in certain cases, the profits earned by a company at the time of retirement or disposal of an asset to the extent of revaluation of the asset was being credited directly to the general reserve and not routed through the profit and loss account. Hence, the profit to the extent of revaluation of assets on their disposal was not being taxed. Hence, it is proposed to provide that book profit shall be increased by an amount standing in the revaluation reserve relating to a revalued asset upon retirement or disposal of such asset.</w:t>
      </w:r>
    </w:p>
    <w:p w:rsidR="007B6691" w:rsidRPr="00497D67" w:rsidRDefault="007B6691" w:rsidP="005C55E7">
      <w:pPr>
        <w:pStyle w:val="ListParagraph"/>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5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amendments will take effect from 1</w:t>
      </w:r>
      <w:r w:rsidRPr="00497D67">
        <w:rPr>
          <w:rFonts w:ascii="Arial" w:hAnsi="Arial" w:cs="Arial"/>
          <w:sz w:val="12"/>
          <w:szCs w:val="12"/>
        </w:rPr>
        <w:t xml:space="preserve">st </w:t>
      </w:r>
      <w:r w:rsidRPr="00497D67">
        <w:rPr>
          <w:rFonts w:ascii="Arial" w:hAnsi="Arial" w:cs="Arial"/>
          <w:sz w:val="20"/>
          <w:szCs w:val="20"/>
        </w:rPr>
        <w:t>April 2013 and will accordingly apply in relation to assessment year 2013-14 and subsequent assessment years.</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7B6691" w:rsidRPr="00497D67" w:rsidRDefault="005834DC" w:rsidP="005C55E7">
      <w:pPr>
        <w:jc w:val="both"/>
        <w:rPr>
          <w:rFonts w:ascii="Arial" w:hAnsi="Arial" w:cs="Arial"/>
          <w:sz w:val="20"/>
          <w:szCs w:val="20"/>
        </w:rPr>
      </w:pPr>
      <w:bookmarkStart w:id="49" w:name="_Liability_to_pay"/>
      <w:bookmarkEnd w:id="49"/>
      <w:r w:rsidRPr="00497D67">
        <w:rPr>
          <w:rFonts w:ascii="Arial" w:hAnsi="Arial" w:cs="Arial"/>
          <w:b/>
          <w:bCs/>
          <w:sz w:val="20"/>
          <w:szCs w:val="20"/>
        </w:rPr>
        <w:t>Liability to pay advance tax in case of non-deduction of tax</w:t>
      </w:r>
    </w:p>
    <w:p w:rsidR="005834DC" w:rsidRPr="00497D67" w:rsidRDefault="005834DC" w:rsidP="005C55E7">
      <w:pPr>
        <w:pStyle w:val="ListParagraph"/>
        <w:numPr>
          <w:ilvl w:val="0"/>
          <w:numId w:val="5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Section 209 provides for mode of computation of advance tax. It provides that the income-tax calculated under this section shall, in each case, be reduced by the amount of income-tax </w:t>
      </w:r>
      <w:r w:rsidRPr="00497D67">
        <w:rPr>
          <w:rFonts w:ascii="Arial" w:hAnsi="Arial" w:cs="Arial"/>
          <w:sz w:val="20"/>
          <w:szCs w:val="20"/>
        </w:rPr>
        <w:lastRenderedPageBreak/>
        <w:t>which would be deductible or collectible at source during the said financial year and the amount of income-tax as so reduced shall be the advance tax payable.</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5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has been proposed to provide that where income – tax is deductible under law and the person responsible for making the deduction fails to do so, then such income-tax cannot be reduced from amount of advance tax payable.</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58"/>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In the past, Courts have held in the following decisions that where the assessee receives any income on which tax is deductible, but the payer fails to deduct tax, tax on such income should be excluded while computing interest on delayed payment of interest u/s.234B:</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5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Full Bench of Uttarakhand High Court in M/S Maersk Co. Ltd. – 334</w:t>
      </w:r>
    </w:p>
    <w:p w:rsidR="005834DC" w:rsidRPr="00497D67" w:rsidRDefault="005834DC" w:rsidP="005C55E7">
      <w:pPr>
        <w:autoSpaceDE w:val="0"/>
        <w:autoSpaceDN w:val="0"/>
        <w:adjustRightInd w:val="0"/>
        <w:spacing w:after="0" w:line="240" w:lineRule="auto"/>
        <w:ind w:left="1440"/>
        <w:jc w:val="both"/>
        <w:rPr>
          <w:rFonts w:ascii="Arial" w:hAnsi="Arial" w:cs="Arial"/>
          <w:sz w:val="20"/>
          <w:szCs w:val="20"/>
        </w:rPr>
      </w:pPr>
      <w:r w:rsidRPr="00497D67">
        <w:rPr>
          <w:rFonts w:ascii="Arial" w:hAnsi="Arial" w:cs="Arial"/>
          <w:sz w:val="20"/>
          <w:szCs w:val="20"/>
        </w:rPr>
        <w:t>ITR 79,</w:t>
      </w:r>
    </w:p>
    <w:p w:rsidR="005834DC" w:rsidRPr="00497D67" w:rsidRDefault="005834DC" w:rsidP="005C55E7">
      <w:pPr>
        <w:pStyle w:val="ListParagraph"/>
        <w:numPr>
          <w:ilvl w:val="0"/>
          <w:numId w:val="5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Delhi High Court in Jacabs Civil Incorporated – 330 ITR 578</w:t>
      </w:r>
    </w:p>
    <w:p w:rsidR="005834DC" w:rsidRPr="00497D67" w:rsidRDefault="005834DC" w:rsidP="005C55E7">
      <w:pPr>
        <w:pStyle w:val="ListParagraph"/>
        <w:numPr>
          <w:ilvl w:val="0"/>
          <w:numId w:val="59"/>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Special Bench of Delhi Tribunal in Motorola Inc. - 95 ITD 269</w:t>
      </w:r>
    </w:p>
    <w:p w:rsidR="005834DC" w:rsidRPr="00497D67" w:rsidRDefault="005834DC" w:rsidP="005C55E7">
      <w:pPr>
        <w:pStyle w:val="ListParagraph"/>
        <w:autoSpaceDE w:val="0"/>
        <w:autoSpaceDN w:val="0"/>
        <w:adjustRightInd w:val="0"/>
        <w:spacing w:after="0" w:line="240" w:lineRule="auto"/>
        <w:ind w:left="1440"/>
        <w:jc w:val="both"/>
        <w:rPr>
          <w:rFonts w:ascii="Arial" w:hAnsi="Arial" w:cs="Arial"/>
          <w:sz w:val="20"/>
          <w:szCs w:val="20"/>
        </w:rPr>
      </w:pPr>
    </w:p>
    <w:p w:rsidR="005834DC" w:rsidRPr="00497D67" w:rsidRDefault="005834DC" w:rsidP="005C55E7">
      <w:pPr>
        <w:pStyle w:val="ListParagraph"/>
        <w:numPr>
          <w:ilvl w:val="0"/>
          <w:numId w:val="6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With the proposed amendment in the Finance Bill 2012, the above decisions in favour of the assessee may become redundant. Hence, if an assessee now receives any income on which TDS was </w:t>
      </w:r>
      <w:r w:rsidRPr="00497D67">
        <w:rPr>
          <w:rFonts w:ascii="Arial" w:hAnsi="Arial" w:cs="Arial"/>
          <w:b/>
          <w:bCs/>
          <w:sz w:val="20"/>
          <w:szCs w:val="20"/>
        </w:rPr>
        <w:t xml:space="preserve">deductible </w:t>
      </w:r>
      <w:r w:rsidRPr="00497D67">
        <w:rPr>
          <w:rFonts w:ascii="Arial" w:hAnsi="Arial" w:cs="Arial"/>
          <w:sz w:val="20"/>
          <w:szCs w:val="20"/>
        </w:rPr>
        <w:t xml:space="preserve">and the payer defaults in making such </w:t>
      </w:r>
      <w:r w:rsidRPr="00497D67">
        <w:rPr>
          <w:rFonts w:ascii="Arial" w:hAnsi="Arial" w:cs="Arial"/>
          <w:b/>
          <w:bCs/>
          <w:sz w:val="20"/>
          <w:szCs w:val="20"/>
        </w:rPr>
        <w:t>deduction</w:t>
      </w:r>
      <w:r w:rsidRPr="00497D67">
        <w:rPr>
          <w:rFonts w:ascii="Arial" w:hAnsi="Arial" w:cs="Arial"/>
          <w:sz w:val="20"/>
          <w:szCs w:val="20"/>
        </w:rPr>
        <w:t>, the recipient assessee would be liable to pay advance tax on such income also and upon failure to pay such advance tax, he would be liable to interest u/s.234B and 234C.</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6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will take effect from the 1st April, 2012 and would, accordingly, apply in relation to advance tax payable for the financial year2012-13 and subsequent financial years.</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jc w:val="both"/>
        <w:rPr>
          <w:rFonts w:ascii="Arial" w:hAnsi="Arial" w:cs="Arial"/>
          <w:sz w:val="20"/>
          <w:szCs w:val="20"/>
        </w:rPr>
      </w:pPr>
      <w:bookmarkStart w:id="50" w:name="_Rate_of_tax"/>
      <w:bookmarkEnd w:id="50"/>
      <w:r w:rsidRPr="00497D67">
        <w:rPr>
          <w:rFonts w:ascii="Arial" w:hAnsi="Arial" w:cs="Arial"/>
          <w:b/>
          <w:bCs/>
          <w:sz w:val="20"/>
          <w:szCs w:val="20"/>
        </w:rPr>
        <w:t>Rate of tax for short term capital gain under Section 111A</w:t>
      </w:r>
    </w:p>
    <w:p w:rsidR="005834DC" w:rsidRPr="00497D67" w:rsidRDefault="005834DC" w:rsidP="005C55E7">
      <w:pPr>
        <w:pStyle w:val="ListParagraph"/>
        <w:numPr>
          <w:ilvl w:val="0"/>
          <w:numId w:val="6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Under the existing provisions, the rate of tax for short term capital gains in case of equity shares on which STT has been paid is 15%. This rate has been increased from 10% to 15% vide Finance Bill 2008 w.e.f. 1</w:t>
      </w:r>
      <w:r w:rsidRPr="00497D67">
        <w:rPr>
          <w:rFonts w:ascii="Arial" w:hAnsi="Arial" w:cs="Arial"/>
          <w:sz w:val="12"/>
          <w:szCs w:val="12"/>
        </w:rPr>
        <w:t xml:space="preserve">st </w:t>
      </w:r>
      <w:r w:rsidRPr="00497D67">
        <w:rPr>
          <w:rFonts w:ascii="Arial" w:hAnsi="Arial" w:cs="Arial"/>
          <w:sz w:val="20"/>
          <w:szCs w:val="20"/>
        </w:rPr>
        <w:t>April 2009. However while providing relief to resident individual or HUF where the total income excluding the short term capital gain is below the taxable limit, the tax on short term capital gain is computed at 10%, though the correct rate of tax on short term capital gain is 15%.</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6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accordingly proposed to amend the proviso to Section 111A to provide rate of tax on short term capital gain at 15%.</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5834DC" w:rsidP="005C55E7">
      <w:pPr>
        <w:pStyle w:val="ListParagraph"/>
        <w:numPr>
          <w:ilvl w:val="0"/>
          <w:numId w:val="6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above amendment will take effect retrospectively from 1</w:t>
      </w:r>
      <w:r w:rsidRPr="00497D67">
        <w:rPr>
          <w:rFonts w:ascii="Arial" w:hAnsi="Arial" w:cs="Arial"/>
          <w:sz w:val="12"/>
          <w:szCs w:val="12"/>
        </w:rPr>
        <w:t xml:space="preserve">st </w:t>
      </w:r>
      <w:r w:rsidRPr="00497D67">
        <w:rPr>
          <w:rFonts w:ascii="Arial" w:hAnsi="Arial" w:cs="Arial"/>
          <w:sz w:val="20"/>
          <w:szCs w:val="20"/>
        </w:rPr>
        <w:t>April 2009 and will apply in relation to AY2009-10 and subsequent assessment years.</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5834DC" w:rsidRPr="00497D67" w:rsidRDefault="00E214F5" w:rsidP="005C55E7">
      <w:pPr>
        <w:jc w:val="both"/>
        <w:rPr>
          <w:rFonts w:ascii="Arial" w:hAnsi="Arial" w:cs="Arial"/>
          <w:sz w:val="20"/>
          <w:szCs w:val="20"/>
        </w:rPr>
      </w:pPr>
      <w:bookmarkStart w:id="51" w:name="_Consideration_received_by"/>
      <w:bookmarkEnd w:id="51"/>
      <w:r w:rsidRPr="00497D67">
        <w:rPr>
          <w:rFonts w:ascii="Arial" w:hAnsi="Arial" w:cs="Arial"/>
          <w:b/>
          <w:bCs/>
          <w:sz w:val="20"/>
          <w:szCs w:val="20"/>
        </w:rPr>
        <w:t>Consideration received by closely held company for issue of shares.</w:t>
      </w:r>
    </w:p>
    <w:p w:rsidR="00E214F5" w:rsidRPr="00497D67" w:rsidRDefault="00E214F5" w:rsidP="005C55E7">
      <w:pPr>
        <w:pStyle w:val="ListParagraph"/>
        <w:numPr>
          <w:ilvl w:val="0"/>
          <w:numId w:val="6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proposed to amend Section 56 (vii</w:t>
      </w:r>
      <w:r w:rsidR="003A28E8" w:rsidRPr="00497D67">
        <w:rPr>
          <w:rFonts w:ascii="Arial" w:hAnsi="Arial" w:cs="Arial"/>
          <w:sz w:val="20"/>
          <w:szCs w:val="20"/>
        </w:rPr>
        <w:t xml:space="preserve"> </w:t>
      </w:r>
      <w:r w:rsidRPr="00497D67">
        <w:rPr>
          <w:rFonts w:ascii="Arial" w:hAnsi="Arial" w:cs="Arial"/>
          <w:sz w:val="20"/>
          <w:szCs w:val="20"/>
        </w:rPr>
        <w:t>b) to provide for taxability of difference between the aggregate consideration received by a closely held company from a resident for issue of shares to such resident and the fair market value of the shares received. The said amendment will not apply where the consideration for issue of shares is received by a venture capital undertaking from a venture capital company or a venture capital fund.</w:t>
      </w:r>
    </w:p>
    <w:p w:rsidR="00E214F5" w:rsidRPr="00497D67" w:rsidRDefault="00E214F5" w:rsidP="005C55E7">
      <w:pPr>
        <w:autoSpaceDE w:val="0"/>
        <w:autoSpaceDN w:val="0"/>
        <w:adjustRightInd w:val="0"/>
        <w:spacing w:after="0" w:line="240" w:lineRule="auto"/>
        <w:jc w:val="both"/>
        <w:rPr>
          <w:rFonts w:ascii="Arial" w:hAnsi="Arial" w:cs="Arial"/>
          <w:sz w:val="20"/>
          <w:szCs w:val="20"/>
        </w:rPr>
      </w:pPr>
    </w:p>
    <w:p w:rsidR="00E214F5" w:rsidRPr="00497D67" w:rsidRDefault="00E214F5" w:rsidP="005C55E7">
      <w:pPr>
        <w:pStyle w:val="ListParagraph"/>
        <w:numPr>
          <w:ilvl w:val="0"/>
          <w:numId w:val="6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fair market value will either be as per the method to be prescribed or the value as may be substansiated by the company considering assets (tangible and Intangible)</w:t>
      </w:r>
    </w:p>
    <w:p w:rsidR="00E214F5" w:rsidRPr="00497D67" w:rsidRDefault="00E214F5" w:rsidP="005C55E7">
      <w:pPr>
        <w:autoSpaceDE w:val="0"/>
        <w:autoSpaceDN w:val="0"/>
        <w:adjustRightInd w:val="0"/>
        <w:spacing w:after="0" w:line="240" w:lineRule="auto"/>
        <w:jc w:val="both"/>
        <w:rPr>
          <w:rFonts w:ascii="Arial" w:hAnsi="Arial" w:cs="Arial"/>
          <w:sz w:val="20"/>
          <w:szCs w:val="20"/>
        </w:rPr>
      </w:pPr>
    </w:p>
    <w:p w:rsidR="00E214F5" w:rsidRPr="00497D67" w:rsidRDefault="00E214F5" w:rsidP="005C55E7">
      <w:pPr>
        <w:pStyle w:val="ListParagraph"/>
        <w:numPr>
          <w:ilvl w:val="0"/>
          <w:numId w:val="6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will take effect from 1</w:t>
      </w:r>
      <w:r w:rsidRPr="00497D67">
        <w:rPr>
          <w:rFonts w:ascii="Arial" w:hAnsi="Arial" w:cs="Arial"/>
          <w:sz w:val="12"/>
          <w:szCs w:val="12"/>
        </w:rPr>
        <w:t xml:space="preserve">st </w:t>
      </w:r>
      <w:r w:rsidRPr="00497D67">
        <w:rPr>
          <w:rFonts w:ascii="Arial" w:hAnsi="Arial" w:cs="Arial"/>
          <w:sz w:val="20"/>
          <w:szCs w:val="20"/>
        </w:rPr>
        <w:t>of April 2013 and will, accordingly, apply to A Y 2013-14 and subsequent assessment year.</w:t>
      </w:r>
    </w:p>
    <w:p w:rsidR="003A28E8" w:rsidRPr="00497D67" w:rsidRDefault="003A28E8" w:rsidP="005C55E7">
      <w:pPr>
        <w:autoSpaceDE w:val="0"/>
        <w:autoSpaceDN w:val="0"/>
        <w:adjustRightInd w:val="0"/>
        <w:spacing w:after="0" w:line="240" w:lineRule="auto"/>
        <w:jc w:val="both"/>
        <w:rPr>
          <w:rFonts w:ascii="Arial" w:hAnsi="Arial" w:cs="Arial"/>
          <w:b/>
          <w:bCs/>
          <w:sz w:val="20"/>
          <w:szCs w:val="20"/>
        </w:rPr>
      </w:pPr>
    </w:p>
    <w:p w:rsidR="002C7D42" w:rsidRDefault="002C7D42" w:rsidP="005C55E7">
      <w:pPr>
        <w:jc w:val="both"/>
        <w:rPr>
          <w:rFonts w:ascii="Arial" w:hAnsi="Arial" w:cs="Arial"/>
          <w:b/>
          <w:bCs/>
          <w:sz w:val="20"/>
          <w:szCs w:val="20"/>
        </w:rPr>
      </w:pPr>
      <w:bookmarkStart w:id="52" w:name="_Processing_of_return"/>
      <w:bookmarkEnd w:id="52"/>
    </w:p>
    <w:p w:rsidR="00E214F5" w:rsidRPr="00497D67" w:rsidRDefault="003A28E8" w:rsidP="005C55E7">
      <w:pPr>
        <w:jc w:val="both"/>
        <w:rPr>
          <w:rFonts w:ascii="Arial" w:hAnsi="Arial" w:cs="Arial"/>
          <w:sz w:val="20"/>
          <w:szCs w:val="20"/>
        </w:rPr>
      </w:pPr>
      <w:r w:rsidRPr="00497D67">
        <w:rPr>
          <w:rFonts w:ascii="Arial" w:hAnsi="Arial" w:cs="Arial"/>
          <w:b/>
          <w:bCs/>
          <w:sz w:val="20"/>
          <w:szCs w:val="20"/>
        </w:rPr>
        <w:t>Processing of return of Income where scrutiny notice issued</w:t>
      </w:r>
    </w:p>
    <w:p w:rsidR="003A28E8" w:rsidRPr="00497D67" w:rsidRDefault="003A28E8" w:rsidP="005C55E7">
      <w:pPr>
        <w:pStyle w:val="ListParagraph"/>
        <w:numPr>
          <w:ilvl w:val="0"/>
          <w:numId w:val="6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lastRenderedPageBreak/>
        <w:t>The existing provisions of Section 143(1) Income-tax Act provides for processing of all the return of income filed u/s. 139 or in response to notice u/s. 142(1) in a prescribed manner and issue refund, if any.</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proposed amend Section 143(1) to provide for non-processing of return of the assessee to whom notice u/s 143(2) has been issued for a scrutiny assessment</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E214F5" w:rsidRPr="00497D67" w:rsidRDefault="003A28E8" w:rsidP="005C55E7">
      <w:pPr>
        <w:pStyle w:val="ListParagraph"/>
        <w:numPr>
          <w:ilvl w:val="0"/>
          <w:numId w:val="63"/>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will take effect from 1</w:t>
      </w:r>
      <w:r w:rsidRPr="00497D67">
        <w:rPr>
          <w:rFonts w:ascii="Arial" w:hAnsi="Arial" w:cs="Arial"/>
          <w:sz w:val="12"/>
          <w:szCs w:val="12"/>
        </w:rPr>
        <w:t xml:space="preserve">st </w:t>
      </w:r>
      <w:r w:rsidRPr="00497D67">
        <w:rPr>
          <w:rFonts w:ascii="Arial" w:hAnsi="Arial" w:cs="Arial"/>
          <w:sz w:val="20"/>
          <w:szCs w:val="20"/>
        </w:rPr>
        <w:t>of July 2012.</w:t>
      </w:r>
    </w:p>
    <w:p w:rsidR="005834DC" w:rsidRPr="00497D67" w:rsidRDefault="005834DC" w:rsidP="005C55E7">
      <w:pPr>
        <w:autoSpaceDE w:val="0"/>
        <w:autoSpaceDN w:val="0"/>
        <w:adjustRightInd w:val="0"/>
        <w:spacing w:after="0" w:line="240" w:lineRule="auto"/>
        <w:jc w:val="both"/>
        <w:rPr>
          <w:rFonts w:ascii="Arial" w:hAnsi="Arial" w:cs="Arial"/>
          <w:sz w:val="20"/>
          <w:szCs w:val="20"/>
        </w:rPr>
      </w:pPr>
    </w:p>
    <w:p w:rsidR="007B6691" w:rsidRPr="00497D67" w:rsidRDefault="003A28E8" w:rsidP="005C55E7">
      <w:pPr>
        <w:jc w:val="both"/>
        <w:rPr>
          <w:rFonts w:ascii="Arial" w:hAnsi="Arial" w:cs="Arial"/>
          <w:sz w:val="20"/>
          <w:szCs w:val="20"/>
        </w:rPr>
      </w:pPr>
      <w:bookmarkStart w:id="53" w:name="_Prohibition_of_cash"/>
      <w:bookmarkEnd w:id="53"/>
      <w:r w:rsidRPr="00497D67">
        <w:rPr>
          <w:rFonts w:ascii="Arial" w:hAnsi="Arial" w:cs="Arial"/>
          <w:b/>
          <w:bCs/>
          <w:sz w:val="20"/>
          <w:szCs w:val="20"/>
        </w:rPr>
        <w:t>Prohibition of cash donation</w:t>
      </w:r>
    </w:p>
    <w:p w:rsidR="003A28E8" w:rsidRPr="00497D67" w:rsidRDefault="003A28E8" w:rsidP="005C55E7">
      <w:pPr>
        <w:pStyle w:val="ListParagraph"/>
        <w:numPr>
          <w:ilvl w:val="0"/>
          <w:numId w:val="6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Under the existing provisions of Income-tax Act, donations are allowed in cash as well as by cheque to avail deduction u/s. 80G &amp; 80GGA.</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proposed to provide that deduction shall not be allowed for donation paid in cash for a sum exceeding Rs.10,000/-.</w:t>
      </w: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will take effect from 1</w:t>
      </w:r>
      <w:r w:rsidRPr="00497D67">
        <w:rPr>
          <w:rFonts w:ascii="Arial" w:hAnsi="Arial" w:cs="Arial"/>
          <w:sz w:val="12"/>
          <w:szCs w:val="12"/>
        </w:rPr>
        <w:t xml:space="preserve">st </w:t>
      </w:r>
      <w:r w:rsidRPr="00497D67">
        <w:rPr>
          <w:rFonts w:ascii="Arial" w:hAnsi="Arial" w:cs="Arial"/>
          <w:sz w:val="20"/>
          <w:szCs w:val="20"/>
        </w:rPr>
        <w:t>of April 2013 and will, accordingly apply to the A Y 2013-14 and subsequent years.</w:t>
      </w:r>
    </w:p>
    <w:p w:rsidR="003A28E8" w:rsidRPr="00497D67" w:rsidRDefault="003A28E8" w:rsidP="005C55E7">
      <w:pPr>
        <w:pStyle w:val="ListParagraph"/>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autoSpaceDE w:val="0"/>
        <w:autoSpaceDN w:val="0"/>
        <w:adjustRightInd w:val="0"/>
        <w:spacing w:after="0" w:line="240" w:lineRule="auto"/>
        <w:ind w:left="0"/>
        <w:jc w:val="both"/>
        <w:rPr>
          <w:rFonts w:ascii="Arial" w:hAnsi="Arial" w:cs="Arial"/>
          <w:sz w:val="20"/>
          <w:szCs w:val="20"/>
        </w:rPr>
      </w:pPr>
      <w:bookmarkStart w:id="54" w:name="Eligibility"/>
      <w:r w:rsidRPr="00497D67">
        <w:rPr>
          <w:rFonts w:ascii="Arial" w:hAnsi="Arial" w:cs="Arial"/>
          <w:b/>
          <w:bCs/>
          <w:sz w:val="20"/>
          <w:szCs w:val="20"/>
        </w:rPr>
        <w:t>Eligibility conditions for exempt life insurance policies</w:t>
      </w:r>
    </w:p>
    <w:bookmarkEnd w:id="54"/>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Under the existing provisions contained in Section 10(10D) of the Income tax Act, any sum received under a life insurance policy, including the sum allocated by way of bonus on such policy is exempt. For this purpose, it is necessary that the premium payable for any of the years shall not exceed20% of the actual capital sum assured.</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proposed to provide that any such sum received for the polices taken before 31</w:t>
      </w:r>
      <w:r w:rsidRPr="00497D67">
        <w:rPr>
          <w:rFonts w:ascii="Arial" w:hAnsi="Arial" w:cs="Arial"/>
          <w:sz w:val="12"/>
          <w:szCs w:val="12"/>
        </w:rPr>
        <w:t xml:space="preserve">st </w:t>
      </w:r>
      <w:r w:rsidRPr="00497D67">
        <w:rPr>
          <w:rFonts w:ascii="Arial" w:hAnsi="Arial" w:cs="Arial"/>
          <w:sz w:val="20"/>
          <w:szCs w:val="20"/>
        </w:rPr>
        <w:t>March 2012 will be exempt from tax if the premium payable for any of the years during the term of the policy does not exceed 20% of the actual capital sum assured.</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Further it is proposed to provide that any sum received under an insurance policy issued on or after 1</w:t>
      </w:r>
      <w:r w:rsidRPr="00497D67">
        <w:rPr>
          <w:rFonts w:ascii="Arial" w:hAnsi="Arial" w:cs="Arial"/>
          <w:sz w:val="12"/>
          <w:szCs w:val="12"/>
        </w:rPr>
        <w:t xml:space="preserve">st </w:t>
      </w:r>
      <w:r w:rsidRPr="00497D67">
        <w:rPr>
          <w:rFonts w:ascii="Arial" w:hAnsi="Arial" w:cs="Arial"/>
          <w:sz w:val="20"/>
          <w:szCs w:val="20"/>
        </w:rPr>
        <w:t>April 2012 will be exempt from tax if the premium for the policy does not exceed 10% of the actual capital sum assured.</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is proposed to take effect from 1</w:t>
      </w:r>
      <w:r w:rsidRPr="00497D67">
        <w:rPr>
          <w:rFonts w:ascii="Arial" w:hAnsi="Arial" w:cs="Arial"/>
          <w:sz w:val="12"/>
          <w:szCs w:val="12"/>
        </w:rPr>
        <w:t xml:space="preserve">st </w:t>
      </w:r>
      <w:r w:rsidRPr="00497D67">
        <w:rPr>
          <w:rFonts w:ascii="Arial" w:hAnsi="Arial" w:cs="Arial"/>
          <w:sz w:val="20"/>
          <w:szCs w:val="20"/>
        </w:rPr>
        <w:t>of April 2013 and will accordingly apply to AY 2013-14 and subsequent assessment years.</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7B6691" w:rsidRPr="00497D67" w:rsidRDefault="003A28E8" w:rsidP="005C55E7">
      <w:pPr>
        <w:pStyle w:val="Heading1"/>
        <w:jc w:val="both"/>
        <w:rPr>
          <w:rFonts w:ascii="Arial" w:hAnsi="Arial" w:cs="Arial"/>
          <w:sz w:val="20"/>
          <w:szCs w:val="20"/>
        </w:rPr>
      </w:pPr>
      <w:bookmarkStart w:id="55" w:name="_Eligibility_condition_for"/>
      <w:bookmarkEnd w:id="55"/>
      <w:r w:rsidRPr="00497D67">
        <w:rPr>
          <w:rFonts w:ascii="Arial" w:hAnsi="Arial" w:cs="Arial"/>
          <w:sz w:val="20"/>
          <w:szCs w:val="20"/>
        </w:rPr>
        <w:t>Eligibility condition for deduction in respect of life insurance policies</w:t>
      </w:r>
    </w:p>
    <w:p w:rsidR="003A28E8" w:rsidRPr="00497D67" w:rsidRDefault="003A28E8" w:rsidP="005C55E7">
      <w:pPr>
        <w:pStyle w:val="ListParagraph"/>
        <w:numPr>
          <w:ilvl w:val="0"/>
          <w:numId w:val="6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The existing provisions of Section 80C (3) of the Income-tax Act provides that in computing the total income of an assessee, being an individual or an HUF, the deduction for life insurance premium shall be allowed for only so much of any premium or other payment made on an insurance policy as is not in excess of 20% of the actual capital sum assured. This will continue to apply for policies taken on or before 31</w:t>
      </w:r>
      <w:r w:rsidRPr="00497D67">
        <w:rPr>
          <w:rFonts w:ascii="Arial" w:hAnsi="Arial" w:cs="Arial"/>
          <w:sz w:val="12"/>
          <w:szCs w:val="12"/>
        </w:rPr>
        <w:t xml:space="preserve">st </w:t>
      </w:r>
      <w:r w:rsidRPr="00497D67">
        <w:rPr>
          <w:rFonts w:ascii="Arial" w:hAnsi="Arial" w:cs="Arial"/>
          <w:sz w:val="20"/>
          <w:szCs w:val="20"/>
        </w:rPr>
        <w:t>March 2012.</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It is proposed to amend the provisions to provide that the deduction for life insurance premium as regards insurance policies issued on or after 1</w:t>
      </w:r>
      <w:r w:rsidRPr="00497D67">
        <w:rPr>
          <w:rFonts w:ascii="Arial" w:hAnsi="Arial" w:cs="Arial"/>
          <w:sz w:val="12"/>
          <w:szCs w:val="12"/>
        </w:rPr>
        <w:t xml:space="preserve">st </w:t>
      </w:r>
      <w:r w:rsidRPr="00497D67">
        <w:rPr>
          <w:rFonts w:ascii="Arial" w:hAnsi="Arial" w:cs="Arial"/>
          <w:sz w:val="20"/>
          <w:szCs w:val="20"/>
        </w:rPr>
        <w:t>April, 2012 shall be allowed for only so much of the premium payable as does not exceed 10% of the actual capital sum assured. It is further proposed to define the expression “actual capital sum assured”</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pStyle w:val="ListParagraph"/>
        <w:numPr>
          <w:ilvl w:val="0"/>
          <w:numId w:val="66"/>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This amendment is proposed to take effect from 1</w:t>
      </w:r>
      <w:r w:rsidRPr="00497D67">
        <w:rPr>
          <w:rFonts w:ascii="Arial" w:hAnsi="Arial" w:cs="Arial"/>
          <w:sz w:val="12"/>
          <w:szCs w:val="12"/>
        </w:rPr>
        <w:t xml:space="preserve">st </w:t>
      </w:r>
      <w:r w:rsidRPr="00497D67">
        <w:rPr>
          <w:rFonts w:ascii="Arial" w:hAnsi="Arial" w:cs="Arial"/>
          <w:sz w:val="20"/>
          <w:szCs w:val="20"/>
        </w:rPr>
        <w:t>of April 2013 and will accordingly apply to AY 2013-14 and subsequent assessment years.</w:t>
      </w: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3A28E8" w:rsidRPr="00497D67" w:rsidRDefault="003A28E8"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7B6691" w:rsidRPr="00497D67" w:rsidRDefault="007B6691" w:rsidP="005C55E7">
      <w:pPr>
        <w:autoSpaceDE w:val="0"/>
        <w:autoSpaceDN w:val="0"/>
        <w:adjustRightInd w:val="0"/>
        <w:spacing w:after="0" w:line="240" w:lineRule="auto"/>
        <w:jc w:val="both"/>
        <w:rPr>
          <w:rFonts w:ascii="Arial" w:hAnsi="Arial" w:cs="Arial"/>
          <w:sz w:val="20"/>
          <w:szCs w:val="20"/>
        </w:rPr>
      </w:pPr>
    </w:p>
    <w:p w:rsidR="00553DC2" w:rsidRDefault="00553DC2" w:rsidP="005C55E7">
      <w:pPr>
        <w:tabs>
          <w:tab w:val="left" w:pos="3549"/>
        </w:tabs>
        <w:spacing w:line="240" w:lineRule="auto"/>
        <w:jc w:val="both"/>
        <w:rPr>
          <w:rFonts w:ascii="Arial" w:hAnsi="Arial" w:cs="Arial"/>
          <w:sz w:val="20"/>
          <w:szCs w:val="20"/>
        </w:rPr>
      </w:pPr>
    </w:p>
    <w:p w:rsidR="00553DC2" w:rsidRDefault="00553DC2" w:rsidP="005C55E7">
      <w:pPr>
        <w:tabs>
          <w:tab w:val="left" w:pos="3549"/>
        </w:tabs>
        <w:spacing w:line="240" w:lineRule="auto"/>
        <w:jc w:val="both"/>
        <w:rPr>
          <w:rFonts w:ascii="Arial" w:hAnsi="Arial" w:cs="Arial"/>
          <w:sz w:val="20"/>
          <w:szCs w:val="20"/>
        </w:rPr>
      </w:pPr>
    </w:p>
    <w:p w:rsidR="00553DC2" w:rsidRDefault="00553DC2" w:rsidP="005C55E7">
      <w:pPr>
        <w:tabs>
          <w:tab w:val="left" w:pos="3549"/>
        </w:tabs>
        <w:spacing w:line="240" w:lineRule="auto"/>
        <w:jc w:val="both"/>
        <w:rPr>
          <w:rFonts w:ascii="Arial" w:hAnsi="Arial" w:cs="Arial"/>
          <w:sz w:val="20"/>
          <w:szCs w:val="20"/>
        </w:rPr>
      </w:pPr>
    </w:p>
    <w:p w:rsidR="007B6691" w:rsidRPr="00497D67" w:rsidRDefault="007B6691" w:rsidP="005C55E7">
      <w:pPr>
        <w:jc w:val="both"/>
        <w:rPr>
          <w:rFonts w:ascii="Arial" w:hAnsi="Arial" w:cs="Arial"/>
          <w:b/>
          <w:sz w:val="24"/>
          <w:szCs w:val="24"/>
        </w:rPr>
      </w:pPr>
      <w:bookmarkStart w:id="56" w:name="_2._INDIRECT_TAX"/>
      <w:bookmarkEnd w:id="56"/>
      <w:r w:rsidRPr="00497D67">
        <w:rPr>
          <w:rFonts w:ascii="Arial" w:hAnsi="Arial" w:cs="Arial"/>
          <w:sz w:val="20"/>
          <w:szCs w:val="20"/>
        </w:rPr>
        <w:t xml:space="preserve"> </w:t>
      </w:r>
      <w:r w:rsidR="003F47CB" w:rsidRPr="002C7D42">
        <w:rPr>
          <w:rFonts w:ascii="Arial" w:hAnsi="Arial" w:cs="Arial"/>
          <w:b/>
          <w:sz w:val="24"/>
          <w:szCs w:val="24"/>
          <w:shd w:val="clear" w:color="auto" w:fill="BABFCB" w:themeFill="text2" w:themeFillTint="66"/>
        </w:rPr>
        <w:t>2. INDIRECT TAX</w:t>
      </w:r>
      <w:r w:rsidR="00241645" w:rsidRPr="002C7D42">
        <w:rPr>
          <w:rFonts w:ascii="Arial" w:hAnsi="Arial" w:cs="Arial"/>
          <w:b/>
          <w:sz w:val="24"/>
          <w:szCs w:val="24"/>
          <w:shd w:val="clear" w:color="auto" w:fill="BABFCB" w:themeFill="text2" w:themeFillTint="66"/>
        </w:rPr>
        <w:t xml:space="preserve"> AMENDMENTS:</w:t>
      </w:r>
    </w:p>
    <w:p w:rsidR="00241645" w:rsidRPr="00497D67" w:rsidRDefault="00241645" w:rsidP="005C55E7">
      <w:pPr>
        <w:jc w:val="both"/>
        <w:rPr>
          <w:rFonts w:ascii="Arial" w:hAnsi="Arial" w:cs="Arial"/>
          <w:sz w:val="24"/>
          <w:szCs w:val="24"/>
        </w:rPr>
      </w:pPr>
      <w:bookmarkStart w:id="57" w:name="_A._Service_Tax"/>
      <w:bookmarkEnd w:id="57"/>
      <w:r w:rsidRPr="00497D67">
        <w:rPr>
          <w:rFonts w:ascii="Arial" w:hAnsi="Arial" w:cs="Arial"/>
          <w:sz w:val="24"/>
          <w:szCs w:val="24"/>
        </w:rPr>
        <w:t>A. Service Tax</w:t>
      </w:r>
    </w:p>
    <w:p w:rsidR="00241645" w:rsidRPr="00497D67" w:rsidRDefault="00241645" w:rsidP="005C55E7">
      <w:pPr>
        <w:jc w:val="both"/>
        <w:rPr>
          <w:rFonts w:ascii="Arial" w:hAnsi="Arial" w:cs="Arial"/>
          <w:sz w:val="24"/>
          <w:szCs w:val="24"/>
        </w:rPr>
      </w:pPr>
      <w:bookmarkStart w:id="58" w:name="_Negative_List_of"/>
      <w:bookmarkEnd w:id="58"/>
      <w:r w:rsidRPr="00497D67">
        <w:rPr>
          <w:rFonts w:ascii="Arial" w:hAnsi="Arial" w:cs="Arial"/>
          <w:b/>
          <w:bCs/>
          <w:sz w:val="20"/>
          <w:szCs w:val="20"/>
        </w:rPr>
        <w:t>Negative List of Services</w:t>
      </w: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pStyle w:val="ListParagraph"/>
        <w:numPr>
          <w:ilvl w:val="0"/>
          <w:numId w:val="6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 xml:space="preserve">The Union Budget 2012-13 had proposed taxation of services based on </w:t>
      </w:r>
      <w:r w:rsidR="000E169C" w:rsidRPr="00497D67">
        <w:rPr>
          <w:rFonts w:ascii="Arial" w:hAnsi="Arial" w:cs="Arial"/>
          <w:sz w:val="20"/>
          <w:szCs w:val="20"/>
        </w:rPr>
        <w:t>a ‘negative</w:t>
      </w:r>
      <w:r w:rsidRPr="00497D67">
        <w:rPr>
          <w:rFonts w:ascii="Arial" w:hAnsi="Arial" w:cs="Arial"/>
          <w:sz w:val="20"/>
          <w:szCs w:val="20"/>
        </w:rPr>
        <w:t xml:space="preserve"> list', on which there would be a paradigm shift of implementation of taxation of services, as all services would be taxed except those specified in the ‘negative list’ or specifically exempted.</w:t>
      </w:r>
    </w:p>
    <w:p w:rsidR="00241645" w:rsidRPr="00497D67" w:rsidRDefault="00241645" w:rsidP="005C55E7">
      <w:pPr>
        <w:autoSpaceDE w:val="0"/>
        <w:autoSpaceDN w:val="0"/>
        <w:adjustRightInd w:val="0"/>
        <w:spacing w:after="0" w:line="240" w:lineRule="auto"/>
        <w:jc w:val="both"/>
        <w:rPr>
          <w:rFonts w:ascii="Arial" w:hAnsi="Arial" w:cs="Arial"/>
          <w:b/>
          <w:bCs/>
          <w:sz w:val="20"/>
          <w:szCs w:val="20"/>
        </w:rPr>
      </w:pPr>
    </w:p>
    <w:p w:rsidR="00241645" w:rsidRPr="00497D67" w:rsidRDefault="00241645" w:rsidP="005C55E7">
      <w:pPr>
        <w:pStyle w:val="ListParagraph"/>
        <w:numPr>
          <w:ilvl w:val="0"/>
          <w:numId w:val="67"/>
        </w:numPr>
        <w:autoSpaceDE w:val="0"/>
        <w:autoSpaceDN w:val="0"/>
        <w:adjustRightInd w:val="0"/>
        <w:spacing w:after="0" w:line="240" w:lineRule="auto"/>
        <w:jc w:val="both"/>
        <w:rPr>
          <w:rFonts w:ascii="Arial" w:hAnsi="Arial" w:cs="Arial"/>
          <w:b/>
          <w:bCs/>
          <w:sz w:val="20"/>
          <w:szCs w:val="20"/>
        </w:rPr>
      </w:pPr>
      <w:r w:rsidRPr="00497D67">
        <w:rPr>
          <w:rFonts w:ascii="Arial" w:hAnsi="Arial" w:cs="Arial"/>
          <w:sz w:val="20"/>
          <w:szCs w:val="20"/>
        </w:rPr>
        <w:t>With the enactment of the Finance Act, 2012 (the Act) on 28 May 2012, the concept of ‘negative list’ is made applicable to be made effective for implementation on a notified date.</w:t>
      </w: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pStyle w:val="ListParagraph"/>
        <w:numPr>
          <w:ilvl w:val="0"/>
          <w:numId w:val="67"/>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We have provided a phasing-out the existing regime of taxation. Service tax provisions that would cease to apply from 1 July 2012 are as follows:</w:t>
      </w: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pStyle w:val="ListParagraph"/>
        <w:numPr>
          <w:ilvl w:val="0"/>
          <w:numId w:val="68"/>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Provision containing definitions including that of taxable service categories</w:t>
      </w:r>
    </w:p>
    <w:p w:rsidR="00CF46E0" w:rsidRPr="00497D67" w:rsidRDefault="00241645" w:rsidP="005C55E7">
      <w:pPr>
        <w:pStyle w:val="ListParagraph"/>
        <w:numPr>
          <w:ilvl w:val="0"/>
          <w:numId w:val="68"/>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Provision containing rules of</w:t>
      </w:r>
      <w:r w:rsidR="00CF46E0" w:rsidRPr="00497D67">
        <w:rPr>
          <w:rFonts w:ascii="Arial" w:hAnsi="Arial" w:cs="Arial"/>
          <w:sz w:val="20"/>
          <w:szCs w:val="20"/>
        </w:rPr>
        <w:t xml:space="preserve"> classification of taxable service categories</w:t>
      </w:r>
    </w:p>
    <w:p w:rsidR="00CF46E0" w:rsidRPr="00497D67" w:rsidRDefault="00CF46E0" w:rsidP="005C55E7">
      <w:pPr>
        <w:pStyle w:val="ListParagraph"/>
        <w:numPr>
          <w:ilvl w:val="0"/>
          <w:numId w:val="68"/>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Provision containing the charge of Service tax on the various taxable service categories</w:t>
      </w:r>
    </w:p>
    <w:p w:rsidR="00CF46E0" w:rsidRPr="00497D67" w:rsidRDefault="00CF46E0" w:rsidP="005C55E7">
      <w:pPr>
        <w:pStyle w:val="ListParagraph"/>
        <w:numPr>
          <w:ilvl w:val="0"/>
          <w:numId w:val="68"/>
        </w:numPr>
        <w:autoSpaceDE w:val="0"/>
        <w:autoSpaceDN w:val="0"/>
        <w:adjustRightInd w:val="0"/>
        <w:spacing w:after="0" w:line="240" w:lineRule="auto"/>
        <w:ind w:left="1080"/>
        <w:jc w:val="both"/>
        <w:rPr>
          <w:rFonts w:ascii="Arial" w:hAnsi="Arial" w:cs="Arial"/>
          <w:sz w:val="20"/>
          <w:szCs w:val="20"/>
        </w:rPr>
      </w:pPr>
      <w:r w:rsidRPr="00497D67">
        <w:rPr>
          <w:rFonts w:ascii="Arial" w:hAnsi="Arial" w:cs="Arial"/>
          <w:sz w:val="20"/>
          <w:szCs w:val="20"/>
        </w:rPr>
        <w:t>Provision containing charge of Service tax on services received from outside India (reverse charge)</w:t>
      </w:r>
    </w:p>
    <w:p w:rsidR="00CF46E0" w:rsidRPr="00497D67" w:rsidRDefault="00CF46E0" w:rsidP="005C55E7">
      <w:pPr>
        <w:autoSpaceDE w:val="0"/>
        <w:autoSpaceDN w:val="0"/>
        <w:adjustRightInd w:val="0"/>
        <w:spacing w:after="0" w:line="240" w:lineRule="auto"/>
        <w:ind w:left="360"/>
        <w:jc w:val="both"/>
        <w:rPr>
          <w:rFonts w:ascii="Arial" w:hAnsi="Arial" w:cs="Arial"/>
          <w:sz w:val="20"/>
          <w:szCs w:val="20"/>
        </w:rPr>
      </w:pPr>
    </w:p>
    <w:p w:rsidR="00CF46E0" w:rsidRPr="00497D67" w:rsidRDefault="00CF46E0" w:rsidP="005C55E7">
      <w:pPr>
        <w:pStyle w:val="ListParagraph"/>
        <w:numPr>
          <w:ilvl w:val="0"/>
          <w:numId w:val="6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These changes would not have any effect vis-a-vis activities done/ omitted to be done before 1 July 2012.</w:t>
      </w:r>
    </w:p>
    <w:p w:rsidR="00CF46E0" w:rsidRPr="00497D67" w:rsidRDefault="00CF46E0" w:rsidP="005C55E7">
      <w:pPr>
        <w:pStyle w:val="ListParagraph"/>
        <w:autoSpaceDE w:val="0"/>
        <w:autoSpaceDN w:val="0"/>
        <w:adjustRightInd w:val="0"/>
        <w:spacing w:after="0" w:line="240" w:lineRule="auto"/>
        <w:jc w:val="both"/>
        <w:rPr>
          <w:rFonts w:ascii="Arial" w:hAnsi="Arial" w:cs="Arial"/>
          <w:sz w:val="20"/>
          <w:szCs w:val="20"/>
        </w:rPr>
      </w:pPr>
    </w:p>
    <w:p w:rsidR="00CF46E0" w:rsidRPr="00497D67" w:rsidRDefault="00CF46E0" w:rsidP="005C55E7">
      <w:pPr>
        <w:pStyle w:val="ListParagraph"/>
        <w:autoSpaceDE w:val="0"/>
        <w:autoSpaceDN w:val="0"/>
        <w:adjustRightInd w:val="0"/>
        <w:spacing w:after="0" w:line="240" w:lineRule="auto"/>
        <w:jc w:val="both"/>
        <w:rPr>
          <w:rFonts w:ascii="Arial" w:hAnsi="Arial" w:cs="Arial"/>
          <w:b/>
          <w:bCs/>
          <w:sz w:val="24"/>
          <w:szCs w:val="24"/>
        </w:rPr>
      </w:pPr>
      <w:r w:rsidRPr="00497D67">
        <w:rPr>
          <w:rFonts w:ascii="Arial" w:hAnsi="Arial" w:cs="Arial"/>
          <w:b/>
          <w:bCs/>
          <w:sz w:val="24"/>
          <w:szCs w:val="24"/>
        </w:rPr>
        <w:t>Implementation of the negative list</w:t>
      </w:r>
    </w:p>
    <w:p w:rsidR="00CF46E0" w:rsidRPr="00497D67" w:rsidRDefault="00CF46E0" w:rsidP="005C55E7">
      <w:pPr>
        <w:autoSpaceDE w:val="0"/>
        <w:autoSpaceDN w:val="0"/>
        <w:adjustRightInd w:val="0"/>
        <w:spacing w:after="0" w:line="240" w:lineRule="auto"/>
        <w:jc w:val="both"/>
        <w:rPr>
          <w:rFonts w:ascii="Arial" w:hAnsi="Arial" w:cs="Arial"/>
          <w:b/>
          <w:bCs/>
          <w:color w:val="807E83"/>
          <w:sz w:val="24"/>
          <w:szCs w:val="24"/>
        </w:rPr>
      </w:pPr>
    </w:p>
    <w:p w:rsidR="00CF46E0" w:rsidRPr="00497D67" w:rsidRDefault="00CF46E0" w:rsidP="005C55E7">
      <w:pPr>
        <w:pStyle w:val="ListParagraph"/>
        <w:numPr>
          <w:ilvl w:val="0"/>
          <w:numId w:val="6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It has been notified that to replace the current tax regime, the following provisions would come into force with effect from 1 July 2012.</w:t>
      </w:r>
    </w:p>
    <w:p w:rsidR="00CF46E0" w:rsidRPr="00497D67" w:rsidRDefault="00CF46E0" w:rsidP="005C55E7">
      <w:pPr>
        <w:pStyle w:val="ListParagraph"/>
        <w:autoSpaceDE w:val="0"/>
        <w:autoSpaceDN w:val="0"/>
        <w:adjustRightInd w:val="0"/>
        <w:spacing w:after="0" w:line="240" w:lineRule="auto"/>
        <w:jc w:val="both"/>
        <w:rPr>
          <w:rFonts w:ascii="Arial" w:hAnsi="Arial" w:cs="Arial"/>
          <w:sz w:val="20"/>
          <w:szCs w:val="20"/>
        </w:rPr>
      </w:pPr>
    </w:p>
    <w:p w:rsidR="00CF46E0" w:rsidRPr="00497D67" w:rsidRDefault="00CF46E0" w:rsidP="005C55E7">
      <w:pPr>
        <w:pStyle w:val="ListParagraph"/>
        <w:numPr>
          <w:ilvl w:val="0"/>
          <w:numId w:val="7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Provision containing the definitions of important terms including definition of service</w:t>
      </w:r>
    </w:p>
    <w:p w:rsidR="00CF46E0" w:rsidRPr="00497D67" w:rsidRDefault="00CF46E0" w:rsidP="005C55E7">
      <w:pPr>
        <w:pStyle w:val="ListParagraph"/>
        <w:numPr>
          <w:ilvl w:val="0"/>
          <w:numId w:val="7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Provision containing the new charging section</w:t>
      </w:r>
    </w:p>
    <w:p w:rsidR="00CF46E0" w:rsidRPr="00497D67" w:rsidRDefault="00CF46E0" w:rsidP="005C55E7">
      <w:pPr>
        <w:pStyle w:val="ListParagraph"/>
        <w:numPr>
          <w:ilvl w:val="0"/>
          <w:numId w:val="7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Provision relating to determination of place of provision of service</w:t>
      </w:r>
    </w:p>
    <w:p w:rsidR="00CF46E0" w:rsidRPr="00497D67" w:rsidRDefault="00CF46E0" w:rsidP="005C55E7">
      <w:pPr>
        <w:pStyle w:val="ListParagraph"/>
        <w:numPr>
          <w:ilvl w:val="0"/>
          <w:numId w:val="7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Provision containing the negative list of services</w:t>
      </w:r>
    </w:p>
    <w:p w:rsidR="00CF46E0" w:rsidRPr="00497D67" w:rsidRDefault="00CF46E0" w:rsidP="005C55E7">
      <w:pPr>
        <w:pStyle w:val="ListParagraph"/>
        <w:numPr>
          <w:ilvl w:val="0"/>
          <w:numId w:val="7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Provision containing the declared services and</w:t>
      </w:r>
    </w:p>
    <w:p w:rsidR="00CF46E0" w:rsidRPr="00497D67" w:rsidRDefault="00CF46E0" w:rsidP="005C55E7">
      <w:pPr>
        <w:pStyle w:val="ListParagraph"/>
        <w:numPr>
          <w:ilvl w:val="0"/>
          <w:numId w:val="70"/>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Provisions containing principles of interpretation i.e. bundled services.</w:t>
      </w:r>
    </w:p>
    <w:p w:rsidR="00CF46E0" w:rsidRPr="00497D67" w:rsidRDefault="00CF46E0" w:rsidP="005C55E7">
      <w:pPr>
        <w:pStyle w:val="ListParagraph"/>
        <w:autoSpaceDE w:val="0"/>
        <w:autoSpaceDN w:val="0"/>
        <w:adjustRightInd w:val="0"/>
        <w:spacing w:after="0" w:line="240" w:lineRule="auto"/>
        <w:ind w:left="1440"/>
        <w:jc w:val="both"/>
        <w:rPr>
          <w:rFonts w:ascii="Arial" w:hAnsi="Arial" w:cs="Arial"/>
          <w:sz w:val="20"/>
          <w:szCs w:val="20"/>
        </w:rPr>
      </w:pPr>
    </w:p>
    <w:p w:rsidR="00CF46E0" w:rsidRPr="00497D67" w:rsidRDefault="00CF46E0" w:rsidP="005C55E7">
      <w:pPr>
        <w:pStyle w:val="ListParagraph"/>
        <w:autoSpaceDE w:val="0"/>
        <w:autoSpaceDN w:val="0"/>
        <w:adjustRightInd w:val="0"/>
        <w:spacing w:after="0" w:line="240" w:lineRule="auto"/>
        <w:jc w:val="both"/>
        <w:rPr>
          <w:rFonts w:ascii="Arial" w:hAnsi="Arial" w:cs="Arial"/>
          <w:b/>
          <w:bCs/>
          <w:sz w:val="24"/>
          <w:szCs w:val="24"/>
        </w:rPr>
      </w:pPr>
      <w:r w:rsidRPr="00497D67">
        <w:rPr>
          <w:rFonts w:ascii="Arial" w:hAnsi="Arial" w:cs="Arial"/>
          <w:b/>
          <w:bCs/>
          <w:sz w:val="24"/>
          <w:szCs w:val="24"/>
        </w:rPr>
        <w:t xml:space="preserve">Negative List </w:t>
      </w:r>
      <w:r w:rsidR="000E169C" w:rsidRPr="00497D67">
        <w:rPr>
          <w:rFonts w:ascii="Arial" w:hAnsi="Arial" w:cs="Arial"/>
          <w:b/>
          <w:bCs/>
          <w:sz w:val="24"/>
          <w:szCs w:val="24"/>
        </w:rPr>
        <w:t>of</w:t>
      </w:r>
      <w:r w:rsidRPr="00497D67">
        <w:rPr>
          <w:rFonts w:ascii="Arial" w:hAnsi="Arial" w:cs="Arial"/>
          <w:b/>
          <w:bCs/>
          <w:sz w:val="24"/>
          <w:szCs w:val="24"/>
        </w:rPr>
        <w:t xml:space="preserve"> Services are as follows:</w:t>
      </w: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pStyle w:val="ListParagraph"/>
        <w:numPr>
          <w:ilvl w:val="0"/>
          <w:numId w:val="6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Services by Government or a local authority excluding the following:</w:t>
      </w:r>
    </w:p>
    <w:p w:rsidR="00CF46E0" w:rsidRPr="00497D67" w:rsidRDefault="00CF46E0" w:rsidP="005C55E7">
      <w:pPr>
        <w:pStyle w:val="ListParagraph"/>
        <w:autoSpaceDE w:val="0"/>
        <w:autoSpaceDN w:val="0"/>
        <w:adjustRightInd w:val="0"/>
        <w:spacing w:after="0" w:line="240" w:lineRule="auto"/>
        <w:jc w:val="both"/>
        <w:rPr>
          <w:rFonts w:ascii="Arial" w:hAnsi="Arial" w:cs="Arial"/>
          <w:sz w:val="20"/>
          <w:szCs w:val="20"/>
        </w:rPr>
      </w:pPr>
    </w:p>
    <w:p w:rsidR="00CF46E0" w:rsidRPr="00497D67" w:rsidRDefault="00CF46E0" w:rsidP="005C55E7">
      <w:pPr>
        <w:pStyle w:val="ListParagraph"/>
        <w:numPr>
          <w:ilvl w:val="0"/>
          <w:numId w:val="7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services by the Department of Posts by way of speed post, express parcel post, life insurance and agency services not provided to Government;</w:t>
      </w:r>
    </w:p>
    <w:p w:rsidR="00CF46E0" w:rsidRPr="00497D67" w:rsidRDefault="00CF46E0" w:rsidP="005C55E7">
      <w:pPr>
        <w:pStyle w:val="ListParagraph"/>
        <w:numPr>
          <w:ilvl w:val="0"/>
          <w:numId w:val="7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services in relation to an aircraft or a vessel, inside or outside the precincts of a port or an airport;</w:t>
      </w:r>
    </w:p>
    <w:p w:rsidR="00CF46E0" w:rsidRPr="00497D67" w:rsidRDefault="00CF46E0" w:rsidP="005C55E7">
      <w:pPr>
        <w:pStyle w:val="ListParagraph"/>
        <w:numPr>
          <w:ilvl w:val="0"/>
          <w:numId w:val="7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transport of goods or passengers; or</w:t>
      </w:r>
    </w:p>
    <w:p w:rsidR="00CF46E0" w:rsidRPr="00497D67" w:rsidRDefault="00CF46E0" w:rsidP="005C55E7">
      <w:pPr>
        <w:pStyle w:val="ListParagraph"/>
        <w:numPr>
          <w:ilvl w:val="0"/>
          <w:numId w:val="71"/>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support services, other than services covered under clauses (i) to (iii) above, provided to business entities.</w:t>
      </w:r>
    </w:p>
    <w:p w:rsidR="00CF46E0" w:rsidRPr="00497D67" w:rsidRDefault="00CF46E0" w:rsidP="005C55E7">
      <w:pPr>
        <w:pStyle w:val="ListParagraph"/>
        <w:autoSpaceDE w:val="0"/>
        <w:autoSpaceDN w:val="0"/>
        <w:adjustRightInd w:val="0"/>
        <w:spacing w:after="0" w:line="240" w:lineRule="auto"/>
        <w:ind w:left="1440"/>
        <w:jc w:val="both"/>
        <w:rPr>
          <w:rFonts w:ascii="Arial" w:hAnsi="Arial" w:cs="Arial"/>
          <w:sz w:val="20"/>
          <w:szCs w:val="20"/>
        </w:rPr>
      </w:pPr>
    </w:p>
    <w:p w:rsidR="00CF46E0" w:rsidRPr="00497D67" w:rsidRDefault="00CF46E0" w:rsidP="005C55E7">
      <w:pPr>
        <w:pStyle w:val="ListParagraph"/>
        <w:numPr>
          <w:ilvl w:val="0"/>
          <w:numId w:val="6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Services by the Reserve Bank of India.</w:t>
      </w:r>
    </w:p>
    <w:p w:rsidR="00CF46E0" w:rsidRPr="00497D67" w:rsidRDefault="00CF46E0" w:rsidP="005C55E7">
      <w:pPr>
        <w:pStyle w:val="ListParagraph"/>
        <w:autoSpaceDE w:val="0"/>
        <w:autoSpaceDN w:val="0"/>
        <w:adjustRightInd w:val="0"/>
        <w:spacing w:after="0" w:line="240" w:lineRule="auto"/>
        <w:jc w:val="both"/>
        <w:rPr>
          <w:rFonts w:ascii="Arial" w:hAnsi="Arial" w:cs="Arial"/>
          <w:sz w:val="20"/>
          <w:szCs w:val="20"/>
        </w:rPr>
      </w:pPr>
    </w:p>
    <w:p w:rsidR="00CF46E0" w:rsidRPr="00497D67" w:rsidRDefault="00CF46E0" w:rsidP="005C55E7">
      <w:pPr>
        <w:pStyle w:val="ListParagraph"/>
        <w:numPr>
          <w:ilvl w:val="0"/>
          <w:numId w:val="6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lastRenderedPageBreak/>
        <w:t>Services by a foreign diplomatic mission located in India.</w:t>
      </w:r>
    </w:p>
    <w:p w:rsidR="00CF46E0" w:rsidRPr="00497D67" w:rsidRDefault="00CF46E0" w:rsidP="005C55E7">
      <w:pPr>
        <w:pStyle w:val="ListParagraph"/>
        <w:jc w:val="both"/>
        <w:rPr>
          <w:rFonts w:ascii="Arial" w:hAnsi="Arial" w:cs="Arial"/>
          <w:sz w:val="20"/>
          <w:szCs w:val="20"/>
        </w:rPr>
      </w:pPr>
    </w:p>
    <w:p w:rsidR="00CF46E0" w:rsidRPr="00497D67" w:rsidRDefault="00CF46E0" w:rsidP="005C55E7">
      <w:pPr>
        <w:pStyle w:val="ListParagraph"/>
        <w:numPr>
          <w:ilvl w:val="0"/>
          <w:numId w:val="69"/>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Services relating to agriculture by way of –</w:t>
      </w:r>
    </w:p>
    <w:p w:rsidR="00CF46E0" w:rsidRPr="00497D67" w:rsidRDefault="00CF46E0" w:rsidP="005C55E7">
      <w:pPr>
        <w:pStyle w:val="ListParagraph"/>
        <w:jc w:val="both"/>
        <w:rPr>
          <w:rFonts w:ascii="Arial" w:hAnsi="Arial" w:cs="Arial"/>
          <w:sz w:val="20"/>
          <w:szCs w:val="20"/>
        </w:rPr>
      </w:pPr>
    </w:p>
    <w:p w:rsidR="00CF46E0" w:rsidRPr="00497D67" w:rsidRDefault="00CF46E0"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agricultural operations directly related to production of any agricultural produce including cultivation, harvesting, threshing, plant protection or seed testing</w:t>
      </w:r>
    </w:p>
    <w:p w:rsidR="00CF46E0" w:rsidRPr="00497D67" w:rsidRDefault="00CF46E0"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supply of farm labour</w:t>
      </w:r>
    </w:p>
    <w:p w:rsidR="00CF46E0" w:rsidRPr="00497D67" w:rsidRDefault="00CF46E0"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processes carried out at an agricultural farm including tending, pruning, cutting, harvesting, drying, cleaning, trimming, sun drying, fumigating, curing, sorting, grading, cooling or bulk packaging and such like operations which do not alter essential characteristics of agricultural produce but make it only ma</w:t>
      </w:r>
      <w:r w:rsidR="00E22CA5" w:rsidRPr="00497D67">
        <w:rPr>
          <w:rFonts w:ascii="Arial" w:hAnsi="Arial" w:cs="Arial"/>
          <w:sz w:val="20"/>
          <w:szCs w:val="20"/>
        </w:rPr>
        <w:t>rketable for the primary market</w:t>
      </w:r>
    </w:p>
    <w:p w:rsidR="00E22CA5" w:rsidRPr="00497D67" w:rsidRDefault="00E22CA5"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renting or leasing of agro machinery or vacant land with or without a structure incidental to its use</w:t>
      </w:r>
    </w:p>
    <w:p w:rsidR="00E22CA5" w:rsidRPr="00497D67" w:rsidRDefault="00E22CA5"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loading, unloading, packing, storage or warehousing of agricultural produce</w:t>
      </w:r>
    </w:p>
    <w:p w:rsidR="00E22CA5" w:rsidRPr="00497D67" w:rsidRDefault="00E22CA5"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agricultural extension services</w:t>
      </w:r>
    </w:p>
    <w:p w:rsidR="00E22CA5" w:rsidRPr="00497D67" w:rsidRDefault="00E22CA5" w:rsidP="005C55E7">
      <w:pPr>
        <w:pStyle w:val="ListParagraph"/>
        <w:numPr>
          <w:ilvl w:val="0"/>
          <w:numId w:val="72"/>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services by any Agricultural Produce Marketing Committee or Board or services provided by a commission agent for sale or purchase of agricultural produce.</w:t>
      </w:r>
    </w:p>
    <w:p w:rsidR="00E22CA5" w:rsidRPr="00497D67" w:rsidRDefault="00E22CA5" w:rsidP="005C55E7">
      <w:pPr>
        <w:pStyle w:val="ListParagraph"/>
        <w:autoSpaceDE w:val="0"/>
        <w:autoSpaceDN w:val="0"/>
        <w:adjustRightInd w:val="0"/>
        <w:spacing w:after="0" w:line="240" w:lineRule="auto"/>
        <w:ind w:left="1440"/>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Trading of goods.</w:t>
      </w:r>
    </w:p>
    <w:p w:rsidR="00E22CA5" w:rsidRPr="00497D67" w:rsidRDefault="00E22CA5" w:rsidP="005C55E7">
      <w:pPr>
        <w:pStyle w:val="ListParagraph"/>
        <w:autoSpaceDE w:val="0"/>
        <w:autoSpaceDN w:val="0"/>
        <w:adjustRightInd w:val="0"/>
        <w:spacing w:after="0" w:line="240" w:lineRule="auto"/>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Any process amounting to manufacture or production of goods.</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Selling of space or time slots for advertisements other than advertisements broadcast by radio or television.</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Service by way of access to a road or a bridge on payment of toll charges.</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Betting, gambling or lottery.</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Admission to entertainment events or access to amusement facilities.</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Transmission or distribution of electricity by an electricity transmission or distribution utility.</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3"/>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Services by way of –</w:t>
      </w:r>
    </w:p>
    <w:p w:rsidR="00E22CA5" w:rsidRPr="00497D67" w:rsidRDefault="00E22CA5" w:rsidP="005C55E7">
      <w:pPr>
        <w:pStyle w:val="ListParagraph"/>
        <w:jc w:val="both"/>
        <w:rPr>
          <w:rFonts w:ascii="Arial" w:hAnsi="Arial" w:cs="Arial"/>
          <w:sz w:val="20"/>
          <w:szCs w:val="20"/>
        </w:rPr>
      </w:pPr>
    </w:p>
    <w:p w:rsidR="00E22CA5" w:rsidRPr="00497D67" w:rsidRDefault="00E22CA5" w:rsidP="005C55E7">
      <w:pPr>
        <w:pStyle w:val="ListParagraph"/>
        <w:numPr>
          <w:ilvl w:val="0"/>
          <w:numId w:val="7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pre-school education and education up to higher secondary school or equivalent</w:t>
      </w:r>
    </w:p>
    <w:p w:rsidR="00E22CA5" w:rsidRPr="00497D67" w:rsidRDefault="00E22CA5" w:rsidP="005C55E7">
      <w:pPr>
        <w:pStyle w:val="ListParagraph"/>
        <w:numPr>
          <w:ilvl w:val="0"/>
          <w:numId w:val="7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education as a part of a curriculum for obtaining a qualification recognized by law</w:t>
      </w:r>
    </w:p>
    <w:p w:rsidR="00E22CA5" w:rsidRPr="00497D67" w:rsidRDefault="00E22CA5" w:rsidP="005C55E7">
      <w:pPr>
        <w:pStyle w:val="ListParagraph"/>
        <w:numPr>
          <w:ilvl w:val="0"/>
          <w:numId w:val="74"/>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education as a part of an approved vocational education course.</w:t>
      </w: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pStyle w:val="ListParagraph"/>
        <w:numPr>
          <w:ilvl w:val="0"/>
          <w:numId w:val="75"/>
        </w:num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Services by way of renting of residential dwelling for use as residence</w:t>
      </w:r>
    </w:p>
    <w:p w:rsidR="00E22CA5" w:rsidRPr="00497D67" w:rsidRDefault="00E22CA5" w:rsidP="005C55E7">
      <w:pPr>
        <w:pStyle w:val="ListParagraph"/>
        <w:autoSpaceDE w:val="0"/>
        <w:autoSpaceDN w:val="0"/>
        <w:adjustRightInd w:val="0"/>
        <w:spacing w:after="0" w:line="240" w:lineRule="auto"/>
        <w:jc w:val="both"/>
        <w:rPr>
          <w:rFonts w:ascii="Arial" w:hAnsi="Arial" w:cs="Arial"/>
          <w:sz w:val="20"/>
          <w:szCs w:val="20"/>
        </w:rPr>
      </w:pPr>
    </w:p>
    <w:p w:rsidR="00E22CA5" w:rsidRPr="00497D67" w:rsidRDefault="00E22CA5" w:rsidP="005C55E7">
      <w:pPr>
        <w:pStyle w:val="ListParagraph"/>
        <w:numPr>
          <w:ilvl w:val="0"/>
          <w:numId w:val="75"/>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Services by way of –</w:t>
      </w:r>
    </w:p>
    <w:p w:rsidR="00E22CA5" w:rsidRPr="00497D67" w:rsidRDefault="00E22CA5" w:rsidP="005C55E7">
      <w:pPr>
        <w:pStyle w:val="ListParagraph"/>
        <w:jc w:val="both"/>
        <w:rPr>
          <w:rFonts w:ascii="Arial" w:hAnsi="Arial" w:cs="Arial"/>
          <w:b/>
          <w:sz w:val="20"/>
          <w:szCs w:val="20"/>
        </w:rPr>
      </w:pPr>
    </w:p>
    <w:p w:rsidR="00E22CA5" w:rsidRPr="00497D67" w:rsidRDefault="00E22CA5" w:rsidP="005C55E7">
      <w:pPr>
        <w:pStyle w:val="ListParagraph"/>
        <w:numPr>
          <w:ilvl w:val="0"/>
          <w:numId w:val="76"/>
        </w:numPr>
        <w:autoSpaceDE w:val="0"/>
        <w:autoSpaceDN w:val="0"/>
        <w:adjustRightInd w:val="0"/>
        <w:spacing w:after="0" w:line="240" w:lineRule="auto"/>
        <w:ind w:left="1800"/>
        <w:jc w:val="both"/>
        <w:rPr>
          <w:rFonts w:ascii="Arial" w:hAnsi="Arial" w:cs="Arial"/>
          <w:b/>
          <w:sz w:val="20"/>
          <w:szCs w:val="20"/>
        </w:rPr>
      </w:pPr>
      <w:r w:rsidRPr="00497D67">
        <w:rPr>
          <w:rFonts w:ascii="Arial" w:hAnsi="Arial" w:cs="Arial"/>
          <w:sz w:val="20"/>
          <w:szCs w:val="20"/>
        </w:rPr>
        <w:t>extending deposits, loans or advances in so far as the consideration is represented by way of interest or discount</w:t>
      </w:r>
    </w:p>
    <w:p w:rsidR="00E22CA5" w:rsidRPr="00497D67" w:rsidRDefault="00CE4E1A" w:rsidP="005C55E7">
      <w:pPr>
        <w:pStyle w:val="ListParagraph"/>
        <w:numPr>
          <w:ilvl w:val="0"/>
          <w:numId w:val="76"/>
        </w:numPr>
        <w:autoSpaceDE w:val="0"/>
        <w:autoSpaceDN w:val="0"/>
        <w:adjustRightInd w:val="0"/>
        <w:spacing w:after="0" w:line="240" w:lineRule="auto"/>
        <w:ind w:left="1800"/>
        <w:jc w:val="both"/>
        <w:rPr>
          <w:rFonts w:ascii="Arial" w:hAnsi="Arial" w:cs="Arial"/>
          <w:b/>
          <w:sz w:val="20"/>
          <w:szCs w:val="20"/>
        </w:rPr>
      </w:pPr>
      <w:r w:rsidRPr="00497D67">
        <w:rPr>
          <w:rFonts w:ascii="Arial" w:hAnsi="Arial" w:cs="Arial"/>
          <w:sz w:val="20"/>
          <w:szCs w:val="20"/>
        </w:rPr>
        <w:t>Inter-state</w:t>
      </w:r>
      <w:r w:rsidR="00E22CA5" w:rsidRPr="00497D67">
        <w:rPr>
          <w:rFonts w:ascii="Arial" w:hAnsi="Arial" w:cs="Arial"/>
          <w:sz w:val="20"/>
          <w:szCs w:val="20"/>
        </w:rPr>
        <w:t xml:space="preserve"> sale or purchase of foreign currency amongst banks or authorized dealers of foreign exchange or amongst banks and such dealers.</w:t>
      </w:r>
    </w:p>
    <w:p w:rsidR="00E22CA5" w:rsidRPr="00497D67" w:rsidRDefault="00E22CA5" w:rsidP="005C55E7">
      <w:pPr>
        <w:pStyle w:val="ListParagraph"/>
        <w:autoSpaceDE w:val="0"/>
        <w:autoSpaceDN w:val="0"/>
        <w:adjustRightInd w:val="0"/>
        <w:spacing w:after="0" w:line="240" w:lineRule="auto"/>
        <w:ind w:left="1800"/>
        <w:jc w:val="both"/>
        <w:rPr>
          <w:rFonts w:ascii="Arial" w:hAnsi="Arial" w:cs="Arial"/>
          <w:sz w:val="20"/>
          <w:szCs w:val="20"/>
        </w:rPr>
      </w:pPr>
    </w:p>
    <w:p w:rsidR="00E22CA5" w:rsidRPr="00497D67" w:rsidRDefault="00E22CA5" w:rsidP="005C55E7">
      <w:pPr>
        <w:pStyle w:val="ListParagraph"/>
        <w:autoSpaceDE w:val="0"/>
        <w:autoSpaceDN w:val="0"/>
        <w:adjustRightInd w:val="0"/>
        <w:spacing w:after="0" w:line="240" w:lineRule="auto"/>
        <w:jc w:val="both"/>
        <w:rPr>
          <w:rFonts w:ascii="Arial" w:hAnsi="Arial" w:cs="Arial"/>
          <w:b/>
          <w:sz w:val="20"/>
          <w:szCs w:val="20"/>
        </w:rPr>
      </w:pPr>
    </w:p>
    <w:p w:rsidR="00E22CA5" w:rsidRPr="00497D67" w:rsidRDefault="00E22CA5" w:rsidP="005C55E7">
      <w:pPr>
        <w:pStyle w:val="ListParagraph"/>
        <w:numPr>
          <w:ilvl w:val="0"/>
          <w:numId w:val="77"/>
        </w:numPr>
        <w:autoSpaceDE w:val="0"/>
        <w:autoSpaceDN w:val="0"/>
        <w:adjustRightInd w:val="0"/>
        <w:spacing w:after="0" w:line="240" w:lineRule="auto"/>
        <w:ind w:left="720"/>
        <w:jc w:val="both"/>
        <w:rPr>
          <w:rFonts w:ascii="Arial" w:hAnsi="Arial" w:cs="Arial"/>
          <w:b/>
          <w:sz w:val="20"/>
          <w:szCs w:val="20"/>
        </w:rPr>
      </w:pPr>
      <w:r w:rsidRPr="00497D67">
        <w:rPr>
          <w:rFonts w:ascii="Arial" w:hAnsi="Arial" w:cs="Arial"/>
          <w:sz w:val="20"/>
          <w:szCs w:val="20"/>
        </w:rPr>
        <w:t>Service of transportation of passengers, with or without accompanied belongings, by –</w:t>
      </w:r>
    </w:p>
    <w:p w:rsidR="00E22CA5" w:rsidRPr="00497D67" w:rsidRDefault="00E22CA5" w:rsidP="005C55E7">
      <w:pPr>
        <w:autoSpaceDE w:val="0"/>
        <w:autoSpaceDN w:val="0"/>
        <w:adjustRightInd w:val="0"/>
        <w:spacing w:after="0" w:line="240" w:lineRule="auto"/>
        <w:jc w:val="both"/>
        <w:rPr>
          <w:rFonts w:ascii="Arial" w:hAnsi="Arial" w:cs="Arial"/>
          <w:b/>
          <w:sz w:val="20"/>
          <w:szCs w:val="20"/>
        </w:rPr>
      </w:pPr>
    </w:p>
    <w:p w:rsidR="00E22CA5" w:rsidRPr="00497D67" w:rsidRDefault="00E22CA5" w:rsidP="005C55E7">
      <w:pPr>
        <w:pStyle w:val="ListParagraph"/>
        <w:numPr>
          <w:ilvl w:val="0"/>
          <w:numId w:val="78"/>
        </w:numPr>
        <w:autoSpaceDE w:val="0"/>
        <w:autoSpaceDN w:val="0"/>
        <w:adjustRightInd w:val="0"/>
        <w:spacing w:after="0" w:line="240" w:lineRule="auto"/>
        <w:ind w:left="1800"/>
        <w:jc w:val="both"/>
        <w:rPr>
          <w:rFonts w:ascii="Arial" w:hAnsi="Arial" w:cs="Arial"/>
          <w:b/>
          <w:sz w:val="20"/>
          <w:szCs w:val="20"/>
        </w:rPr>
      </w:pPr>
      <w:r w:rsidRPr="00497D67">
        <w:rPr>
          <w:rFonts w:ascii="Arial" w:hAnsi="Arial" w:cs="Arial"/>
          <w:sz w:val="20"/>
          <w:szCs w:val="20"/>
        </w:rPr>
        <w:t>a stage carriage</w:t>
      </w:r>
    </w:p>
    <w:p w:rsidR="00E22CA5" w:rsidRPr="00497D67" w:rsidRDefault="00E22CA5" w:rsidP="005C55E7">
      <w:pPr>
        <w:pStyle w:val="ListParagraph"/>
        <w:numPr>
          <w:ilvl w:val="0"/>
          <w:numId w:val="78"/>
        </w:numPr>
        <w:autoSpaceDE w:val="0"/>
        <w:autoSpaceDN w:val="0"/>
        <w:adjustRightInd w:val="0"/>
        <w:spacing w:after="0" w:line="240" w:lineRule="auto"/>
        <w:ind w:left="1800"/>
        <w:jc w:val="both"/>
        <w:rPr>
          <w:rFonts w:ascii="Arial" w:hAnsi="Arial" w:cs="Arial"/>
          <w:b/>
          <w:sz w:val="20"/>
          <w:szCs w:val="20"/>
        </w:rPr>
      </w:pPr>
      <w:r w:rsidRPr="00497D67">
        <w:rPr>
          <w:rFonts w:ascii="Arial" w:hAnsi="Arial" w:cs="Arial"/>
          <w:sz w:val="20"/>
          <w:szCs w:val="20"/>
        </w:rPr>
        <w:t>railways in a class other than –</w:t>
      </w:r>
    </w:p>
    <w:p w:rsidR="00E22CA5" w:rsidRPr="00497D67" w:rsidRDefault="00E22CA5" w:rsidP="005C55E7">
      <w:pPr>
        <w:pStyle w:val="ListParagraph"/>
        <w:numPr>
          <w:ilvl w:val="0"/>
          <w:numId w:val="79"/>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First class; or</w:t>
      </w:r>
    </w:p>
    <w:p w:rsidR="00E22CA5" w:rsidRPr="00497D67" w:rsidRDefault="00E22CA5" w:rsidP="005C55E7">
      <w:pPr>
        <w:pStyle w:val="ListParagraph"/>
        <w:numPr>
          <w:ilvl w:val="0"/>
          <w:numId w:val="79"/>
        </w:numPr>
        <w:autoSpaceDE w:val="0"/>
        <w:autoSpaceDN w:val="0"/>
        <w:adjustRightInd w:val="0"/>
        <w:spacing w:after="0" w:line="240" w:lineRule="auto"/>
        <w:jc w:val="both"/>
        <w:rPr>
          <w:rFonts w:ascii="Arial" w:hAnsi="Arial" w:cs="Arial"/>
          <w:b/>
          <w:sz w:val="20"/>
          <w:szCs w:val="20"/>
        </w:rPr>
      </w:pPr>
      <w:r w:rsidRPr="00497D67">
        <w:rPr>
          <w:rFonts w:ascii="Arial" w:hAnsi="Arial" w:cs="Arial"/>
          <w:sz w:val="20"/>
          <w:szCs w:val="20"/>
        </w:rPr>
        <w:t>an air conditioned coach.</w:t>
      </w:r>
    </w:p>
    <w:p w:rsidR="00E22CA5" w:rsidRPr="00497D67" w:rsidRDefault="00E22CA5" w:rsidP="005C55E7">
      <w:pPr>
        <w:pStyle w:val="ListParagraph"/>
        <w:autoSpaceDE w:val="0"/>
        <w:autoSpaceDN w:val="0"/>
        <w:adjustRightInd w:val="0"/>
        <w:spacing w:after="0" w:line="240" w:lineRule="auto"/>
        <w:ind w:left="2520"/>
        <w:jc w:val="both"/>
        <w:rPr>
          <w:rFonts w:ascii="Arial" w:hAnsi="Arial" w:cs="Arial"/>
          <w:b/>
          <w:sz w:val="20"/>
          <w:szCs w:val="20"/>
        </w:rPr>
      </w:pPr>
    </w:p>
    <w:p w:rsidR="00E22CA5" w:rsidRPr="00497D67" w:rsidRDefault="00E22CA5" w:rsidP="005C55E7">
      <w:pPr>
        <w:pStyle w:val="ListParagraph"/>
        <w:numPr>
          <w:ilvl w:val="0"/>
          <w:numId w:val="80"/>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t>metro, monorail or tramway</w:t>
      </w:r>
    </w:p>
    <w:p w:rsidR="00E22CA5" w:rsidRPr="00497D67" w:rsidRDefault="00E22CA5" w:rsidP="005C55E7">
      <w:pPr>
        <w:pStyle w:val="ListParagraph"/>
        <w:numPr>
          <w:ilvl w:val="0"/>
          <w:numId w:val="80"/>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t>inland waterways</w:t>
      </w:r>
    </w:p>
    <w:p w:rsidR="00E22CA5" w:rsidRPr="00497D67" w:rsidRDefault="00E22CA5" w:rsidP="005C55E7">
      <w:pPr>
        <w:pStyle w:val="ListParagraph"/>
        <w:numPr>
          <w:ilvl w:val="0"/>
          <w:numId w:val="80"/>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lastRenderedPageBreak/>
        <w:t>public transport in a vessel of less than fifteen tonne net, other than predominantly for tourism purpose; and</w:t>
      </w:r>
    </w:p>
    <w:p w:rsidR="00E22CA5" w:rsidRPr="00497D67" w:rsidRDefault="00E22CA5" w:rsidP="005C55E7">
      <w:pPr>
        <w:pStyle w:val="ListParagraph"/>
        <w:numPr>
          <w:ilvl w:val="0"/>
          <w:numId w:val="80"/>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t>metered cabs, radio taxis or auto rickshaws.</w:t>
      </w:r>
    </w:p>
    <w:p w:rsidR="00E22CA5" w:rsidRPr="00497D67" w:rsidRDefault="00E22CA5" w:rsidP="005C55E7">
      <w:pPr>
        <w:autoSpaceDE w:val="0"/>
        <w:autoSpaceDN w:val="0"/>
        <w:adjustRightInd w:val="0"/>
        <w:spacing w:after="0" w:line="240" w:lineRule="auto"/>
        <w:ind w:left="1080"/>
        <w:jc w:val="both"/>
        <w:rPr>
          <w:rFonts w:ascii="Arial" w:hAnsi="Arial" w:cs="Arial"/>
          <w:sz w:val="20"/>
          <w:szCs w:val="20"/>
        </w:rPr>
      </w:pPr>
    </w:p>
    <w:p w:rsidR="00E22CA5" w:rsidRPr="00497D67" w:rsidRDefault="00E22CA5" w:rsidP="005C55E7">
      <w:pPr>
        <w:pStyle w:val="ListParagraph"/>
        <w:numPr>
          <w:ilvl w:val="0"/>
          <w:numId w:val="77"/>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Services by way of transportation of goods –</w:t>
      </w:r>
    </w:p>
    <w:p w:rsidR="00E22CA5" w:rsidRPr="00497D67" w:rsidRDefault="00E22CA5" w:rsidP="005C55E7">
      <w:pPr>
        <w:autoSpaceDE w:val="0"/>
        <w:autoSpaceDN w:val="0"/>
        <w:adjustRightInd w:val="0"/>
        <w:spacing w:after="0" w:line="240" w:lineRule="auto"/>
        <w:ind w:left="360"/>
        <w:jc w:val="both"/>
        <w:rPr>
          <w:rFonts w:ascii="Arial" w:hAnsi="Arial" w:cs="Arial"/>
          <w:sz w:val="20"/>
          <w:szCs w:val="20"/>
        </w:rPr>
      </w:pPr>
    </w:p>
    <w:p w:rsidR="00E22CA5" w:rsidRPr="00497D67" w:rsidRDefault="00E22CA5" w:rsidP="005C55E7">
      <w:pPr>
        <w:pStyle w:val="ListParagraph"/>
        <w:numPr>
          <w:ilvl w:val="0"/>
          <w:numId w:val="81"/>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t>by road except the services of –</w:t>
      </w:r>
    </w:p>
    <w:p w:rsidR="00E22CA5" w:rsidRPr="00497D67" w:rsidRDefault="00E22CA5" w:rsidP="005C55E7">
      <w:pPr>
        <w:pStyle w:val="ListParagraph"/>
        <w:numPr>
          <w:ilvl w:val="0"/>
          <w:numId w:val="82"/>
        </w:numPr>
        <w:autoSpaceDE w:val="0"/>
        <w:autoSpaceDN w:val="0"/>
        <w:adjustRightInd w:val="0"/>
        <w:spacing w:after="0" w:line="240" w:lineRule="auto"/>
        <w:ind w:left="2160"/>
        <w:jc w:val="both"/>
        <w:rPr>
          <w:rFonts w:ascii="Arial" w:hAnsi="Arial" w:cs="Arial"/>
          <w:sz w:val="20"/>
          <w:szCs w:val="20"/>
        </w:rPr>
      </w:pPr>
      <w:r w:rsidRPr="00497D67">
        <w:rPr>
          <w:rFonts w:ascii="Arial" w:hAnsi="Arial" w:cs="Arial"/>
          <w:sz w:val="20"/>
          <w:szCs w:val="20"/>
        </w:rPr>
        <w:t>a goods transportation agency; or</w:t>
      </w:r>
    </w:p>
    <w:p w:rsidR="00E22CA5" w:rsidRPr="00497D67" w:rsidRDefault="00E22CA5" w:rsidP="005C55E7">
      <w:pPr>
        <w:pStyle w:val="ListParagraph"/>
        <w:numPr>
          <w:ilvl w:val="0"/>
          <w:numId w:val="82"/>
        </w:numPr>
        <w:autoSpaceDE w:val="0"/>
        <w:autoSpaceDN w:val="0"/>
        <w:adjustRightInd w:val="0"/>
        <w:spacing w:after="0" w:line="240" w:lineRule="auto"/>
        <w:ind w:left="2160"/>
        <w:jc w:val="both"/>
        <w:rPr>
          <w:rFonts w:ascii="Arial" w:hAnsi="Arial" w:cs="Arial"/>
          <w:sz w:val="20"/>
          <w:szCs w:val="20"/>
        </w:rPr>
      </w:pPr>
      <w:r w:rsidRPr="00497D67">
        <w:rPr>
          <w:rFonts w:ascii="Arial" w:hAnsi="Arial" w:cs="Arial"/>
          <w:sz w:val="20"/>
          <w:szCs w:val="20"/>
        </w:rPr>
        <w:t>a courier agency;</w:t>
      </w:r>
    </w:p>
    <w:p w:rsidR="00E22CA5" w:rsidRPr="00497D67" w:rsidRDefault="00E22CA5" w:rsidP="005C55E7">
      <w:pPr>
        <w:pStyle w:val="ListParagraph"/>
        <w:numPr>
          <w:ilvl w:val="0"/>
          <w:numId w:val="81"/>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t>by an aircraft or a vessel from a place outside India to the first customs station of landing in India; or</w:t>
      </w:r>
    </w:p>
    <w:p w:rsidR="00E22CA5" w:rsidRPr="00497D67" w:rsidRDefault="00E22CA5" w:rsidP="005C55E7">
      <w:pPr>
        <w:pStyle w:val="ListParagraph"/>
        <w:numPr>
          <w:ilvl w:val="0"/>
          <w:numId w:val="81"/>
        </w:numPr>
        <w:autoSpaceDE w:val="0"/>
        <w:autoSpaceDN w:val="0"/>
        <w:adjustRightInd w:val="0"/>
        <w:spacing w:after="0" w:line="240" w:lineRule="auto"/>
        <w:ind w:left="1800"/>
        <w:jc w:val="both"/>
        <w:rPr>
          <w:rFonts w:ascii="Arial" w:hAnsi="Arial" w:cs="Arial"/>
          <w:sz w:val="20"/>
          <w:szCs w:val="20"/>
        </w:rPr>
      </w:pPr>
      <w:r w:rsidRPr="00497D67">
        <w:rPr>
          <w:rFonts w:ascii="Arial" w:hAnsi="Arial" w:cs="Arial"/>
          <w:sz w:val="20"/>
          <w:szCs w:val="20"/>
        </w:rPr>
        <w:t>by inland waterways.</w:t>
      </w:r>
    </w:p>
    <w:p w:rsidR="00E22CA5" w:rsidRPr="00497D67" w:rsidRDefault="00E22CA5" w:rsidP="005C55E7">
      <w:pPr>
        <w:autoSpaceDE w:val="0"/>
        <w:autoSpaceDN w:val="0"/>
        <w:adjustRightInd w:val="0"/>
        <w:spacing w:after="0" w:line="240" w:lineRule="auto"/>
        <w:ind w:left="1080"/>
        <w:jc w:val="both"/>
        <w:rPr>
          <w:rFonts w:ascii="Arial" w:hAnsi="Arial" w:cs="Arial"/>
          <w:sz w:val="20"/>
          <w:szCs w:val="20"/>
        </w:rPr>
      </w:pPr>
    </w:p>
    <w:p w:rsidR="00E22CA5" w:rsidRPr="00497D67" w:rsidRDefault="00E22CA5" w:rsidP="005C55E7">
      <w:pPr>
        <w:pStyle w:val="ListParagraph"/>
        <w:numPr>
          <w:ilvl w:val="0"/>
          <w:numId w:val="77"/>
        </w:numPr>
        <w:autoSpaceDE w:val="0"/>
        <w:autoSpaceDN w:val="0"/>
        <w:adjustRightInd w:val="0"/>
        <w:spacing w:after="0" w:line="240" w:lineRule="auto"/>
        <w:ind w:left="720"/>
        <w:jc w:val="both"/>
        <w:rPr>
          <w:rFonts w:ascii="Arial" w:hAnsi="Arial" w:cs="Arial"/>
          <w:sz w:val="20"/>
          <w:szCs w:val="20"/>
        </w:rPr>
      </w:pPr>
      <w:r w:rsidRPr="00497D67">
        <w:rPr>
          <w:rFonts w:ascii="Arial" w:hAnsi="Arial" w:cs="Arial"/>
          <w:sz w:val="20"/>
          <w:szCs w:val="20"/>
        </w:rPr>
        <w:t>Funeral, burial, crematorium or mortuary services including transportation of the deceased.</w:t>
      </w: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E22CA5" w:rsidRPr="00497D67" w:rsidRDefault="00E22CA5"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pStyle w:val="ListParagraph"/>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ind w:left="360"/>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CF46E0" w:rsidRPr="00497D67" w:rsidRDefault="00CF46E0"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241645" w:rsidRPr="00497D67" w:rsidRDefault="00241645" w:rsidP="005C55E7">
      <w:pPr>
        <w:autoSpaceDE w:val="0"/>
        <w:autoSpaceDN w:val="0"/>
        <w:adjustRightInd w:val="0"/>
        <w:spacing w:after="0" w:line="240" w:lineRule="auto"/>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B415BC" w:rsidRPr="00497D67" w:rsidRDefault="00B415BC" w:rsidP="005C55E7">
      <w:pPr>
        <w:autoSpaceDE w:val="0"/>
        <w:autoSpaceDN w:val="0"/>
        <w:adjustRightInd w:val="0"/>
        <w:spacing w:after="0" w:line="240" w:lineRule="auto"/>
        <w:ind w:left="720"/>
        <w:jc w:val="both"/>
        <w:rPr>
          <w:rFonts w:ascii="Arial" w:hAnsi="Arial" w:cs="Arial"/>
          <w:sz w:val="20"/>
          <w:szCs w:val="20"/>
        </w:rPr>
      </w:pPr>
    </w:p>
    <w:p w:rsidR="00AA5663" w:rsidRPr="00497D67" w:rsidRDefault="00AA5663" w:rsidP="005C55E7">
      <w:pPr>
        <w:autoSpaceDE w:val="0"/>
        <w:autoSpaceDN w:val="0"/>
        <w:adjustRightInd w:val="0"/>
        <w:spacing w:after="0" w:line="240" w:lineRule="auto"/>
        <w:ind w:left="720"/>
        <w:jc w:val="both"/>
        <w:rPr>
          <w:rFonts w:ascii="Arial" w:hAnsi="Arial" w:cs="Arial"/>
          <w:sz w:val="20"/>
          <w:szCs w:val="20"/>
        </w:rPr>
      </w:pPr>
    </w:p>
    <w:p w:rsidR="00AA5663" w:rsidRPr="00497D67" w:rsidRDefault="00AA5663" w:rsidP="005C55E7">
      <w:pPr>
        <w:autoSpaceDE w:val="0"/>
        <w:autoSpaceDN w:val="0"/>
        <w:adjustRightInd w:val="0"/>
        <w:spacing w:after="0" w:line="240" w:lineRule="auto"/>
        <w:jc w:val="both"/>
        <w:rPr>
          <w:rFonts w:ascii="Arial" w:hAnsi="Arial" w:cs="Arial"/>
          <w:sz w:val="20"/>
          <w:szCs w:val="20"/>
        </w:rPr>
      </w:pPr>
      <w:r w:rsidRPr="00497D67">
        <w:rPr>
          <w:rFonts w:ascii="Arial" w:hAnsi="Arial" w:cs="Arial"/>
          <w:sz w:val="20"/>
          <w:szCs w:val="20"/>
        </w:rPr>
        <w:t>.</w:t>
      </w:r>
    </w:p>
    <w:sectPr w:rsidR="00AA5663" w:rsidRPr="00497D67" w:rsidSect="00A53D55">
      <w:footerReference w:type="default" r:id="rId9"/>
      <w:pgSz w:w="11907" w:h="16839" w:code="9"/>
      <w:pgMar w:top="990" w:right="1647" w:bottom="1440" w:left="117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478" w:rsidRDefault="009E2478" w:rsidP="00A10067">
      <w:pPr>
        <w:spacing w:after="0" w:line="240" w:lineRule="auto"/>
      </w:pPr>
      <w:r>
        <w:separator/>
      </w:r>
    </w:p>
  </w:endnote>
  <w:endnote w:type="continuationSeparator" w:id="1">
    <w:p w:rsidR="009E2478" w:rsidRDefault="009E2478" w:rsidP="00A10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13"/>
      <w:docPartObj>
        <w:docPartGallery w:val="Page Numbers (Bottom of Page)"/>
        <w:docPartUnique/>
      </w:docPartObj>
    </w:sdtPr>
    <w:sdtEndPr>
      <w:rPr>
        <w:color w:val="7F7F7F" w:themeColor="background1" w:themeShade="7F"/>
        <w:spacing w:val="60"/>
      </w:rPr>
    </w:sdtEndPr>
    <w:sdtContent>
      <w:p w:rsidR="00E3336D" w:rsidRDefault="00287397">
        <w:pPr>
          <w:pStyle w:val="Footer"/>
          <w:pBdr>
            <w:top w:val="single" w:sz="4" w:space="1" w:color="D9D9D9" w:themeColor="background1" w:themeShade="D9"/>
          </w:pBdr>
          <w:jc w:val="right"/>
        </w:pPr>
        <w:fldSimple w:instr=" PAGE   \* MERGEFORMAT ">
          <w:r w:rsidR="00A53D55">
            <w:rPr>
              <w:noProof/>
            </w:rPr>
            <w:t>24</w:t>
          </w:r>
        </w:fldSimple>
        <w:r w:rsidR="00E3336D">
          <w:t xml:space="preserve"> | </w:t>
        </w:r>
        <w:r w:rsidR="00E3336D">
          <w:rPr>
            <w:color w:val="7F7F7F" w:themeColor="background1" w:themeShade="7F"/>
            <w:spacing w:val="60"/>
          </w:rPr>
          <w:t>Page</w:t>
        </w:r>
      </w:p>
    </w:sdtContent>
  </w:sdt>
  <w:p w:rsidR="00E3336D" w:rsidRDefault="00E33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478" w:rsidRDefault="009E2478" w:rsidP="00A10067">
      <w:pPr>
        <w:spacing w:after="0" w:line="240" w:lineRule="auto"/>
      </w:pPr>
      <w:r>
        <w:separator/>
      </w:r>
    </w:p>
  </w:footnote>
  <w:footnote w:type="continuationSeparator" w:id="1">
    <w:p w:rsidR="009E2478" w:rsidRDefault="009E2478" w:rsidP="00A100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D31"/>
    <w:multiLevelType w:val="hybridMultilevel"/>
    <w:tmpl w:val="9326A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444ED"/>
    <w:multiLevelType w:val="hybridMultilevel"/>
    <w:tmpl w:val="F6C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E7880"/>
    <w:multiLevelType w:val="hybridMultilevel"/>
    <w:tmpl w:val="6840B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F05794"/>
    <w:multiLevelType w:val="hybridMultilevel"/>
    <w:tmpl w:val="81308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F35D51"/>
    <w:multiLevelType w:val="hybridMultilevel"/>
    <w:tmpl w:val="A044CC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5E3B12"/>
    <w:multiLevelType w:val="hybridMultilevel"/>
    <w:tmpl w:val="CA34B8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A26643"/>
    <w:multiLevelType w:val="hybridMultilevel"/>
    <w:tmpl w:val="A52C0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67CBA"/>
    <w:multiLevelType w:val="hybridMultilevel"/>
    <w:tmpl w:val="D9624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951F9"/>
    <w:multiLevelType w:val="hybridMultilevel"/>
    <w:tmpl w:val="47C02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8E287E"/>
    <w:multiLevelType w:val="hybridMultilevel"/>
    <w:tmpl w:val="5CD263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F15387"/>
    <w:multiLevelType w:val="hybridMultilevel"/>
    <w:tmpl w:val="2EA26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8201D6"/>
    <w:multiLevelType w:val="hybridMultilevel"/>
    <w:tmpl w:val="3DFC5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0FA0A9F"/>
    <w:multiLevelType w:val="hybridMultilevel"/>
    <w:tmpl w:val="216C8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9435A"/>
    <w:multiLevelType w:val="hybridMultilevel"/>
    <w:tmpl w:val="0BAAC5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044748"/>
    <w:multiLevelType w:val="hybridMultilevel"/>
    <w:tmpl w:val="FE58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293F34"/>
    <w:multiLevelType w:val="hybridMultilevel"/>
    <w:tmpl w:val="0486E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CF109D"/>
    <w:multiLevelType w:val="hybridMultilevel"/>
    <w:tmpl w:val="E06052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84666CD"/>
    <w:multiLevelType w:val="hybridMultilevel"/>
    <w:tmpl w:val="AB4853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D44575"/>
    <w:multiLevelType w:val="hybridMultilevel"/>
    <w:tmpl w:val="D88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943EEE"/>
    <w:multiLevelType w:val="hybridMultilevel"/>
    <w:tmpl w:val="071617C0"/>
    <w:lvl w:ilvl="0" w:tplc="22A8E7A2">
      <w:start w:val="1"/>
      <w:numFmt w:val="decimal"/>
      <w:lvlText w:val="%1."/>
      <w:lvlJc w:val="left"/>
      <w:pPr>
        <w:ind w:left="360" w:hanging="360"/>
      </w:pPr>
      <w:rPr>
        <w:rFonts w:ascii="Cooper Black" w:hAnsi="Cooper Black"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97136E"/>
    <w:multiLevelType w:val="hybridMultilevel"/>
    <w:tmpl w:val="2EDE7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E27B65"/>
    <w:multiLevelType w:val="hybridMultilevel"/>
    <w:tmpl w:val="69F8B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4546BF4"/>
    <w:multiLevelType w:val="hybridMultilevel"/>
    <w:tmpl w:val="6108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853BCB"/>
    <w:multiLevelType w:val="hybridMultilevel"/>
    <w:tmpl w:val="EB9E9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B543E6"/>
    <w:multiLevelType w:val="hybridMultilevel"/>
    <w:tmpl w:val="345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6902D79"/>
    <w:multiLevelType w:val="hybridMultilevel"/>
    <w:tmpl w:val="24B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B26193"/>
    <w:multiLevelType w:val="hybridMultilevel"/>
    <w:tmpl w:val="4A6A3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A2104C"/>
    <w:multiLevelType w:val="hybridMultilevel"/>
    <w:tmpl w:val="68BAFE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CFB44DC"/>
    <w:multiLevelType w:val="hybridMultilevel"/>
    <w:tmpl w:val="2C341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FD2140"/>
    <w:multiLevelType w:val="hybridMultilevel"/>
    <w:tmpl w:val="9F224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58115D"/>
    <w:multiLevelType w:val="hybridMultilevel"/>
    <w:tmpl w:val="5692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6920CD"/>
    <w:multiLevelType w:val="hybridMultilevel"/>
    <w:tmpl w:val="E564D8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F051027"/>
    <w:multiLevelType w:val="hybridMultilevel"/>
    <w:tmpl w:val="D8782C9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2FE34B4C"/>
    <w:multiLevelType w:val="hybridMultilevel"/>
    <w:tmpl w:val="15ACDD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30D476B3"/>
    <w:multiLevelType w:val="hybridMultilevel"/>
    <w:tmpl w:val="E27A0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91601B"/>
    <w:multiLevelType w:val="hybridMultilevel"/>
    <w:tmpl w:val="137CE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C0342B"/>
    <w:multiLevelType w:val="hybridMultilevel"/>
    <w:tmpl w:val="8A1CF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5E5C4C"/>
    <w:multiLevelType w:val="hybridMultilevel"/>
    <w:tmpl w:val="104205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86B1400"/>
    <w:multiLevelType w:val="hybridMultilevel"/>
    <w:tmpl w:val="25CA3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B5F6943"/>
    <w:multiLevelType w:val="hybridMultilevel"/>
    <w:tmpl w:val="1B1EC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5F15D8"/>
    <w:multiLevelType w:val="hybridMultilevel"/>
    <w:tmpl w:val="7548C02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3DF2266F"/>
    <w:multiLevelType w:val="hybridMultilevel"/>
    <w:tmpl w:val="551435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E771CB9"/>
    <w:multiLevelType w:val="hybridMultilevel"/>
    <w:tmpl w:val="47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9651CB"/>
    <w:multiLevelType w:val="hybridMultilevel"/>
    <w:tmpl w:val="42366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AB4262"/>
    <w:multiLevelType w:val="hybridMultilevel"/>
    <w:tmpl w:val="E31C4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BD654C"/>
    <w:multiLevelType w:val="hybridMultilevel"/>
    <w:tmpl w:val="0A4A09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1AF0D9B"/>
    <w:multiLevelType w:val="hybridMultilevel"/>
    <w:tmpl w:val="3BDA8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37400F"/>
    <w:multiLevelType w:val="hybridMultilevel"/>
    <w:tmpl w:val="92126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489793D"/>
    <w:multiLevelType w:val="hybridMultilevel"/>
    <w:tmpl w:val="A60A81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6974678"/>
    <w:multiLevelType w:val="hybridMultilevel"/>
    <w:tmpl w:val="88325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92B4AA7"/>
    <w:multiLevelType w:val="hybridMultilevel"/>
    <w:tmpl w:val="79D67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9D5406F"/>
    <w:multiLevelType w:val="hybridMultilevel"/>
    <w:tmpl w:val="78D02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2731A1"/>
    <w:multiLevelType w:val="hybridMultilevel"/>
    <w:tmpl w:val="DCF897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4DB85879"/>
    <w:multiLevelType w:val="hybridMultilevel"/>
    <w:tmpl w:val="664CF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B91D24"/>
    <w:multiLevelType w:val="hybridMultilevel"/>
    <w:tmpl w:val="106E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1444B2"/>
    <w:multiLevelType w:val="hybridMultilevel"/>
    <w:tmpl w:val="A872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0A10DD"/>
    <w:multiLevelType w:val="hybridMultilevel"/>
    <w:tmpl w:val="A69EA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2765BF"/>
    <w:multiLevelType w:val="hybridMultilevel"/>
    <w:tmpl w:val="E870B0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2F711CB"/>
    <w:multiLevelType w:val="hybridMultilevel"/>
    <w:tmpl w:val="620CC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0D4E7C"/>
    <w:multiLevelType w:val="hybridMultilevel"/>
    <w:tmpl w:val="DB140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4186CAD"/>
    <w:multiLevelType w:val="hybridMultilevel"/>
    <w:tmpl w:val="0CFA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405BF3"/>
    <w:multiLevelType w:val="hybridMultilevel"/>
    <w:tmpl w:val="246A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E67F29"/>
    <w:multiLevelType w:val="hybridMultilevel"/>
    <w:tmpl w:val="557AB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72E4FC4"/>
    <w:multiLevelType w:val="hybridMultilevel"/>
    <w:tmpl w:val="DB447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8FB5E1D"/>
    <w:multiLevelType w:val="hybridMultilevel"/>
    <w:tmpl w:val="0778F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097D31"/>
    <w:multiLevelType w:val="hybridMultilevel"/>
    <w:tmpl w:val="98EAE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6865A9"/>
    <w:multiLevelType w:val="hybridMultilevel"/>
    <w:tmpl w:val="876E1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BDA7612"/>
    <w:multiLevelType w:val="hybridMultilevel"/>
    <w:tmpl w:val="5E622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A23D33"/>
    <w:multiLevelType w:val="hybridMultilevel"/>
    <w:tmpl w:val="1352AA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FA62FEC"/>
    <w:multiLevelType w:val="hybridMultilevel"/>
    <w:tmpl w:val="D7162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233046E"/>
    <w:multiLevelType w:val="hybridMultilevel"/>
    <w:tmpl w:val="C52CA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7020DC5"/>
    <w:multiLevelType w:val="hybridMultilevel"/>
    <w:tmpl w:val="F8B600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E12022C"/>
    <w:multiLevelType w:val="hybridMultilevel"/>
    <w:tmpl w:val="9632A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EC36B86"/>
    <w:multiLevelType w:val="hybridMultilevel"/>
    <w:tmpl w:val="618E0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F107AAD"/>
    <w:multiLevelType w:val="hybridMultilevel"/>
    <w:tmpl w:val="CC3A81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1FC2E76"/>
    <w:multiLevelType w:val="hybridMultilevel"/>
    <w:tmpl w:val="0B4CB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4135C8"/>
    <w:multiLevelType w:val="hybridMultilevel"/>
    <w:tmpl w:val="EFCAD6C2"/>
    <w:lvl w:ilvl="0" w:tplc="22A8E7A2">
      <w:start w:val="1"/>
      <w:numFmt w:val="decimal"/>
      <w:lvlText w:val="%1."/>
      <w:lvlJc w:val="left"/>
      <w:pPr>
        <w:ind w:left="360" w:hanging="360"/>
      </w:pPr>
      <w:rPr>
        <w:rFonts w:ascii="Cooper Black" w:hAnsi="Cooper Black"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C54304"/>
    <w:multiLevelType w:val="hybridMultilevel"/>
    <w:tmpl w:val="F0AE0D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6D519BF"/>
    <w:multiLevelType w:val="hybridMultilevel"/>
    <w:tmpl w:val="E1925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AB6584D"/>
    <w:multiLevelType w:val="hybridMultilevel"/>
    <w:tmpl w:val="7494D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B832714"/>
    <w:multiLevelType w:val="hybridMultilevel"/>
    <w:tmpl w:val="8146B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E706935"/>
    <w:multiLevelType w:val="hybridMultilevel"/>
    <w:tmpl w:val="4F829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EF8356A"/>
    <w:multiLevelType w:val="hybridMultilevel"/>
    <w:tmpl w:val="39668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20398E"/>
    <w:multiLevelType w:val="hybridMultilevel"/>
    <w:tmpl w:val="9F4A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4"/>
  </w:num>
  <w:num w:numId="3">
    <w:abstractNumId w:val="53"/>
  </w:num>
  <w:num w:numId="4">
    <w:abstractNumId w:val="41"/>
  </w:num>
  <w:num w:numId="5">
    <w:abstractNumId w:val="28"/>
  </w:num>
  <w:num w:numId="6">
    <w:abstractNumId w:val="62"/>
  </w:num>
  <w:num w:numId="7">
    <w:abstractNumId w:val="74"/>
  </w:num>
  <w:num w:numId="8">
    <w:abstractNumId w:val="4"/>
  </w:num>
  <w:num w:numId="9">
    <w:abstractNumId w:val="27"/>
  </w:num>
  <w:num w:numId="10">
    <w:abstractNumId w:val="77"/>
  </w:num>
  <w:num w:numId="11">
    <w:abstractNumId w:val="33"/>
  </w:num>
  <w:num w:numId="12">
    <w:abstractNumId w:val="29"/>
  </w:num>
  <w:num w:numId="13">
    <w:abstractNumId w:val="49"/>
  </w:num>
  <w:num w:numId="14">
    <w:abstractNumId w:val="13"/>
  </w:num>
  <w:num w:numId="15">
    <w:abstractNumId w:val="9"/>
  </w:num>
  <w:num w:numId="16">
    <w:abstractNumId w:val="2"/>
  </w:num>
  <w:num w:numId="17">
    <w:abstractNumId w:val="10"/>
  </w:num>
  <w:num w:numId="18">
    <w:abstractNumId w:val="48"/>
  </w:num>
  <w:num w:numId="19">
    <w:abstractNumId w:val="30"/>
  </w:num>
  <w:num w:numId="20">
    <w:abstractNumId w:val="68"/>
  </w:num>
  <w:num w:numId="21">
    <w:abstractNumId w:val="71"/>
  </w:num>
  <w:num w:numId="22">
    <w:abstractNumId w:val="50"/>
  </w:num>
  <w:num w:numId="23">
    <w:abstractNumId w:val="45"/>
  </w:num>
  <w:num w:numId="24">
    <w:abstractNumId w:val="8"/>
  </w:num>
  <w:num w:numId="25">
    <w:abstractNumId w:val="18"/>
  </w:num>
  <w:num w:numId="26">
    <w:abstractNumId w:val="40"/>
  </w:num>
  <w:num w:numId="27">
    <w:abstractNumId w:val="14"/>
  </w:num>
  <w:num w:numId="28">
    <w:abstractNumId w:val="70"/>
  </w:num>
  <w:num w:numId="29">
    <w:abstractNumId w:val="51"/>
  </w:num>
  <w:num w:numId="30">
    <w:abstractNumId w:val="6"/>
  </w:num>
  <w:num w:numId="31">
    <w:abstractNumId w:val="63"/>
  </w:num>
  <w:num w:numId="32">
    <w:abstractNumId w:val="80"/>
  </w:num>
  <w:num w:numId="33">
    <w:abstractNumId w:val="34"/>
  </w:num>
  <w:num w:numId="34">
    <w:abstractNumId w:val="57"/>
  </w:num>
  <w:num w:numId="35">
    <w:abstractNumId w:val="59"/>
  </w:num>
  <w:num w:numId="36">
    <w:abstractNumId w:val="1"/>
  </w:num>
  <w:num w:numId="37">
    <w:abstractNumId w:val="22"/>
  </w:num>
  <w:num w:numId="38">
    <w:abstractNumId w:val="15"/>
  </w:num>
  <w:num w:numId="39">
    <w:abstractNumId w:val="73"/>
  </w:num>
  <w:num w:numId="40">
    <w:abstractNumId w:val="0"/>
  </w:num>
  <w:num w:numId="41">
    <w:abstractNumId w:val="23"/>
  </w:num>
  <w:num w:numId="42">
    <w:abstractNumId w:val="54"/>
  </w:num>
  <w:num w:numId="43">
    <w:abstractNumId w:val="16"/>
  </w:num>
  <w:num w:numId="44">
    <w:abstractNumId w:val="83"/>
  </w:num>
  <w:num w:numId="45">
    <w:abstractNumId w:val="66"/>
  </w:num>
  <w:num w:numId="46">
    <w:abstractNumId w:val="67"/>
  </w:num>
  <w:num w:numId="47">
    <w:abstractNumId w:val="61"/>
  </w:num>
  <w:num w:numId="48">
    <w:abstractNumId w:val="31"/>
  </w:num>
  <w:num w:numId="49">
    <w:abstractNumId w:val="52"/>
  </w:num>
  <w:num w:numId="50">
    <w:abstractNumId w:val="46"/>
  </w:num>
  <w:num w:numId="51">
    <w:abstractNumId w:val="25"/>
  </w:num>
  <w:num w:numId="52">
    <w:abstractNumId w:val="36"/>
  </w:num>
  <w:num w:numId="53">
    <w:abstractNumId w:val="81"/>
  </w:num>
  <w:num w:numId="54">
    <w:abstractNumId w:val="20"/>
  </w:num>
  <w:num w:numId="55">
    <w:abstractNumId w:val="82"/>
  </w:num>
  <w:num w:numId="56">
    <w:abstractNumId w:val="75"/>
  </w:num>
  <w:num w:numId="57">
    <w:abstractNumId w:val="12"/>
  </w:num>
  <w:num w:numId="58">
    <w:abstractNumId w:val="43"/>
  </w:num>
  <w:num w:numId="59">
    <w:abstractNumId w:val="47"/>
  </w:num>
  <w:num w:numId="60">
    <w:abstractNumId w:val="26"/>
  </w:num>
  <w:num w:numId="61">
    <w:abstractNumId w:val="65"/>
  </w:num>
  <w:num w:numId="62">
    <w:abstractNumId w:val="35"/>
  </w:num>
  <w:num w:numId="63">
    <w:abstractNumId w:val="7"/>
  </w:num>
  <w:num w:numId="64">
    <w:abstractNumId w:val="39"/>
  </w:num>
  <w:num w:numId="65">
    <w:abstractNumId w:val="69"/>
  </w:num>
  <w:num w:numId="66">
    <w:abstractNumId w:val="58"/>
  </w:num>
  <w:num w:numId="67">
    <w:abstractNumId w:val="38"/>
  </w:num>
  <w:num w:numId="68">
    <w:abstractNumId w:val="60"/>
  </w:num>
  <w:num w:numId="69">
    <w:abstractNumId w:val="5"/>
  </w:num>
  <w:num w:numId="70">
    <w:abstractNumId w:val="24"/>
  </w:num>
  <w:num w:numId="71">
    <w:abstractNumId w:val="79"/>
  </w:num>
  <w:num w:numId="72">
    <w:abstractNumId w:val="11"/>
  </w:num>
  <w:num w:numId="73">
    <w:abstractNumId w:val="72"/>
  </w:num>
  <w:num w:numId="74">
    <w:abstractNumId w:val="3"/>
  </w:num>
  <w:num w:numId="75">
    <w:abstractNumId w:val="56"/>
  </w:num>
  <w:num w:numId="76">
    <w:abstractNumId w:val="44"/>
  </w:num>
  <w:num w:numId="77">
    <w:abstractNumId w:val="17"/>
  </w:num>
  <w:num w:numId="78">
    <w:abstractNumId w:val="42"/>
  </w:num>
  <w:num w:numId="79">
    <w:abstractNumId w:val="32"/>
  </w:num>
  <w:num w:numId="80">
    <w:abstractNumId w:val="78"/>
  </w:num>
  <w:num w:numId="81">
    <w:abstractNumId w:val="55"/>
  </w:num>
  <w:num w:numId="82">
    <w:abstractNumId w:val="37"/>
  </w:num>
  <w:num w:numId="83">
    <w:abstractNumId w:val="19"/>
  </w:num>
  <w:num w:numId="84">
    <w:abstractNumId w:val="76"/>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24578">
      <o:colormenu v:ext="edit" fillcolor="none [3212]"/>
    </o:shapedefaults>
  </w:hdrShapeDefaults>
  <w:footnotePr>
    <w:footnote w:id="0"/>
    <w:footnote w:id="1"/>
  </w:footnotePr>
  <w:endnotePr>
    <w:endnote w:id="0"/>
    <w:endnote w:id="1"/>
  </w:endnotePr>
  <w:compat/>
  <w:rsids>
    <w:rsidRoot w:val="009D03D2"/>
    <w:rsid w:val="00003457"/>
    <w:rsid w:val="00040B29"/>
    <w:rsid w:val="00044EB0"/>
    <w:rsid w:val="00084894"/>
    <w:rsid w:val="000D4797"/>
    <w:rsid w:val="000D60F8"/>
    <w:rsid w:val="000E169C"/>
    <w:rsid w:val="000E67D5"/>
    <w:rsid w:val="000E7D28"/>
    <w:rsid w:val="000F56EB"/>
    <w:rsid w:val="000F61DB"/>
    <w:rsid w:val="00102E12"/>
    <w:rsid w:val="001234BE"/>
    <w:rsid w:val="00132162"/>
    <w:rsid w:val="00180A6F"/>
    <w:rsid w:val="00192EC9"/>
    <w:rsid w:val="001932EE"/>
    <w:rsid w:val="00196E91"/>
    <w:rsid w:val="001B147E"/>
    <w:rsid w:val="001B3451"/>
    <w:rsid w:val="001D5B59"/>
    <w:rsid w:val="001E4239"/>
    <w:rsid w:val="001E7AD5"/>
    <w:rsid w:val="00217D00"/>
    <w:rsid w:val="0022374C"/>
    <w:rsid w:val="00233925"/>
    <w:rsid w:val="00241178"/>
    <w:rsid w:val="00241645"/>
    <w:rsid w:val="002674BC"/>
    <w:rsid w:val="00287397"/>
    <w:rsid w:val="002A166F"/>
    <w:rsid w:val="002A33A5"/>
    <w:rsid w:val="002C6172"/>
    <w:rsid w:val="002C7D42"/>
    <w:rsid w:val="002E4217"/>
    <w:rsid w:val="00303524"/>
    <w:rsid w:val="00314BBE"/>
    <w:rsid w:val="003178B5"/>
    <w:rsid w:val="00320D90"/>
    <w:rsid w:val="00321751"/>
    <w:rsid w:val="003374C6"/>
    <w:rsid w:val="00343909"/>
    <w:rsid w:val="0035436A"/>
    <w:rsid w:val="00357950"/>
    <w:rsid w:val="00363559"/>
    <w:rsid w:val="0038366C"/>
    <w:rsid w:val="003A28E8"/>
    <w:rsid w:val="003C2FE9"/>
    <w:rsid w:val="003E6C0F"/>
    <w:rsid w:val="003F47CB"/>
    <w:rsid w:val="0044083A"/>
    <w:rsid w:val="004653AE"/>
    <w:rsid w:val="00486B55"/>
    <w:rsid w:val="00497D67"/>
    <w:rsid w:val="004B57CB"/>
    <w:rsid w:val="00504155"/>
    <w:rsid w:val="00553DC2"/>
    <w:rsid w:val="005834DC"/>
    <w:rsid w:val="005971A7"/>
    <w:rsid w:val="005A059C"/>
    <w:rsid w:val="005C55E7"/>
    <w:rsid w:val="005C56E2"/>
    <w:rsid w:val="005D1CDD"/>
    <w:rsid w:val="005D60E9"/>
    <w:rsid w:val="00613BFB"/>
    <w:rsid w:val="0061644B"/>
    <w:rsid w:val="0063557C"/>
    <w:rsid w:val="00676C9F"/>
    <w:rsid w:val="006D7B73"/>
    <w:rsid w:val="006F24E5"/>
    <w:rsid w:val="0072176D"/>
    <w:rsid w:val="00735CC8"/>
    <w:rsid w:val="00783A55"/>
    <w:rsid w:val="007A4626"/>
    <w:rsid w:val="007B6691"/>
    <w:rsid w:val="008047AF"/>
    <w:rsid w:val="00812A1D"/>
    <w:rsid w:val="008245D8"/>
    <w:rsid w:val="00825DA6"/>
    <w:rsid w:val="00876BDB"/>
    <w:rsid w:val="008B0499"/>
    <w:rsid w:val="008B4266"/>
    <w:rsid w:val="008E68EF"/>
    <w:rsid w:val="008E7DB1"/>
    <w:rsid w:val="00910051"/>
    <w:rsid w:val="00915704"/>
    <w:rsid w:val="009407EF"/>
    <w:rsid w:val="009457FF"/>
    <w:rsid w:val="00954BCC"/>
    <w:rsid w:val="00965296"/>
    <w:rsid w:val="009B4DB4"/>
    <w:rsid w:val="009C0240"/>
    <w:rsid w:val="009C1F08"/>
    <w:rsid w:val="009D03D2"/>
    <w:rsid w:val="009D4983"/>
    <w:rsid w:val="009E2478"/>
    <w:rsid w:val="009E3006"/>
    <w:rsid w:val="00A10067"/>
    <w:rsid w:val="00A14934"/>
    <w:rsid w:val="00A235DF"/>
    <w:rsid w:val="00A2740C"/>
    <w:rsid w:val="00A4622F"/>
    <w:rsid w:val="00A53D55"/>
    <w:rsid w:val="00AA5663"/>
    <w:rsid w:val="00AA7110"/>
    <w:rsid w:val="00AD2305"/>
    <w:rsid w:val="00AF3BC9"/>
    <w:rsid w:val="00B02A22"/>
    <w:rsid w:val="00B22AB4"/>
    <w:rsid w:val="00B22AFB"/>
    <w:rsid w:val="00B4020C"/>
    <w:rsid w:val="00B415BC"/>
    <w:rsid w:val="00B4579F"/>
    <w:rsid w:val="00B45C45"/>
    <w:rsid w:val="00B510CA"/>
    <w:rsid w:val="00B572DF"/>
    <w:rsid w:val="00B66CFF"/>
    <w:rsid w:val="00B70E1A"/>
    <w:rsid w:val="00B72813"/>
    <w:rsid w:val="00B816BA"/>
    <w:rsid w:val="00B84C28"/>
    <w:rsid w:val="00B85BC4"/>
    <w:rsid w:val="00BC6640"/>
    <w:rsid w:val="00C12AD2"/>
    <w:rsid w:val="00C27B92"/>
    <w:rsid w:val="00C31447"/>
    <w:rsid w:val="00C367DF"/>
    <w:rsid w:val="00C429CC"/>
    <w:rsid w:val="00C45ABC"/>
    <w:rsid w:val="00C72EF8"/>
    <w:rsid w:val="00CA0FBF"/>
    <w:rsid w:val="00CA6A33"/>
    <w:rsid w:val="00CB071B"/>
    <w:rsid w:val="00CD5668"/>
    <w:rsid w:val="00CE4E1A"/>
    <w:rsid w:val="00CF46E0"/>
    <w:rsid w:val="00D250E8"/>
    <w:rsid w:val="00D318B6"/>
    <w:rsid w:val="00D543D5"/>
    <w:rsid w:val="00E15141"/>
    <w:rsid w:val="00E16BAC"/>
    <w:rsid w:val="00E214F5"/>
    <w:rsid w:val="00E22CA5"/>
    <w:rsid w:val="00E3336D"/>
    <w:rsid w:val="00E51DB9"/>
    <w:rsid w:val="00E90503"/>
    <w:rsid w:val="00EF46D5"/>
    <w:rsid w:val="00EF7946"/>
    <w:rsid w:val="00F51A5D"/>
    <w:rsid w:val="00F569E2"/>
    <w:rsid w:val="00F62066"/>
    <w:rsid w:val="00F75D25"/>
    <w:rsid w:val="00F768F8"/>
    <w:rsid w:val="00F80455"/>
    <w:rsid w:val="00F807A7"/>
    <w:rsid w:val="00F855BB"/>
    <w:rsid w:val="00F93C0C"/>
    <w:rsid w:val="00FA428F"/>
    <w:rsid w:val="00FA65C5"/>
    <w:rsid w:val="00FD6087"/>
    <w:rsid w:val="00FE49FC"/>
    <w:rsid w:val="00FF6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3212]"/>
    </o:shapedefaults>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26"/>
  </w:style>
  <w:style w:type="paragraph" w:styleId="Heading1">
    <w:name w:val="heading 1"/>
    <w:basedOn w:val="Normal"/>
    <w:next w:val="Normal"/>
    <w:link w:val="Heading1Char"/>
    <w:uiPriority w:val="9"/>
    <w:qFormat/>
    <w:rsid w:val="009D03D2"/>
    <w:pPr>
      <w:keepNext/>
      <w:keepLines/>
      <w:spacing w:before="480" w:after="0"/>
      <w:outlineLvl w:val="0"/>
    </w:pPr>
    <w:rPr>
      <w:rFonts w:asciiTheme="majorHAnsi" w:eastAsiaTheme="majorEastAsia" w:hAnsiTheme="majorHAnsi" w:cstheme="majorBidi"/>
      <w:b/>
      <w:bCs/>
      <w:color w:val="B38000" w:themeColor="accent1" w:themeShade="BF"/>
      <w:sz w:val="28"/>
      <w:szCs w:val="28"/>
    </w:rPr>
  </w:style>
  <w:style w:type="paragraph" w:styleId="Heading2">
    <w:name w:val="heading 2"/>
    <w:basedOn w:val="Normal"/>
    <w:next w:val="Normal"/>
    <w:link w:val="Heading2Char"/>
    <w:uiPriority w:val="9"/>
    <w:semiHidden/>
    <w:unhideWhenUsed/>
    <w:qFormat/>
    <w:rsid w:val="00FD6087"/>
    <w:pPr>
      <w:keepNext/>
      <w:keepLines/>
      <w:spacing w:before="200" w:after="0"/>
      <w:outlineLvl w:val="1"/>
    </w:pPr>
    <w:rPr>
      <w:rFonts w:asciiTheme="majorHAnsi" w:eastAsiaTheme="majorEastAsia" w:hAnsiTheme="majorHAnsi" w:cstheme="majorBidi"/>
      <w:b/>
      <w:bCs/>
      <w:color w:val="F0AD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D2"/>
    <w:rPr>
      <w:rFonts w:asciiTheme="majorHAnsi" w:eastAsiaTheme="majorEastAsia" w:hAnsiTheme="majorHAnsi" w:cstheme="majorBidi"/>
      <w:b/>
      <w:bCs/>
      <w:color w:val="B38000" w:themeColor="accent1" w:themeShade="BF"/>
      <w:sz w:val="28"/>
      <w:szCs w:val="28"/>
    </w:rPr>
  </w:style>
  <w:style w:type="paragraph" w:styleId="ListParagraph">
    <w:name w:val="List Paragraph"/>
    <w:basedOn w:val="Normal"/>
    <w:uiPriority w:val="34"/>
    <w:qFormat/>
    <w:rsid w:val="009D03D2"/>
    <w:pPr>
      <w:ind w:left="720"/>
      <w:contextualSpacing/>
    </w:pPr>
  </w:style>
  <w:style w:type="table" w:styleId="TableGrid">
    <w:name w:val="Table Grid"/>
    <w:basedOn w:val="TableNormal"/>
    <w:uiPriority w:val="59"/>
    <w:rsid w:val="00CD5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B85BC4"/>
    <w:pPr>
      <w:spacing w:after="0" w:line="240" w:lineRule="auto"/>
    </w:pPr>
    <w:tblPr>
      <w:tblStyleRowBandSize w:val="1"/>
      <w:tblStyleColBandSize w:val="1"/>
      <w:tblInd w:w="0" w:type="dxa"/>
      <w:tblBorders>
        <w:top w:val="single" w:sz="8" w:space="0" w:color="E88651" w:themeColor="accent5"/>
        <w:left w:val="single" w:sz="8" w:space="0" w:color="E88651" w:themeColor="accent5"/>
        <w:bottom w:val="single" w:sz="8" w:space="0" w:color="E88651" w:themeColor="accent5"/>
        <w:right w:val="single" w:sz="8" w:space="0" w:color="E88651"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88651" w:themeFill="accent5"/>
      </w:tcPr>
    </w:tblStylePr>
    <w:tblStylePr w:type="lastRow">
      <w:pPr>
        <w:spacing w:before="0" w:after="0" w:line="240" w:lineRule="auto"/>
      </w:pPr>
      <w:rPr>
        <w:b/>
        <w:bCs/>
      </w:rPr>
      <w:tblPr/>
      <w:tcPr>
        <w:tcBorders>
          <w:top w:val="double" w:sz="6" w:space="0" w:color="E88651" w:themeColor="accent5"/>
          <w:left w:val="single" w:sz="8" w:space="0" w:color="E88651" w:themeColor="accent5"/>
          <w:bottom w:val="single" w:sz="8" w:space="0" w:color="E88651" w:themeColor="accent5"/>
          <w:right w:val="single" w:sz="8" w:space="0" w:color="E88651" w:themeColor="accent5"/>
        </w:tcBorders>
      </w:tcPr>
    </w:tblStylePr>
    <w:tblStylePr w:type="firstCol">
      <w:rPr>
        <w:b/>
        <w:bCs/>
      </w:rPr>
    </w:tblStylePr>
    <w:tblStylePr w:type="lastCol">
      <w:rPr>
        <w:b/>
        <w:bCs/>
      </w:rPr>
    </w:tblStylePr>
    <w:tblStylePr w:type="band1Vert">
      <w:tblPr/>
      <w:tcPr>
        <w:tcBorders>
          <w:top w:val="single" w:sz="8" w:space="0" w:color="E88651" w:themeColor="accent5"/>
          <w:left w:val="single" w:sz="8" w:space="0" w:color="E88651" w:themeColor="accent5"/>
          <w:bottom w:val="single" w:sz="8" w:space="0" w:color="E88651" w:themeColor="accent5"/>
          <w:right w:val="single" w:sz="8" w:space="0" w:color="E88651" w:themeColor="accent5"/>
        </w:tcBorders>
      </w:tcPr>
    </w:tblStylePr>
    <w:tblStylePr w:type="band1Horz">
      <w:tblPr/>
      <w:tcPr>
        <w:tcBorders>
          <w:top w:val="single" w:sz="8" w:space="0" w:color="E88651" w:themeColor="accent5"/>
          <w:left w:val="single" w:sz="8" w:space="0" w:color="E88651" w:themeColor="accent5"/>
          <w:bottom w:val="single" w:sz="8" w:space="0" w:color="E88651" w:themeColor="accent5"/>
          <w:right w:val="single" w:sz="8" w:space="0" w:color="E88651" w:themeColor="accent5"/>
        </w:tcBorders>
      </w:tcPr>
    </w:tblStylePr>
  </w:style>
  <w:style w:type="paragraph" w:styleId="Header">
    <w:name w:val="header"/>
    <w:basedOn w:val="Normal"/>
    <w:link w:val="HeaderChar"/>
    <w:uiPriority w:val="99"/>
    <w:semiHidden/>
    <w:unhideWhenUsed/>
    <w:rsid w:val="00A10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0067"/>
  </w:style>
  <w:style w:type="paragraph" w:styleId="Footer">
    <w:name w:val="footer"/>
    <w:basedOn w:val="Normal"/>
    <w:link w:val="FooterChar"/>
    <w:uiPriority w:val="99"/>
    <w:unhideWhenUsed/>
    <w:rsid w:val="00A10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067"/>
  </w:style>
  <w:style w:type="paragraph" w:styleId="FootnoteText">
    <w:name w:val="footnote text"/>
    <w:basedOn w:val="Normal"/>
    <w:link w:val="FootnoteTextChar"/>
    <w:uiPriority w:val="99"/>
    <w:semiHidden/>
    <w:unhideWhenUsed/>
    <w:rsid w:val="00676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C9F"/>
    <w:rPr>
      <w:sz w:val="20"/>
      <w:szCs w:val="20"/>
    </w:rPr>
  </w:style>
  <w:style w:type="character" w:styleId="FootnoteReference">
    <w:name w:val="footnote reference"/>
    <w:basedOn w:val="DefaultParagraphFont"/>
    <w:uiPriority w:val="99"/>
    <w:semiHidden/>
    <w:unhideWhenUsed/>
    <w:rsid w:val="00676C9F"/>
    <w:rPr>
      <w:vertAlign w:val="superscript"/>
    </w:rPr>
  </w:style>
  <w:style w:type="paragraph" w:styleId="TOCHeading">
    <w:name w:val="TOC Heading"/>
    <w:basedOn w:val="Heading1"/>
    <w:next w:val="Normal"/>
    <w:uiPriority w:val="39"/>
    <w:unhideWhenUsed/>
    <w:qFormat/>
    <w:rsid w:val="005C56E2"/>
    <w:pPr>
      <w:outlineLvl w:val="9"/>
    </w:pPr>
  </w:style>
  <w:style w:type="paragraph" w:styleId="TOC2">
    <w:name w:val="toc 2"/>
    <w:basedOn w:val="Normal"/>
    <w:next w:val="Normal"/>
    <w:autoRedefine/>
    <w:uiPriority w:val="39"/>
    <w:unhideWhenUsed/>
    <w:qFormat/>
    <w:rsid w:val="005C56E2"/>
    <w:pPr>
      <w:spacing w:after="100"/>
      <w:ind w:left="220"/>
    </w:pPr>
    <w:rPr>
      <w:rFonts w:eastAsiaTheme="minorEastAsia"/>
    </w:rPr>
  </w:style>
  <w:style w:type="paragraph" w:styleId="TOC1">
    <w:name w:val="toc 1"/>
    <w:basedOn w:val="Normal"/>
    <w:next w:val="Normal"/>
    <w:autoRedefine/>
    <w:uiPriority w:val="39"/>
    <w:unhideWhenUsed/>
    <w:qFormat/>
    <w:rsid w:val="00E16BAC"/>
    <w:pPr>
      <w:spacing w:after="100" w:line="240" w:lineRule="auto"/>
    </w:pPr>
    <w:rPr>
      <w:rFonts w:eastAsiaTheme="minorEastAsia"/>
    </w:rPr>
  </w:style>
  <w:style w:type="paragraph" w:styleId="TOC3">
    <w:name w:val="toc 3"/>
    <w:basedOn w:val="Normal"/>
    <w:next w:val="Normal"/>
    <w:autoRedefine/>
    <w:uiPriority w:val="39"/>
    <w:semiHidden/>
    <w:unhideWhenUsed/>
    <w:qFormat/>
    <w:rsid w:val="005C56E2"/>
    <w:pPr>
      <w:spacing w:after="100"/>
      <w:ind w:left="440"/>
    </w:pPr>
    <w:rPr>
      <w:rFonts w:eastAsiaTheme="minorEastAsia"/>
    </w:rPr>
  </w:style>
  <w:style w:type="paragraph" w:styleId="BalloonText">
    <w:name w:val="Balloon Text"/>
    <w:basedOn w:val="Normal"/>
    <w:link w:val="BalloonTextChar"/>
    <w:uiPriority w:val="99"/>
    <w:semiHidden/>
    <w:unhideWhenUsed/>
    <w:rsid w:val="005C5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E2"/>
    <w:rPr>
      <w:rFonts w:ascii="Tahoma" w:hAnsi="Tahoma" w:cs="Tahoma"/>
      <w:sz w:val="16"/>
      <w:szCs w:val="16"/>
    </w:rPr>
  </w:style>
  <w:style w:type="character" w:styleId="Hyperlink">
    <w:name w:val="Hyperlink"/>
    <w:basedOn w:val="DefaultParagraphFont"/>
    <w:uiPriority w:val="99"/>
    <w:unhideWhenUsed/>
    <w:rsid w:val="00E16BAC"/>
    <w:rPr>
      <w:color w:val="168BBA" w:themeColor="hyperlink"/>
      <w:u w:val="single"/>
    </w:rPr>
  </w:style>
  <w:style w:type="character" w:styleId="FollowedHyperlink">
    <w:name w:val="FollowedHyperlink"/>
    <w:basedOn w:val="DefaultParagraphFont"/>
    <w:uiPriority w:val="99"/>
    <w:semiHidden/>
    <w:unhideWhenUsed/>
    <w:rsid w:val="00E16BAC"/>
    <w:rPr>
      <w:color w:val="680000" w:themeColor="followedHyperlink"/>
      <w:u w:val="single"/>
    </w:rPr>
  </w:style>
  <w:style w:type="character" w:customStyle="1" w:styleId="Heading2Char">
    <w:name w:val="Heading 2 Char"/>
    <w:basedOn w:val="DefaultParagraphFont"/>
    <w:link w:val="Heading2"/>
    <w:uiPriority w:val="9"/>
    <w:semiHidden/>
    <w:rsid w:val="00FD6087"/>
    <w:rPr>
      <w:rFonts w:asciiTheme="majorHAnsi" w:eastAsiaTheme="majorEastAsia" w:hAnsiTheme="majorHAnsi" w:cstheme="majorBidi"/>
      <w:b/>
      <w:bCs/>
      <w:color w:val="F0AD00" w:themeColor="accent1"/>
      <w:sz w:val="26"/>
      <w:szCs w:val="26"/>
    </w:rPr>
  </w:style>
  <w:style w:type="paragraph" w:styleId="NoSpacing">
    <w:name w:val="No Spacing"/>
    <w:link w:val="NoSpacingChar"/>
    <w:uiPriority w:val="1"/>
    <w:qFormat/>
    <w:rsid w:val="00A53D55"/>
    <w:pPr>
      <w:spacing w:after="0" w:line="240" w:lineRule="auto"/>
    </w:pPr>
    <w:rPr>
      <w:rFonts w:eastAsiaTheme="minorEastAsia"/>
    </w:rPr>
  </w:style>
  <w:style w:type="character" w:customStyle="1" w:styleId="NoSpacingChar">
    <w:name w:val="No Spacing Char"/>
    <w:basedOn w:val="DefaultParagraphFont"/>
    <w:link w:val="NoSpacing"/>
    <w:uiPriority w:val="1"/>
    <w:rsid w:val="00A53D55"/>
    <w:rPr>
      <w:rFonts w:eastAsiaTheme="minorEastAsia"/>
    </w:rPr>
  </w:style>
</w:styles>
</file>

<file path=word/webSettings.xml><?xml version="1.0" encoding="utf-8"?>
<w:webSettings xmlns:r="http://schemas.openxmlformats.org/officeDocument/2006/relationships" xmlns:w="http://schemas.openxmlformats.org/wordprocessingml/2006/main">
  <w:divs>
    <w:div w:id="381681758">
      <w:bodyDiv w:val="1"/>
      <w:marLeft w:val="0"/>
      <w:marRight w:val="0"/>
      <w:marTop w:val="0"/>
      <w:marBottom w:val="0"/>
      <w:divBdr>
        <w:top w:val="none" w:sz="0" w:space="0" w:color="auto"/>
        <w:left w:val="none" w:sz="0" w:space="0" w:color="auto"/>
        <w:bottom w:val="none" w:sz="0" w:space="0" w:color="auto"/>
        <w:right w:val="none" w:sz="0" w:space="0" w:color="auto"/>
      </w:divBdr>
    </w:div>
    <w:div w:id="1239897331">
      <w:bodyDiv w:val="1"/>
      <w:marLeft w:val="0"/>
      <w:marRight w:val="0"/>
      <w:marTop w:val="0"/>
      <w:marBottom w:val="0"/>
      <w:divBdr>
        <w:top w:val="none" w:sz="0" w:space="0" w:color="auto"/>
        <w:left w:val="none" w:sz="0" w:space="0" w:color="auto"/>
        <w:bottom w:val="none" w:sz="0" w:space="0" w:color="auto"/>
        <w:right w:val="none" w:sz="0" w:space="0" w:color="auto"/>
      </w:divBdr>
    </w:div>
    <w:div w:id="19284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BEE5B8AE0448C9A8D6A0A712051180"/>
        <w:category>
          <w:name w:val="General"/>
          <w:gallery w:val="placeholder"/>
        </w:category>
        <w:types>
          <w:type w:val="bbPlcHdr"/>
        </w:types>
        <w:behaviors>
          <w:behavior w:val="content"/>
        </w:behaviors>
        <w:guid w:val="{BD73D43F-E7CB-47AD-864C-BA44A21A05D3}"/>
      </w:docPartPr>
      <w:docPartBody>
        <w:p w:rsidR="00000000" w:rsidRDefault="005C1298" w:rsidP="005C1298">
          <w:pPr>
            <w:pStyle w:val="73BEE5B8AE0448C9A8D6A0A712051180"/>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24CC4E315CF14D1F9A6B077492D5BD01"/>
        <w:category>
          <w:name w:val="General"/>
          <w:gallery w:val="placeholder"/>
        </w:category>
        <w:types>
          <w:type w:val="bbPlcHdr"/>
        </w:types>
        <w:behaviors>
          <w:behavior w:val="content"/>
        </w:behaviors>
        <w:guid w:val="{43ED1554-545C-47F8-A9C2-CA684616A6E0}"/>
      </w:docPartPr>
      <w:docPartBody>
        <w:p w:rsidR="00000000" w:rsidRDefault="005C1298" w:rsidP="005C1298">
          <w:pPr>
            <w:pStyle w:val="24CC4E315CF14D1F9A6B077492D5BD01"/>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C1298"/>
    <w:rsid w:val="003F1A12"/>
    <w:rsid w:val="005C1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D031FDAE934279900A1EECB5055C3D">
    <w:name w:val="C8D031FDAE934279900A1EECB5055C3D"/>
    <w:rsid w:val="005C1298"/>
  </w:style>
  <w:style w:type="paragraph" w:customStyle="1" w:styleId="E89DD981879A4296BF90BD3177594B9F">
    <w:name w:val="E89DD981879A4296BF90BD3177594B9F"/>
    <w:rsid w:val="005C1298"/>
  </w:style>
  <w:style w:type="paragraph" w:customStyle="1" w:styleId="162B7063E20B4370A057D5278274E52E">
    <w:name w:val="162B7063E20B4370A057D5278274E52E"/>
    <w:rsid w:val="005C1298"/>
  </w:style>
  <w:style w:type="paragraph" w:customStyle="1" w:styleId="74F9CB384A9F4347866704B795552CC7">
    <w:name w:val="74F9CB384A9F4347866704B795552CC7"/>
    <w:rsid w:val="005C1298"/>
  </w:style>
  <w:style w:type="paragraph" w:customStyle="1" w:styleId="06C297E3F72D4886A4767E59D4983A94">
    <w:name w:val="06C297E3F72D4886A4767E59D4983A94"/>
    <w:rsid w:val="005C1298"/>
  </w:style>
  <w:style w:type="paragraph" w:customStyle="1" w:styleId="73BEE5B8AE0448C9A8D6A0A712051180">
    <w:name w:val="73BEE5B8AE0448C9A8D6A0A712051180"/>
    <w:rsid w:val="005C1298"/>
  </w:style>
  <w:style w:type="paragraph" w:customStyle="1" w:styleId="24CC4E315CF14D1F9A6B077492D5BD01">
    <w:name w:val="24CC4E315CF14D1F9A6B077492D5BD01"/>
    <w:rsid w:val="005C129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786420-1E60-4873-A3FA-5F072AC3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24</Pages>
  <Words>9375</Words>
  <Characters>53441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in Direct &amp; Indirect tax</dc:title>
  <dc:subject/>
  <dc:creator/>
  <cp:keywords/>
  <dc:description/>
  <cp:lastModifiedBy>sanjay</cp:lastModifiedBy>
  <cp:revision>96</cp:revision>
  <cp:lastPrinted>2012-07-21T07:29:00Z</cp:lastPrinted>
  <dcterms:created xsi:type="dcterms:W3CDTF">2012-06-28T06:37:00Z</dcterms:created>
  <dcterms:modified xsi:type="dcterms:W3CDTF">2012-07-28T07:18:00Z</dcterms:modified>
</cp:coreProperties>
</file>