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55" w:type="dxa"/>
        <w:tblInd w:w="93" w:type="dxa"/>
        <w:tblCellMar>
          <w:left w:w="0" w:type="dxa"/>
          <w:right w:w="0" w:type="dxa"/>
        </w:tblCellMar>
        <w:tblLook w:val="04A0"/>
      </w:tblPr>
      <w:tblGrid>
        <w:gridCol w:w="540"/>
        <w:gridCol w:w="1318"/>
        <w:gridCol w:w="2315"/>
        <w:gridCol w:w="1217"/>
        <w:gridCol w:w="1217"/>
        <w:gridCol w:w="1420"/>
        <w:gridCol w:w="1228"/>
      </w:tblGrid>
      <w:tr w:rsidR="000A18BC" w:rsidRPr="000A18BC" w:rsidTr="000A18BC">
        <w:trPr>
          <w:trHeight w:val="300"/>
        </w:trPr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b/>
                <w:bCs/>
                <w:sz w:val="20"/>
                <w:szCs w:val="20"/>
              </w:rPr>
              <w:t>Sl. No.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b/>
                <w:bCs/>
                <w:sz w:val="20"/>
                <w:szCs w:val="20"/>
              </w:rPr>
              <w:t>Section Of Act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b/>
                <w:bCs/>
                <w:sz w:val="20"/>
                <w:szCs w:val="20"/>
              </w:rPr>
              <w:t>Nature of Payment in brief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b/>
                <w:bCs/>
                <w:sz w:val="20"/>
                <w:szCs w:val="20"/>
              </w:rPr>
              <w:t>Cut Off Amount</w:t>
            </w:r>
          </w:p>
        </w:tc>
        <w:tc>
          <w:tcPr>
            <w:tcW w:w="1995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b/>
                <w:bCs/>
                <w:sz w:val="20"/>
                <w:szCs w:val="20"/>
              </w:rPr>
              <w:t>Rate %</w:t>
            </w:r>
          </w:p>
        </w:tc>
      </w:tr>
      <w:tr w:rsidR="000A18BC" w:rsidRPr="000A18BC" w:rsidTr="000A18B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8BC" w:rsidRPr="000A18BC" w:rsidRDefault="000A18BC" w:rsidP="000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18BC" w:rsidRPr="000A18BC" w:rsidRDefault="000A18BC" w:rsidP="000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8BC" w:rsidRPr="000A18BC" w:rsidRDefault="000A18BC" w:rsidP="000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01.04.2012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01.07.2012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HUF/IND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Others</w:t>
            </w:r>
          </w:p>
        </w:tc>
      </w:tr>
      <w:tr w:rsidR="000A18BC" w:rsidRPr="000A18BC" w:rsidTr="000A18BC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192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</w:rPr>
              <w:t>Salaries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</w:rPr>
              <w:t>Salary income</w:t>
            </w: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 xml:space="preserve"> must be more then exemption limit after deductions.</w:t>
            </w:r>
          </w:p>
        </w:tc>
        <w:tc>
          <w:tcPr>
            <w:tcW w:w="199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Average Rate</w:t>
            </w:r>
          </w:p>
        </w:tc>
      </w:tr>
      <w:tr w:rsidR="000A18BC" w:rsidRPr="000A18BC" w:rsidTr="000A18BC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193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b/>
                <w:bCs/>
                <w:sz w:val="20"/>
                <w:szCs w:val="20"/>
              </w:rPr>
              <w:t>Interest on debentures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2500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5000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</w:tr>
      <w:tr w:rsidR="000A18BC" w:rsidRPr="000A18BC" w:rsidTr="000A18BC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194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Deemed dividend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</w:tr>
      <w:tr w:rsidR="000A18BC" w:rsidRPr="000A18BC" w:rsidTr="000A18BC">
        <w:trPr>
          <w:trHeight w:val="51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194A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Interest other than Int. on securities (by Bank)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</w:tr>
      <w:tr w:rsidR="000A18BC" w:rsidRPr="000A18BC" w:rsidTr="000A18BC">
        <w:trPr>
          <w:trHeight w:val="51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4A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194A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Interest other than Int. on securities (By others)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5000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5000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</w:tr>
      <w:tr w:rsidR="000A18BC" w:rsidRPr="000A18BC" w:rsidTr="000A18BC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194B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Lottery / Cross Word Puzzle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30</w:t>
            </w:r>
          </w:p>
        </w:tc>
      </w:tr>
      <w:tr w:rsidR="000A18BC" w:rsidRPr="000A18BC" w:rsidTr="000A18BC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194BB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Winnings from Horse Race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5000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5000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30</w:t>
            </w:r>
          </w:p>
        </w:tc>
      </w:tr>
      <w:tr w:rsidR="000A18BC" w:rsidRPr="000A18BC" w:rsidTr="000A18BC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0A18BC">
                <w:rPr>
                  <w:rFonts w:ascii="Century" w:eastAsia="Times New Roman" w:hAnsi="Century" w:cs="Times New Roman"/>
                  <w:color w:val="0000FF"/>
                  <w:sz w:val="20"/>
                  <w:u w:val="single"/>
                </w:rPr>
                <w:t>194C(1)</w:t>
              </w:r>
            </w:hyperlink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Contracts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30000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30000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2</w:t>
            </w:r>
          </w:p>
        </w:tc>
      </w:tr>
      <w:tr w:rsidR="000A18BC" w:rsidRPr="000A18BC" w:rsidTr="000A18BC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0A18BC">
                <w:rPr>
                  <w:rFonts w:ascii="Century" w:eastAsia="Times New Roman" w:hAnsi="Century" w:cs="Times New Roman"/>
                  <w:color w:val="0000FF"/>
                  <w:sz w:val="20"/>
                  <w:u w:val="single"/>
                </w:rPr>
                <w:t>194C(2)</w:t>
              </w:r>
            </w:hyperlink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Sub-contracts/ Advertisements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30000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30000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2</w:t>
            </w:r>
          </w:p>
        </w:tc>
      </w:tr>
      <w:tr w:rsidR="000A18BC" w:rsidRPr="000A18BC" w:rsidTr="000A18BC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194D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Insurance Commission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20000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20000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</w:tr>
      <w:tr w:rsidR="000A18BC" w:rsidRPr="000A18BC" w:rsidTr="000A18BC">
        <w:trPr>
          <w:trHeight w:val="51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194EE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Payments out of deposits under NSS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2500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2500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-</w:t>
            </w:r>
          </w:p>
        </w:tc>
      </w:tr>
      <w:tr w:rsidR="000A18BC" w:rsidRPr="000A18BC" w:rsidTr="000A18BC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194F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Repurchase of units by MF/UTI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20</w:t>
            </w:r>
          </w:p>
        </w:tc>
      </w:tr>
      <w:tr w:rsidR="000A18BC" w:rsidRPr="000A18BC" w:rsidTr="000A18BC">
        <w:trPr>
          <w:trHeight w:val="51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194G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Commission on sale of lottery </w:t>
            </w:r>
            <w:r w:rsidRPr="000A18BC">
              <w:rPr>
                <w:rFonts w:ascii="Century" w:eastAsia="Times New Roman" w:hAnsi="Century" w:cs="Times New Roman"/>
                <w:sz w:val="20"/>
              </w:rPr>
              <w:t>tickets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</w:tr>
      <w:tr w:rsidR="000A18BC" w:rsidRPr="000A18BC" w:rsidTr="000A18BC">
        <w:trPr>
          <w:trHeight w:val="30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194H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Commission or Brokerage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5000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5000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</w:tr>
      <w:tr w:rsidR="000A18BC" w:rsidRPr="000A18BC" w:rsidTr="000A18BC">
        <w:trPr>
          <w:trHeight w:val="300"/>
        </w:trPr>
        <w:tc>
          <w:tcPr>
            <w:tcW w:w="78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0A18BC">
                <w:rPr>
                  <w:rFonts w:ascii="Century" w:eastAsia="Times New Roman" w:hAnsi="Century" w:cs="Times New Roman"/>
                  <w:color w:val="0000FF"/>
                  <w:sz w:val="20"/>
                  <w:u w:val="single"/>
                </w:rPr>
                <w:t>194I</w:t>
              </w:r>
            </w:hyperlink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Rent (Land &amp; building)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180000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180000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</w:tr>
      <w:tr w:rsidR="000A18BC" w:rsidRPr="000A18BC" w:rsidTr="000A18BC">
        <w:trPr>
          <w:trHeight w:val="510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8BC" w:rsidRPr="000A18BC" w:rsidRDefault="000A18BC" w:rsidP="000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8BC" w:rsidRPr="000A18BC" w:rsidRDefault="000A18BC" w:rsidP="000A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Rent (P &amp; M , Equipment, furniture &amp; fittings)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180000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180000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2</w:t>
            </w:r>
          </w:p>
        </w:tc>
      </w:tr>
      <w:tr w:rsidR="000A18BC" w:rsidRPr="000A18BC" w:rsidTr="000A18BC">
        <w:trPr>
          <w:trHeight w:val="765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0A18BC">
                <w:rPr>
                  <w:rFonts w:ascii="Century" w:eastAsia="Times New Roman" w:hAnsi="Century" w:cs="Times New Roman"/>
                  <w:color w:val="0000FF"/>
                  <w:sz w:val="20"/>
                  <w:u w:val="single"/>
                </w:rPr>
                <w:t>194J</w:t>
              </w:r>
            </w:hyperlink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Professional/Technical charges/Royalty &amp; Non-compete fees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30000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30000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</w:tr>
      <w:tr w:rsidR="000A18BC" w:rsidRPr="000A18BC" w:rsidTr="000A18BC">
        <w:trPr>
          <w:trHeight w:val="102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b/>
                <w:bCs/>
                <w:sz w:val="20"/>
                <w:szCs w:val="20"/>
              </w:rPr>
              <w:t>194J(1)(</w:t>
            </w:r>
            <w:proofErr w:type="spellStart"/>
            <w:r w:rsidRPr="000A18BC">
              <w:rPr>
                <w:rFonts w:ascii="Century" w:eastAsia="Times New Roman" w:hAnsi="Century" w:cs="Times New Roman"/>
                <w:b/>
                <w:bCs/>
                <w:sz w:val="20"/>
                <w:szCs w:val="20"/>
              </w:rPr>
              <w:t>ba</w:t>
            </w:r>
            <w:proofErr w:type="spellEnd"/>
            <w:r w:rsidRPr="000A18BC">
              <w:rPr>
                <w:rFonts w:ascii="Century" w:eastAsia="Times New Roman" w:hAnsi="Century" w:cs="Times New Roman"/>
                <w:b/>
                <w:bCs/>
                <w:sz w:val="20"/>
                <w:szCs w:val="20"/>
              </w:rPr>
              <w:t>)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b/>
                <w:bCs/>
                <w:sz w:val="20"/>
                <w:szCs w:val="20"/>
              </w:rPr>
              <w:t>Any remuneration or commission paid to director of the company</w:t>
            </w: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(Effective from 1 July 2012)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NA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NIL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</w:tr>
      <w:tr w:rsidR="000A18BC" w:rsidRPr="000A18BC" w:rsidTr="000A18BC">
        <w:trPr>
          <w:trHeight w:val="510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194LA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Compensation on acquisition of immovable property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200000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10</w:t>
            </w:r>
          </w:p>
        </w:tc>
      </w:tr>
      <w:tr w:rsidR="000A18BC" w:rsidRPr="000A18BC" w:rsidTr="000A18BC">
        <w:trPr>
          <w:trHeight w:val="1275"/>
        </w:trPr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194LLA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b/>
                <w:bCs/>
                <w:sz w:val="20"/>
                <w:szCs w:val="20"/>
              </w:rPr>
              <w:t>Payment on transfer of certain immovable property other than agricultural land</w:t>
            </w: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 </w:t>
            </w:r>
            <w:r w:rsidRPr="000A18BC">
              <w:rPr>
                <w:rFonts w:ascii="Century" w:eastAsia="Times New Roman" w:hAnsi="Century" w:cs="Times New Roman"/>
                <w:b/>
                <w:bCs/>
                <w:sz w:val="20"/>
                <w:szCs w:val="20"/>
              </w:rPr>
              <w:t>(</w:t>
            </w:r>
            <w:hyperlink r:id="rId9" w:tgtFrame="_blank" w:history="1">
              <w:r w:rsidRPr="000A18BC">
                <w:rPr>
                  <w:rFonts w:ascii="Century" w:eastAsia="Times New Roman" w:hAnsi="Century" w:cs="Times New Roman"/>
                  <w:b/>
                  <w:bCs/>
                  <w:color w:val="0000FF"/>
                  <w:sz w:val="20"/>
                  <w:u w:val="single"/>
                </w:rPr>
                <w:t>Finance Minister has withdraw TDS on such transaction on 07/05/2012</w:t>
              </w:r>
            </w:hyperlink>
            <w:r w:rsidRPr="000A18BC">
              <w:rPr>
                <w:rFonts w:ascii="Century" w:eastAsia="Times New Roman" w:hAnsi="Century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 xml:space="preserve"> (a) INR 50 </w:t>
            </w:r>
            <w:proofErr w:type="spellStart"/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lakhs</w:t>
            </w:r>
            <w:proofErr w:type="spellEnd"/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 xml:space="preserve"> in case such property is situated in a specified urban agglomeration; or(b) INR 20 </w:t>
            </w:r>
            <w:proofErr w:type="spellStart"/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lakhs</w:t>
            </w:r>
            <w:proofErr w:type="spellEnd"/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 xml:space="preserve"> in case such property is situated in any other area)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Pr="000A18BC">
                <w:rPr>
                  <w:rFonts w:ascii="Century" w:eastAsia="Times New Roman" w:hAnsi="Century" w:cs="Times New Roman"/>
                  <w:color w:val="0000FF"/>
                  <w:sz w:val="20"/>
                  <w:u w:val="single"/>
                </w:rPr>
                <w:t xml:space="preserve">withdrawn by Finance Minister on 07/05/2012 </w:t>
              </w:r>
            </w:hyperlink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 xml:space="preserve">no </w:t>
            </w:r>
            <w:proofErr w:type="spellStart"/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>tds</w:t>
            </w:r>
            <w:proofErr w:type="spellEnd"/>
            <w:r w:rsidRPr="000A18BC">
              <w:rPr>
                <w:rFonts w:ascii="Century" w:eastAsia="Times New Roman" w:hAnsi="Century" w:cs="Times New Roman"/>
                <w:sz w:val="20"/>
                <w:szCs w:val="20"/>
              </w:rPr>
              <w:t xml:space="preserve"> on such transactions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8BC" w:rsidRPr="000A18BC" w:rsidRDefault="000A18BC" w:rsidP="000A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0A18BC">
                <w:rPr>
                  <w:rFonts w:ascii="Century" w:eastAsia="Times New Roman" w:hAnsi="Century" w:cs="Times New Roman"/>
                  <w:color w:val="0000FF"/>
                  <w:sz w:val="20"/>
                  <w:u w:val="single"/>
                </w:rPr>
                <w:t xml:space="preserve">withdrawn by Finance Minister no </w:t>
              </w:r>
              <w:proofErr w:type="spellStart"/>
              <w:r w:rsidRPr="000A18BC">
                <w:rPr>
                  <w:rFonts w:ascii="Century" w:eastAsia="Times New Roman" w:hAnsi="Century" w:cs="Times New Roman"/>
                  <w:color w:val="0000FF"/>
                  <w:sz w:val="20"/>
                  <w:u w:val="single"/>
                </w:rPr>
                <w:t>no</w:t>
              </w:r>
              <w:proofErr w:type="spellEnd"/>
              <w:r w:rsidRPr="000A18BC">
                <w:rPr>
                  <w:rFonts w:ascii="Century" w:eastAsia="Times New Roman" w:hAnsi="Century" w:cs="Times New Roman"/>
                  <w:color w:val="0000FF"/>
                  <w:sz w:val="20"/>
                  <w:u w:val="single"/>
                </w:rPr>
                <w:t xml:space="preserve"> </w:t>
              </w:r>
              <w:proofErr w:type="spellStart"/>
              <w:r w:rsidRPr="000A18BC">
                <w:rPr>
                  <w:rFonts w:ascii="Century" w:eastAsia="Times New Roman" w:hAnsi="Century" w:cs="Times New Roman"/>
                  <w:color w:val="0000FF"/>
                  <w:sz w:val="20"/>
                  <w:u w:val="single"/>
                </w:rPr>
                <w:t>tds</w:t>
              </w:r>
              <w:proofErr w:type="spellEnd"/>
              <w:r w:rsidRPr="000A18BC">
                <w:rPr>
                  <w:rFonts w:ascii="Century" w:eastAsia="Times New Roman" w:hAnsi="Century" w:cs="Times New Roman"/>
                  <w:color w:val="0000FF"/>
                  <w:sz w:val="20"/>
                  <w:u w:val="single"/>
                </w:rPr>
                <w:t xml:space="preserve"> on transfer of immovable property</w:t>
              </w:r>
            </w:hyperlink>
            <w:r w:rsidRPr="000A18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A18BC" w:rsidRPr="000A18BC" w:rsidRDefault="000A18BC" w:rsidP="000A1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18BC" w:rsidRPr="000A18BC" w:rsidRDefault="000A18BC" w:rsidP="000A1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BC">
        <w:rPr>
          <w:rFonts w:ascii="Times New Roman" w:eastAsia="Times New Roman" w:hAnsi="Times New Roman" w:cs="Times New Roman"/>
          <w:b/>
          <w:bCs/>
          <w:sz w:val="24"/>
          <w:szCs w:val="24"/>
        </w:rPr>
        <w:t>Note:</w:t>
      </w:r>
    </w:p>
    <w:p w:rsidR="000A18BC" w:rsidRPr="000A18BC" w:rsidRDefault="000A18BC" w:rsidP="000A18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BC">
        <w:rPr>
          <w:rFonts w:ascii="Times New Roman" w:eastAsia="Times New Roman" w:hAnsi="Times New Roman" w:cs="Times New Roman"/>
          <w:b/>
          <w:bCs/>
          <w:sz w:val="24"/>
          <w:szCs w:val="24"/>
        </w:rPr>
        <w:t>Yearly Limit u/s 194C</w:t>
      </w:r>
      <w:proofErr w:type="gramStart"/>
      <w:r w:rsidRPr="000A18BC">
        <w:rPr>
          <w:rFonts w:ascii="Times New Roman" w:eastAsia="Times New Roman" w:hAnsi="Times New Roman" w:cs="Times New Roman"/>
          <w:sz w:val="24"/>
          <w:szCs w:val="24"/>
        </w:rPr>
        <w:t>:Also</w:t>
      </w:r>
      <w:proofErr w:type="gramEnd"/>
      <w:r w:rsidRPr="000A18BC">
        <w:rPr>
          <w:rFonts w:ascii="Times New Roman" w:eastAsia="Times New Roman" w:hAnsi="Times New Roman" w:cs="Times New Roman"/>
          <w:sz w:val="24"/>
          <w:szCs w:val="24"/>
        </w:rPr>
        <w:t xml:space="preserve"> where the aggregate of the amounts paid/credited or likely to be paid/credited to Contactor or Sub-contractor exceeds Rs.75,000 during the financial year, TDS has to be made u/s 194C.</w:t>
      </w:r>
    </w:p>
    <w:p w:rsidR="000A18BC" w:rsidRPr="000A18BC" w:rsidRDefault="000A18BC" w:rsidP="000A18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TDS at higher rate </w:t>
      </w:r>
      <w:proofErr w:type="spellStart"/>
      <w:r w:rsidRPr="000A18BC">
        <w:rPr>
          <w:rFonts w:ascii="Times New Roman" w:eastAsia="Times New Roman" w:hAnsi="Times New Roman" w:cs="Times New Roman"/>
          <w:b/>
          <w:bCs/>
          <w:sz w:val="24"/>
          <w:szCs w:val="24"/>
        </w:rPr>
        <w:t>ie</w:t>
      </w:r>
      <w:proofErr w:type="spellEnd"/>
      <w:r w:rsidRPr="000A18BC">
        <w:rPr>
          <w:rFonts w:ascii="Times New Roman" w:eastAsia="Times New Roman" w:hAnsi="Times New Roman" w:cs="Times New Roman"/>
          <w:b/>
          <w:bCs/>
          <w:sz w:val="24"/>
          <w:szCs w:val="24"/>
        </w:rPr>
        <w:t>., 20%</w:t>
      </w:r>
      <w:r w:rsidRPr="000A18BC">
        <w:rPr>
          <w:rFonts w:ascii="Times New Roman" w:eastAsia="Times New Roman" w:hAnsi="Times New Roman" w:cs="Times New Roman"/>
          <w:sz w:val="24"/>
          <w:szCs w:val="24"/>
        </w:rPr>
        <w:t xml:space="preserve"> has to be made if the </w:t>
      </w:r>
      <w:proofErr w:type="spellStart"/>
      <w:r w:rsidRPr="000A18BC">
        <w:rPr>
          <w:rFonts w:ascii="Times New Roman" w:eastAsia="Times New Roman" w:hAnsi="Times New Roman" w:cs="Times New Roman"/>
          <w:sz w:val="24"/>
          <w:szCs w:val="24"/>
        </w:rPr>
        <w:t>deductee</w:t>
      </w:r>
      <w:proofErr w:type="spellEnd"/>
      <w:r w:rsidRPr="000A18BC">
        <w:rPr>
          <w:rFonts w:ascii="Times New Roman" w:eastAsia="Times New Roman" w:hAnsi="Times New Roman" w:cs="Times New Roman"/>
          <w:sz w:val="24"/>
          <w:szCs w:val="24"/>
        </w:rPr>
        <w:t xml:space="preserve"> does not provide PAN to the </w:t>
      </w:r>
      <w:proofErr w:type="spellStart"/>
      <w:r w:rsidRPr="000A18BC">
        <w:rPr>
          <w:rFonts w:ascii="Times New Roman" w:eastAsia="Times New Roman" w:hAnsi="Times New Roman" w:cs="Times New Roman"/>
          <w:sz w:val="24"/>
          <w:szCs w:val="24"/>
        </w:rPr>
        <w:t>deductor</w:t>
      </w:r>
      <w:proofErr w:type="spellEnd"/>
      <w:r w:rsidRPr="000A18BC">
        <w:rPr>
          <w:rFonts w:ascii="Times New Roman" w:eastAsia="Times New Roman" w:hAnsi="Times New Roman" w:cs="Times New Roman"/>
          <w:sz w:val="24"/>
          <w:szCs w:val="24"/>
        </w:rPr>
        <w:t>.(</w:t>
      </w:r>
      <w:hyperlink r:id="rId12" w:history="1">
        <w:r w:rsidRPr="000A18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read detail u/s 206AA</w:t>
        </w:r>
      </w:hyperlink>
      <w:r w:rsidRPr="000A18B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A18BC" w:rsidRPr="000A18BC" w:rsidRDefault="000A18BC" w:rsidP="000A18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BC">
        <w:rPr>
          <w:rFonts w:ascii="Times New Roman" w:eastAsia="Times New Roman" w:hAnsi="Times New Roman" w:cs="Times New Roman"/>
          <w:b/>
          <w:bCs/>
          <w:sz w:val="24"/>
          <w:szCs w:val="24"/>
        </w:rPr>
        <w:t>No TDS on Goods Transport </w:t>
      </w:r>
      <w:r w:rsidRPr="000A18BC">
        <w:rPr>
          <w:rFonts w:ascii="Times New Roman" w:eastAsia="Times New Roman" w:hAnsi="Times New Roman" w:cs="Times New Roman"/>
          <w:sz w:val="24"/>
          <w:szCs w:val="24"/>
        </w:rPr>
        <w:t> :No deduction shall be made from any sum credited or paid or likely to be credited or paid during the previous year to the account of a contractor during the course of business of plying, hiring or leasing goods carriages on furnishing of his Permanent Account Number, to the person paying or crediting such sum.(read details here </w:t>
      </w:r>
      <w:hyperlink w:history="1">
        <w:r w:rsidRPr="000A18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No TDS on Goods Transport</w:t>
        </w:r>
      </w:hyperlink>
      <w:r w:rsidRPr="000A18B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A18B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A18BC" w:rsidRPr="000A18BC" w:rsidRDefault="000A18BC" w:rsidP="000A18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8BC">
        <w:rPr>
          <w:rFonts w:ascii="Times New Roman" w:eastAsia="Times New Roman" w:hAnsi="Times New Roman" w:cs="Times New Roman"/>
          <w:b/>
          <w:bCs/>
          <w:sz w:val="24"/>
          <w:szCs w:val="24"/>
        </w:rPr>
        <w:t>Surcharge on Income-tax is not deductible</w:t>
      </w:r>
      <w:r w:rsidRPr="000A18BC">
        <w:rPr>
          <w:rFonts w:ascii="Times New Roman" w:eastAsia="Times New Roman" w:hAnsi="Times New Roman" w:cs="Times New Roman"/>
          <w:sz w:val="24"/>
          <w:szCs w:val="24"/>
        </w:rPr>
        <w:t xml:space="preserve">/collectible at source in case </w:t>
      </w:r>
      <w:proofErr w:type="gramStart"/>
      <w:r w:rsidRPr="000A18BC">
        <w:rPr>
          <w:rFonts w:ascii="Times New Roman" w:eastAsia="Times New Roman" w:hAnsi="Times New Roman" w:cs="Times New Roman"/>
          <w:sz w:val="24"/>
          <w:szCs w:val="24"/>
        </w:rPr>
        <w:t>of  individual</w:t>
      </w:r>
      <w:proofErr w:type="gramEnd"/>
      <w:r w:rsidRPr="000A18BC">
        <w:rPr>
          <w:rFonts w:ascii="Times New Roman" w:eastAsia="Times New Roman" w:hAnsi="Times New Roman" w:cs="Times New Roman"/>
          <w:sz w:val="24"/>
          <w:szCs w:val="24"/>
        </w:rPr>
        <w:t>/ HUF /Firm/ AOP / BOI/Domestic Company in respect of payment of income other than salary.</w:t>
      </w:r>
    </w:p>
    <w:p w:rsidR="000A18BC" w:rsidRPr="000A18BC" w:rsidRDefault="000A18BC" w:rsidP="000A18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BC">
        <w:rPr>
          <w:rFonts w:ascii="Times New Roman" w:eastAsia="Times New Roman" w:hAnsi="Times New Roman" w:cs="Times New Roman"/>
          <w:sz w:val="24"/>
          <w:szCs w:val="24"/>
        </w:rPr>
        <w:t>In the case of Company other than Domestic Company, the rate of surcharge is @ 2.5% of Income-tax, where the income or the aggregate of such income paid or likely to be paid exceeds Rs.1</w:t>
      </w:r>
      <w:proofErr w:type="gramStart"/>
      <w:r w:rsidRPr="000A18BC">
        <w:rPr>
          <w:rFonts w:ascii="Times New Roman" w:eastAsia="Times New Roman" w:hAnsi="Times New Roman" w:cs="Times New Roman"/>
          <w:sz w:val="24"/>
          <w:szCs w:val="24"/>
        </w:rPr>
        <w:t>,00,00,000</w:t>
      </w:r>
      <w:proofErr w:type="gramEnd"/>
      <w:r w:rsidRPr="000A18BC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0A18BC" w:rsidRPr="000A18BC" w:rsidRDefault="000A18BC" w:rsidP="000A18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proofErr w:type="spellStart"/>
        <w:r w:rsidRPr="000A18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NoCess</w:t>
        </w:r>
        <w:proofErr w:type="spellEnd"/>
        <w:r w:rsidRPr="000A18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on payment made to </w:t>
        </w:r>
        <w:proofErr w:type="spellStart"/>
        <w:r w:rsidRPr="000A18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resident:</w:t>
        </w:r>
      </w:hyperlink>
      <w:r w:rsidRPr="000A18BC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 w:rsidRPr="000A18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8BC">
        <w:rPr>
          <w:rFonts w:ascii="Times New Roman" w:eastAsia="Times New Roman" w:hAnsi="Times New Roman" w:cs="Times New Roman"/>
          <w:sz w:val="24"/>
          <w:szCs w:val="24"/>
        </w:rPr>
        <w:t>Cess</w:t>
      </w:r>
      <w:proofErr w:type="spellEnd"/>
      <w:r w:rsidRPr="000A18BC">
        <w:rPr>
          <w:rFonts w:ascii="Times New Roman" w:eastAsia="Times New Roman" w:hAnsi="Times New Roman" w:cs="Times New Roman"/>
          <w:sz w:val="24"/>
          <w:szCs w:val="24"/>
        </w:rPr>
        <w:t xml:space="preserve"> is not deductible/collectible at source in case of resident Individual/HUF/Firm/ AOP/ BOI/ Domestic Company in respect of payment of income other than </w:t>
      </w:r>
      <w:proofErr w:type="spellStart"/>
      <w:r w:rsidRPr="000A18BC">
        <w:rPr>
          <w:rFonts w:ascii="Times New Roman" w:eastAsia="Times New Roman" w:hAnsi="Times New Roman" w:cs="Times New Roman"/>
          <w:sz w:val="24"/>
          <w:szCs w:val="24"/>
        </w:rPr>
        <w:t>salary.Education</w:t>
      </w:r>
      <w:proofErr w:type="spellEnd"/>
      <w:r w:rsidRPr="000A18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8BC">
        <w:rPr>
          <w:rFonts w:ascii="Times New Roman" w:eastAsia="Times New Roman" w:hAnsi="Times New Roman" w:cs="Times New Roman"/>
          <w:sz w:val="24"/>
          <w:szCs w:val="24"/>
        </w:rPr>
        <w:t>Cess</w:t>
      </w:r>
      <w:proofErr w:type="spellEnd"/>
      <w:r w:rsidRPr="000A18BC">
        <w:rPr>
          <w:rFonts w:ascii="Times New Roman" w:eastAsia="Times New Roman" w:hAnsi="Times New Roman" w:cs="Times New Roman"/>
          <w:sz w:val="24"/>
          <w:szCs w:val="24"/>
        </w:rPr>
        <w:t xml:space="preserve"> @ 2% plus secondary &amp; Higher Education </w:t>
      </w:r>
      <w:proofErr w:type="spellStart"/>
      <w:r w:rsidRPr="000A18BC">
        <w:rPr>
          <w:rFonts w:ascii="Times New Roman" w:eastAsia="Times New Roman" w:hAnsi="Times New Roman" w:cs="Times New Roman"/>
          <w:sz w:val="24"/>
          <w:szCs w:val="24"/>
        </w:rPr>
        <w:t>Cess</w:t>
      </w:r>
      <w:proofErr w:type="spellEnd"/>
      <w:r w:rsidRPr="000A18BC">
        <w:rPr>
          <w:rFonts w:ascii="Times New Roman" w:eastAsia="Times New Roman" w:hAnsi="Times New Roman" w:cs="Times New Roman"/>
          <w:sz w:val="24"/>
          <w:szCs w:val="24"/>
        </w:rPr>
        <w:t xml:space="preserve"> @ 1% is deductible at source in case of non-residents and foreign company.</w:t>
      </w:r>
    </w:p>
    <w:p w:rsidR="000A18BC" w:rsidRPr="000A18BC" w:rsidRDefault="000A18BC" w:rsidP="000A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1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B61ED" w:rsidRDefault="00AB61ED"/>
    <w:sectPr w:rsidR="00AB61ED" w:rsidSect="00AB6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06FB"/>
    <w:multiLevelType w:val="multilevel"/>
    <w:tmpl w:val="38BA8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18BC"/>
    <w:rsid w:val="000039A3"/>
    <w:rsid w:val="000A18BC"/>
    <w:rsid w:val="000F3ADE"/>
    <w:rsid w:val="00146830"/>
    <w:rsid w:val="001C3309"/>
    <w:rsid w:val="00256356"/>
    <w:rsid w:val="003C20C7"/>
    <w:rsid w:val="00432611"/>
    <w:rsid w:val="00570E1A"/>
    <w:rsid w:val="00877C19"/>
    <w:rsid w:val="008F455F"/>
    <w:rsid w:val="0090147F"/>
    <w:rsid w:val="00925E1B"/>
    <w:rsid w:val="00A4713D"/>
    <w:rsid w:val="00AB61ED"/>
    <w:rsid w:val="00B32786"/>
    <w:rsid w:val="00B3337F"/>
    <w:rsid w:val="00DC5CFC"/>
    <w:rsid w:val="00E020E0"/>
    <w:rsid w:val="00FC7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E1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0E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0E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70E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0E1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570E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70E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E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0E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ilad">
    <w:name w:val="il_ad"/>
    <w:basedOn w:val="DefaultParagraphFont"/>
    <w:rsid w:val="000A18BC"/>
  </w:style>
  <w:style w:type="character" w:styleId="Hyperlink">
    <w:name w:val="Hyperlink"/>
    <w:basedOn w:val="DefaultParagraphFont"/>
    <w:uiPriority w:val="99"/>
    <w:semiHidden/>
    <w:unhideWhenUsed/>
    <w:rsid w:val="000A18BC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0A18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5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mpletaxindia.net/2012/06/tds-on-fees-for-professional-or.html" TargetMode="External"/><Relationship Id="rId13" Type="http://schemas.openxmlformats.org/officeDocument/2006/relationships/hyperlink" Target="http://www.simpletaxindia.org/2009/09/tds-rate-applicability-frequently-asked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mpletaxindia.net/2012/06/tds-on-rent-section-194i-brief-notes.html" TargetMode="External"/><Relationship Id="rId12" Type="http://schemas.openxmlformats.org/officeDocument/2006/relationships/hyperlink" Target="http://www.simpletaxindia.org/2010/01/tds-at-maximum-rate-without-pan-pres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mpletaxindia.net/2012/07/TDS-ON-CONTRACTOR-PAYMENT-SECTION-194C.html" TargetMode="External"/><Relationship Id="rId11" Type="http://schemas.openxmlformats.org/officeDocument/2006/relationships/hyperlink" Target="http://www.simpletaxindia.net/2012/05/finance-minister-speech-on-07052012-on.html" TargetMode="External"/><Relationship Id="rId5" Type="http://schemas.openxmlformats.org/officeDocument/2006/relationships/hyperlink" Target="http://www.simpletaxindia.net/2012/07/TDS-ON-CONTRACTOR-PAYMENT-SECTION-194C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simpletaxindia.net/2012/05/finance-minister-speech-on-07052012-o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mpletaxindia.net/2012/05/finance-minister-speech-on-07052012-on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Anshul singhal</dc:creator>
  <cp:keywords/>
  <dc:description/>
  <cp:lastModifiedBy>Anshul singhal</cp:lastModifiedBy>
  <cp:revision>1</cp:revision>
  <cp:lastPrinted>2012-08-03T09:08:00Z</cp:lastPrinted>
  <dcterms:created xsi:type="dcterms:W3CDTF">2012-08-03T09:08:00Z</dcterms:created>
  <dcterms:modified xsi:type="dcterms:W3CDTF">2012-08-03T09:11:00Z</dcterms:modified>
</cp:coreProperties>
</file>