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FAF" w:rsidRPr="00F01FAF" w:rsidRDefault="00F01FAF" w:rsidP="00F01FAF">
      <w:pPr>
        <w:spacing w:after="0" w:line="600" w:lineRule="atLeast"/>
        <w:textAlignment w:val="top"/>
        <w:outlineLvl w:val="2"/>
        <w:rPr>
          <w:rFonts w:ascii="Arial" w:eastAsia="Times New Roman" w:hAnsi="Arial" w:cs="Arial"/>
          <w:sz w:val="76"/>
          <w:szCs w:val="48"/>
        </w:rPr>
      </w:pPr>
      <w:r w:rsidRPr="00F01FAF">
        <w:rPr>
          <w:rFonts w:ascii="Arial" w:eastAsia="Times New Roman" w:hAnsi="Arial" w:cs="Arial"/>
          <w:sz w:val="76"/>
          <w:szCs w:val="48"/>
        </w:rPr>
        <w:t>TDS Compliance Chart</w:t>
      </w:r>
    </w:p>
    <w:p w:rsidR="00F01FAF" w:rsidRPr="00F01FAF" w:rsidRDefault="00F01FAF"/>
    <w:tbl>
      <w:tblPr>
        <w:tblW w:w="0" w:type="auto"/>
        <w:shd w:val="clear" w:color="auto" w:fill="000000"/>
        <w:tblCellMar>
          <w:left w:w="0" w:type="dxa"/>
          <w:right w:w="0" w:type="dxa"/>
        </w:tblCellMar>
        <w:tblLook w:val="04A0"/>
      </w:tblPr>
      <w:tblGrid>
        <w:gridCol w:w="1768"/>
        <w:gridCol w:w="1868"/>
        <w:gridCol w:w="1304"/>
        <w:gridCol w:w="1549"/>
        <w:gridCol w:w="1410"/>
        <w:gridCol w:w="629"/>
        <w:gridCol w:w="852"/>
      </w:tblGrid>
      <w:tr w:rsidR="000314D7" w:rsidRPr="000314D7" w:rsidTr="000314D7">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Sec.</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Description</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When to deduct tax</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New limit</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Old limit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Rate if PAN is quoted</w:t>
            </w:r>
            <w:r w:rsidRPr="00F01FAF">
              <w:rPr>
                <w:rFonts w:ascii="Arial" w:eastAsia="Times New Roman" w:hAnsi="Arial" w:cs="Arial"/>
                <w:b/>
                <w:bCs/>
                <w:sz w:val="24"/>
                <w:szCs w:val="24"/>
              </w:rPr>
              <w:t> </w:t>
            </w:r>
          </w:p>
        </w:tc>
      </w:tr>
      <w:tr w:rsidR="000314D7" w:rsidRPr="000314D7" w:rsidTr="000314D7">
        <w:trPr>
          <w:trHeight w:val="322"/>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Indi. / HUF</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Others</w:t>
            </w:r>
          </w:p>
        </w:tc>
      </w:tr>
      <w:tr w:rsidR="000314D7" w:rsidRPr="000314D7" w:rsidTr="000314D7">
        <w:trPr>
          <w:trHeight w:val="322"/>
        </w:trPr>
        <w:tc>
          <w:tcPr>
            <w:tcW w:w="0" w:type="auto"/>
            <w:vMerge/>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240" w:lineRule="auto"/>
              <w:rPr>
                <w:rFonts w:ascii="Arial" w:eastAsia="Times New Roman" w:hAnsi="Arial" w:cs="Arial"/>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240" w:lineRule="auto"/>
              <w:rPr>
                <w:rFonts w:ascii="Arial" w:eastAsia="Times New Roman" w:hAnsi="Arial" w:cs="Arial"/>
                <w:sz w:val="24"/>
                <w:szCs w:val="24"/>
              </w:rPr>
            </w:pP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192</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Salary</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Monthly /</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on payment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Tax Rate slab for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AY 2013-14</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Avg.</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tax rate</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NA</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193</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Interest on securities*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5000</w:t>
            </w:r>
            <w:r w:rsidRPr="000314D7">
              <w:rPr>
                <w:rFonts w:ascii="Arial" w:eastAsia="Times New Roman" w:hAnsi="Arial" w:cs="Arial"/>
                <w:sz w:val="24"/>
                <w:szCs w:val="24"/>
                <w:bdr w:val="none" w:sz="0" w:space="0" w:color="auto" w:frame="1"/>
              </w:rPr>
              <w:br/>
              <w:t>w.e.f.</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1/7/2012</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2500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r>
      <w:tr w:rsidR="000314D7" w:rsidRPr="000314D7" w:rsidTr="000314D7">
        <w:trPr>
          <w:trHeight w:val="6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Dividend [u/s. 2(22)(e)]</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Before</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2500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r>
      <w:tr w:rsidR="000314D7" w:rsidRPr="000314D7" w:rsidTr="000314D7">
        <w:trPr>
          <w:trHeight w:val="18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194A</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Other interest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 From Banking Company, Co.op.</w:t>
            </w:r>
            <w:r w:rsidRPr="000314D7">
              <w:rPr>
                <w:rFonts w:ascii="Arial" w:eastAsia="Times New Roman" w:hAnsi="Arial" w:cs="Arial"/>
                <w:sz w:val="24"/>
                <w:szCs w:val="24"/>
                <w:bdr w:val="none" w:sz="0" w:space="0" w:color="auto" w:frame="1"/>
              </w:rPr>
              <w:br/>
              <w:t>Bank &amp; Post off. deposit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 From others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whichever</w:t>
            </w:r>
            <w:r w:rsidRPr="000314D7">
              <w:rPr>
                <w:rFonts w:ascii="Arial" w:eastAsia="Times New Roman" w:hAnsi="Arial" w:cs="Arial"/>
                <w:sz w:val="24"/>
                <w:szCs w:val="24"/>
                <w:bdr w:val="none" w:sz="0" w:space="0" w:color="auto" w:frame="1"/>
              </w:rPr>
              <w:br/>
              <w:t>is earlier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10000</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5000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lastRenderedPageBreak/>
              <w:t>194B</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Winnings from lottery etc.</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30%</w:t>
            </w: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194BB</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Horse race winnings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5000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30%</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194C</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Contract / Advertisement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(in case of Transportor if PAN is</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quoted - TDS @ NIL)</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30,000 single contract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75,000 p.a.</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w:t>
            </w:r>
          </w:p>
        </w:tc>
      </w:tr>
      <w:tr w:rsidR="000314D7" w:rsidRPr="000314D7" w:rsidTr="000314D7">
        <w:trPr>
          <w:trHeight w:val="15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194D</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Insurance commission</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20,000</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20% in case</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of Co.,</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others 10%</w:t>
            </w:r>
          </w:p>
        </w:tc>
      </w:tr>
      <w:tr w:rsidR="000314D7" w:rsidRPr="000314D7" w:rsidTr="000314D7">
        <w:trPr>
          <w:trHeight w:val="12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194E</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r.w.s.</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115BBA</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Non-resident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 Sportsman</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 Sports association</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Any sum</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Guaranteed sum</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20%</w:t>
            </w: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194EE</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Repayment of NSS deposit</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2,500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20%</w:t>
            </w: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194F</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Repurchase of units by MF/UTI</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28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Any sum</w:t>
            </w:r>
            <w:r w:rsidRPr="00F01FAF">
              <w:rPr>
                <w:rFonts w:ascii="Arial" w:eastAsia="Times New Roman" w:hAnsi="Arial" w:cs="Arial"/>
                <w:sz w:val="24"/>
                <w:szCs w:val="24"/>
              </w:rPr>
              <w:t> </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20%</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lastRenderedPageBreak/>
              <w:t>194G</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Commission on sale of lottery tickets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194H</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Commission / brokerage</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5,000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r>
      <w:tr w:rsidR="000314D7" w:rsidRPr="000314D7" w:rsidTr="000314D7">
        <w:trPr>
          <w:trHeight w:val="12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194I</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Rent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 Plant / Machinery</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 Others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180000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10%</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194J</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Prof. fee / technical service fee /</w:t>
            </w:r>
            <w:r w:rsidRPr="000314D7">
              <w:rPr>
                <w:rFonts w:ascii="Arial" w:eastAsia="Times New Roman" w:hAnsi="Arial" w:cs="Arial"/>
                <w:sz w:val="24"/>
                <w:szCs w:val="24"/>
                <w:bdr w:val="none" w:sz="0" w:space="0" w:color="auto" w:frame="1"/>
              </w:rPr>
              <w:br/>
              <w:t>Royalty / Non-compete fee $</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30,000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194LA</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Compensation on acquisition of</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immovable property (other than</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agricultural land) by Gov.</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2,00,000</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w.e.f.</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01/07/2012</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1,00,000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w:t>
            </w:r>
          </w:p>
        </w:tc>
      </w:tr>
      <w:tr w:rsidR="000314D7" w:rsidRPr="000314D7" w:rsidTr="000314D7">
        <w:trPr>
          <w:trHeight w:val="24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lastRenderedPageBreak/>
              <w:t>194LAA</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 on transfer of certain</w:t>
            </w:r>
            <w:r w:rsidRPr="000314D7">
              <w:rPr>
                <w:rFonts w:ascii="Arial" w:eastAsia="Times New Roman" w:hAnsi="Arial" w:cs="Arial"/>
                <w:sz w:val="24"/>
                <w:szCs w:val="24"/>
                <w:bdr w:val="none" w:sz="0" w:space="0" w:color="auto" w:frame="1"/>
              </w:rPr>
              <w:br/>
              <w:t>immovable property other than</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agriculture land</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 Land is situated in specified area</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 Land situated in other than</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specified area</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w.e.f.</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01/10/2012</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50,00,000</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r>
            <w:r w:rsidRPr="000314D7">
              <w:rPr>
                <w:rFonts w:ascii="Arial" w:eastAsia="Times New Roman" w:hAnsi="Arial" w:cs="Arial"/>
                <w:sz w:val="24"/>
                <w:szCs w:val="24"/>
                <w:bdr w:val="none" w:sz="0" w:space="0" w:color="auto" w:frame="1"/>
              </w:rPr>
              <w:br/>
              <w:t>20,00,000</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194LB</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r.w.s.</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10(47)</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Interest on Infrastructure debt fund</w:t>
            </w:r>
            <w:r w:rsidRPr="000314D7">
              <w:rPr>
                <w:rFonts w:ascii="Arial" w:eastAsia="Times New Roman" w:hAnsi="Arial" w:cs="Arial"/>
                <w:sz w:val="24"/>
                <w:szCs w:val="24"/>
                <w:bdr w:val="none" w:sz="0" w:space="0" w:color="auto" w:frame="1"/>
              </w:rPr>
              <w:br/>
              <w:t>payable to a Non-resident / Foreign</w:t>
            </w:r>
            <w:r w:rsidRPr="000314D7">
              <w:rPr>
                <w:rFonts w:ascii="Arial" w:eastAsia="Times New Roman" w:hAnsi="Arial" w:cs="Arial"/>
                <w:sz w:val="24"/>
                <w:szCs w:val="24"/>
                <w:bdr w:val="none" w:sz="0" w:space="0" w:color="auto" w:frame="1"/>
              </w:rPr>
              <w:br/>
              <w:t>Company</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0314D7">
              <w:rPr>
                <w:rFonts w:ascii="Arial" w:eastAsia="Times New Roman" w:hAnsi="Arial" w:cs="Arial"/>
                <w:sz w:val="24"/>
                <w:szCs w:val="24"/>
                <w:bdr w:val="none" w:sz="0" w:space="0" w:color="auto" w:frame="1"/>
              </w:rPr>
              <w:br/>
              <w:t>payment</w:t>
            </w:r>
            <w:r w:rsidRPr="000314D7">
              <w:rPr>
                <w:rFonts w:ascii="Arial" w:eastAsia="Times New Roman" w:hAnsi="Arial" w:cs="Arial"/>
                <w:sz w:val="24"/>
                <w:szCs w:val="24"/>
                <w:bdr w:val="none" w:sz="0" w:space="0" w:color="auto" w:frame="1"/>
              </w:rPr>
              <w:br/>
              <w:t>w.e.e.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Any Interest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5%</w:t>
            </w:r>
          </w:p>
        </w:tc>
      </w:tr>
      <w:tr w:rsidR="000314D7" w:rsidRPr="000314D7" w:rsidTr="000314D7">
        <w:trPr>
          <w:trHeight w:val="24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lastRenderedPageBreak/>
              <w:t>194LC</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Interest payable to a Non-resident by</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a “Specified” Company in resp. of</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mony borrowed between 01/07/2012</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to 30/06/2015 under a loan agreement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approved by the Central Government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in this behalf.</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Credit or</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payment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w.e.e.</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Any</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Interest</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5%</w:t>
            </w: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195 to</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196D</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Payments to Non-residents / Foreign</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Companies / Foreign Institutional</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Investors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Rate specified in Finance Act / agreement</w:t>
            </w:r>
            <w:r w:rsidRPr="00F01FAF">
              <w:rPr>
                <w:rFonts w:ascii="Arial" w:eastAsia="Times New Roman" w:hAnsi="Arial" w:cs="Arial"/>
                <w:sz w:val="24"/>
                <w:szCs w:val="24"/>
              </w:rPr>
              <w:t> </w:t>
            </w:r>
            <w:r w:rsidRPr="000314D7">
              <w:rPr>
                <w:rFonts w:ascii="Arial" w:eastAsia="Times New Roman" w:hAnsi="Arial" w:cs="Arial"/>
                <w:sz w:val="24"/>
                <w:szCs w:val="24"/>
                <w:bdr w:val="none" w:sz="0" w:space="0" w:color="auto" w:frame="1"/>
              </w:rPr>
              <w:br/>
              <w:t>u/s.90 / agreement u/s.90A</w:t>
            </w:r>
          </w:p>
        </w:tc>
      </w:tr>
      <w:tr w:rsidR="000314D7" w:rsidRPr="000314D7" w:rsidTr="000314D7">
        <w:trPr>
          <w:trHeight w:val="300"/>
        </w:trPr>
        <w:tc>
          <w:tcPr>
            <w:tcW w:w="0" w:type="auto"/>
            <w:tcBorders>
              <w:top w:val="nil"/>
              <w:left w:val="nil"/>
              <w:bottom w:val="nil"/>
              <w:right w:val="nil"/>
            </w:tcBorders>
            <w:shd w:val="clear" w:color="auto" w:fill="auto"/>
            <w:hideMark/>
          </w:tcPr>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F01FAF" w:rsidRDefault="000314D7" w:rsidP="000314D7">
            <w:pPr>
              <w:spacing w:after="0" w:line="500" w:lineRule="atLeast"/>
              <w:jc w:val="center"/>
              <w:rPr>
                <w:rFonts w:ascii="Arial" w:eastAsia="Times New Roman" w:hAnsi="Arial" w:cs="Arial"/>
                <w:sz w:val="24"/>
                <w:szCs w:val="24"/>
              </w:rPr>
            </w:pPr>
          </w:p>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 Due dates for submission of quarterly returns:-</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Due dates for remitting TDS &amp; TCS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shd w:val="clear" w:color="auto" w:fill="auto"/>
            <w:hideMark/>
          </w:tcPr>
          <w:p w:rsidR="000314D7" w:rsidRPr="000314D7" w:rsidRDefault="000314D7" w:rsidP="000314D7">
            <w:pPr>
              <w:spacing w:after="0" w:line="240" w:lineRule="auto"/>
              <w:rPr>
                <w:rFonts w:ascii="Times New Roman" w:eastAsia="Times New Roman" w:hAnsi="Times New Roman" w:cs="Times New Roman"/>
                <w:sz w:val="24"/>
                <w:szCs w:val="24"/>
              </w:rPr>
            </w:pPr>
          </w:p>
        </w:tc>
      </w:tr>
      <w:tr w:rsidR="000314D7" w:rsidRPr="000314D7" w:rsidTr="000314D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o Quarter ending 30th June - 15th July</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Apr - Feb</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7th of the succeeding month</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shd w:val="clear" w:color="auto" w:fill="auto"/>
            <w:hideMark/>
          </w:tcPr>
          <w:p w:rsidR="000314D7" w:rsidRPr="000314D7" w:rsidRDefault="000314D7" w:rsidP="000314D7">
            <w:pPr>
              <w:spacing w:after="0" w:line="240" w:lineRule="auto"/>
              <w:rPr>
                <w:rFonts w:ascii="Times New Roman" w:eastAsia="Times New Roman" w:hAnsi="Times New Roman" w:cs="Times New Roman"/>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o “ “ 30th Sep. - 15th Oct.</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Mar</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30th April</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shd w:val="clear" w:color="auto" w:fill="auto"/>
            <w:hideMark/>
          </w:tcPr>
          <w:p w:rsidR="000314D7" w:rsidRPr="000314D7" w:rsidRDefault="000314D7" w:rsidP="000314D7">
            <w:pPr>
              <w:spacing w:after="0" w:line="240" w:lineRule="auto"/>
              <w:rPr>
                <w:rFonts w:ascii="Times New Roman" w:eastAsia="Times New Roman" w:hAnsi="Times New Roman" w:cs="Times New Roman"/>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o “ “ 31st Dec. - 15th Jan.</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shd w:val="clear" w:color="auto" w:fill="auto"/>
            <w:hideMark/>
          </w:tcPr>
          <w:p w:rsidR="000314D7" w:rsidRPr="000314D7" w:rsidRDefault="000314D7" w:rsidP="000314D7">
            <w:pPr>
              <w:spacing w:after="0" w:line="240" w:lineRule="auto"/>
              <w:rPr>
                <w:rFonts w:ascii="Times New Roman" w:eastAsia="Times New Roman" w:hAnsi="Times New Roman" w:cs="Times New Roman"/>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o “ “ 31st Mar. - 15th May</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shd w:val="clear" w:color="auto" w:fill="auto"/>
            <w:hideMark/>
          </w:tcPr>
          <w:p w:rsidR="000314D7" w:rsidRPr="000314D7" w:rsidRDefault="000314D7" w:rsidP="000314D7">
            <w:pPr>
              <w:spacing w:after="0" w:line="240" w:lineRule="auto"/>
              <w:rPr>
                <w:rFonts w:ascii="Times New Roman" w:eastAsia="Times New Roman" w:hAnsi="Times New Roman" w:cs="Times New Roman"/>
                <w:sz w:val="24"/>
                <w:szCs w:val="24"/>
              </w:rPr>
            </w:pPr>
          </w:p>
        </w:tc>
      </w:tr>
      <w:tr w:rsidR="000314D7" w:rsidRPr="000314D7" w:rsidTr="000314D7">
        <w:trPr>
          <w:trHeight w:val="300"/>
        </w:trPr>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nil"/>
              <w:left w:val="nil"/>
              <w:bottom w:val="nil"/>
              <w:right w:val="nil"/>
            </w:tcBorders>
            <w:shd w:val="clear" w:color="auto" w:fill="auto"/>
            <w:hideMark/>
          </w:tcPr>
          <w:p w:rsidR="000314D7" w:rsidRPr="00F01FAF" w:rsidRDefault="000314D7" w:rsidP="000314D7">
            <w:pPr>
              <w:spacing w:after="0" w:line="500" w:lineRule="atLeast"/>
              <w:rPr>
                <w:rFonts w:ascii="Arial" w:eastAsia="Times New Roman" w:hAnsi="Arial" w:cs="Arial"/>
                <w:b/>
                <w:bCs/>
                <w:sz w:val="24"/>
                <w:szCs w:val="24"/>
                <w:bdr w:val="none" w:sz="0" w:space="0" w:color="auto" w:frame="1"/>
              </w:rPr>
            </w:pPr>
          </w:p>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Advance Tax</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lastRenderedPageBreak/>
              <w:t>Due date</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Co assessee (%)</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b/>
                <w:bCs/>
                <w:sz w:val="24"/>
                <w:szCs w:val="24"/>
                <w:bdr w:val="none" w:sz="0" w:space="0" w:color="auto" w:frame="1"/>
              </w:rPr>
              <w:t>Other than Co assessee (%)</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15-Jun-12</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15-Sep-12</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45</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30</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15-Dec-12</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75</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60</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15-Mar-12</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r w:rsidRPr="000314D7">
              <w:rPr>
                <w:rFonts w:ascii="Arial" w:eastAsia="Times New Roman" w:hAnsi="Arial" w:cs="Arial"/>
                <w:sz w:val="24"/>
                <w:szCs w:val="24"/>
                <w:bdr w:val="none" w:sz="0" w:space="0" w:color="auto" w:frame="1"/>
              </w:rPr>
              <w:t>100</w:t>
            </w: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r w:rsidR="000314D7" w:rsidRPr="000314D7" w:rsidTr="000314D7">
        <w:trPr>
          <w:trHeight w:val="300"/>
        </w:trPr>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c>
          <w:tcPr>
            <w:tcW w:w="0" w:type="auto"/>
            <w:tcBorders>
              <w:top w:val="nil"/>
              <w:left w:val="nil"/>
              <w:bottom w:val="nil"/>
              <w:right w:val="nil"/>
            </w:tcBorders>
            <w:shd w:val="clear" w:color="auto" w:fill="auto"/>
            <w:hideMark/>
          </w:tcPr>
          <w:p w:rsidR="000314D7" w:rsidRPr="000314D7" w:rsidRDefault="000314D7" w:rsidP="000314D7">
            <w:pPr>
              <w:spacing w:after="0" w:line="500" w:lineRule="atLeast"/>
              <w:jc w:val="center"/>
              <w:rPr>
                <w:rFonts w:ascii="Arial" w:eastAsia="Times New Roman" w:hAnsi="Arial" w:cs="Arial"/>
                <w:sz w:val="24"/>
                <w:szCs w:val="24"/>
              </w:rPr>
            </w:pPr>
          </w:p>
        </w:tc>
      </w:tr>
    </w:tbl>
    <w:p w:rsidR="000314D7" w:rsidRPr="000314D7" w:rsidRDefault="000314D7" w:rsidP="000314D7">
      <w:pPr>
        <w:spacing w:after="0" w:line="500" w:lineRule="atLeast"/>
        <w:textAlignment w:val="top"/>
        <w:rPr>
          <w:rFonts w:ascii="Arial" w:eastAsia="Times New Roman" w:hAnsi="Arial" w:cs="Arial"/>
          <w:sz w:val="24"/>
          <w:szCs w:val="24"/>
        </w:rPr>
      </w:pPr>
      <w:r w:rsidRPr="000314D7">
        <w:rPr>
          <w:rFonts w:ascii="Arial" w:eastAsia="Times New Roman" w:hAnsi="Arial" w:cs="Arial"/>
          <w:sz w:val="24"/>
          <w:szCs w:val="24"/>
        </w:rPr>
        <w:t>Notes:-</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 (*) Securities includes listed as well as unlisted debentures issued by companies in which public are substantially interested. Many other aspects are covered under this section, but the same has not been summarised in this chart.</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 (#) Concessional rate of 5% TDS applicable to interest paid by an Indian company engaged in certain business on payment made to money borrowed on or after 1-7-2012 to 1-7-2015 from any source outside India.</w:t>
      </w:r>
      <w:r w:rsidRPr="000314D7">
        <w:rPr>
          <w:rFonts w:ascii="Arial" w:eastAsia="Times New Roman" w:hAnsi="Arial" w:cs="Arial"/>
          <w:sz w:val="24"/>
          <w:szCs w:val="24"/>
        </w:rPr>
        <w:br/>
      </w:r>
      <w:r w:rsidRPr="000314D7">
        <w:rPr>
          <w:rFonts w:ascii="Arial" w:eastAsia="Times New Roman" w:hAnsi="Arial" w:cs="Arial"/>
          <w:sz w:val="24"/>
          <w:szCs w:val="24"/>
        </w:rPr>
        <w:br/>
        <w:t>? ($) Any sum paid to directors not in the nature of salary to attract TDS at the rate of 10% u/s. 194J w.e.f. FY 2012-2013.</w:t>
      </w:r>
      <w:r w:rsidRPr="000314D7">
        <w:rPr>
          <w:rFonts w:ascii="Arial" w:eastAsia="Times New Roman" w:hAnsi="Arial" w:cs="Arial"/>
          <w:sz w:val="24"/>
          <w:szCs w:val="24"/>
        </w:rPr>
        <w:br/>
      </w:r>
      <w:r w:rsidRPr="000314D7">
        <w:rPr>
          <w:rFonts w:ascii="Arial" w:eastAsia="Times New Roman" w:hAnsi="Arial" w:cs="Arial"/>
          <w:sz w:val="24"/>
          <w:szCs w:val="24"/>
        </w:rPr>
        <w:br/>
        <w:t>? (@) In case of section 194 LAA, the sub-registrar shall register the document only after the challan for payment of TDS is presented before him.</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 (++)“specified company” means an Indian company engaged in the business of -</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lastRenderedPageBreak/>
        <w:br/>
        <w:t>(i) generation or distribution or transmission of power; or</w:t>
      </w:r>
      <w:r w:rsidRPr="00F01FAF">
        <w:rPr>
          <w:rFonts w:ascii="Arial" w:eastAsia="Times New Roman" w:hAnsi="Arial" w:cs="Arial"/>
          <w:sz w:val="24"/>
          <w:szCs w:val="24"/>
        </w:rPr>
        <w:t> </w:t>
      </w:r>
      <w:r w:rsidRPr="000314D7">
        <w:rPr>
          <w:rFonts w:ascii="Arial" w:eastAsia="Times New Roman" w:hAnsi="Arial" w:cs="Arial"/>
          <w:sz w:val="24"/>
          <w:szCs w:val="24"/>
        </w:rPr>
        <w:br/>
        <w:t>(ii) operation of aircraft; or</w:t>
      </w:r>
      <w:r w:rsidRPr="00F01FAF">
        <w:rPr>
          <w:rFonts w:ascii="Arial" w:eastAsia="Times New Roman" w:hAnsi="Arial" w:cs="Arial"/>
          <w:sz w:val="24"/>
          <w:szCs w:val="24"/>
        </w:rPr>
        <w:t> </w:t>
      </w:r>
      <w:r w:rsidRPr="000314D7">
        <w:rPr>
          <w:rFonts w:ascii="Arial" w:eastAsia="Times New Roman" w:hAnsi="Arial" w:cs="Arial"/>
          <w:sz w:val="24"/>
          <w:szCs w:val="24"/>
        </w:rPr>
        <w:br/>
        <w:t>(iii) manufacture or production of fertilizers; or</w:t>
      </w:r>
      <w:r w:rsidRPr="00F01FAF">
        <w:rPr>
          <w:rFonts w:ascii="Arial" w:eastAsia="Times New Roman" w:hAnsi="Arial" w:cs="Arial"/>
          <w:sz w:val="24"/>
          <w:szCs w:val="24"/>
        </w:rPr>
        <w:t> </w:t>
      </w:r>
      <w:r w:rsidRPr="000314D7">
        <w:rPr>
          <w:rFonts w:ascii="Arial" w:eastAsia="Times New Roman" w:hAnsi="Arial" w:cs="Arial"/>
          <w:sz w:val="24"/>
          <w:szCs w:val="24"/>
        </w:rPr>
        <w:br/>
        <w:t>(iv) construction of road including toll road or bridge; or</w:t>
      </w:r>
      <w:r w:rsidRPr="00F01FAF">
        <w:rPr>
          <w:rFonts w:ascii="Arial" w:eastAsia="Times New Roman" w:hAnsi="Arial" w:cs="Arial"/>
          <w:sz w:val="24"/>
          <w:szCs w:val="24"/>
        </w:rPr>
        <w:t> </w:t>
      </w:r>
      <w:r w:rsidRPr="000314D7">
        <w:rPr>
          <w:rFonts w:ascii="Arial" w:eastAsia="Times New Roman" w:hAnsi="Arial" w:cs="Arial"/>
          <w:sz w:val="24"/>
          <w:szCs w:val="24"/>
        </w:rPr>
        <w:br/>
        <w:t>(v) construction of port including inland port; or</w:t>
      </w:r>
      <w:r w:rsidRPr="00F01FAF">
        <w:rPr>
          <w:rFonts w:ascii="Arial" w:eastAsia="Times New Roman" w:hAnsi="Arial" w:cs="Arial"/>
          <w:sz w:val="24"/>
          <w:szCs w:val="24"/>
        </w:rPr>
        <w:t> </w:t>
      </w:r>
      <w:r w:rsidRPr="000314D7">
        <w:rPr>
          <w:rFonts w:ascii="Arial" w:eastAsia="Times New Roman" w:hAnsi="Arial" w:cs="Arial"/>
          <w:sz w:val="24"/>
          <w:szCs w:val="24"/>
        </w:rPr>
        <w:br/>
        <w:t>(vi) construction of ships in a shipyard; or</w:t>
      </w:r>
      <w:r w:rsidRPr="00F01FAF">
        <w:rPr>
          <w:rFonts w:ascii="Arial" w:eastAsia="Times New Roman" w:hAnsi="Arial" w:cs="Arial"/>
          <w:sz w:val="24"/>
          <w:szCs w:val="24"/>
        </w:rPr>
        <w:t> </w:t>
      </w:r>
      <w:r w:rsidRPr="000314D7">
        <w:rPr>
          <w:rFonts w:ascii="Arial" w:eastAsia="Times New Roman" w:hAnsi="Arial" w:cs="Arial"/>
          <w:sz w:val="24"/>
          <w:szCs w:val="24"/>
        </w:rPr>
        <w:br/>
        <w:t>(vii) construction of dam; or</w:t>
      </w:r>
      <w:r w:rsidRPr="00F01FAF">
        <w:rPr>
          <w:rFonts w:ascii="Arial" w:eastAsia="Times New Roman" w:hAnsi="Arial" w:cs="Arial"/>
          <w:sz w:val="24"/>
          <w:szCs w:val="24"/>
        </w:rPr>
        <w:t> </w:t>
      </w:r>
      <w:r w:rsidRPr="000314D7">
        <w:rPr>
          <w:rFonts w:ascii="Arial" w:eastAsia="Times New Roman" w:hAnsi="Arial" w:cs="Arial"/>
          <w:sz w:val="24"/>
          <w:szCs w:val="24"/>
        </w:rPr>
        <w:br/>
        <w:t>(viii) developing and building a housing project</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 If PAN is not quoted, TDS @ 20% or rate applicable under respective section, whichever is higher, in all cases. Quoting of PAN is compulsory even when the assessee gives forms 15G / 15H.</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 Surcharge @ 2% of TDS if payment other than salary to Foreign Company exceeds Rs. 1 crore.</w:t>
      </w:r>
      <w:r w:rsidRPr="00F01FAF">
        <w:rPr>
          <w:rFonts w:ascii="Arial" w:eastAsia="Times New Roman" w:hAnsi="Arial" w:cs="Arial"/>
          <w:sz w:val="24"/>
          <w:szCs w:val="24"/>
        </w:rPr>
        <w:t> </w:t>
      </w:r>
      <w:r w:rsidRPr="000314D7">
        <w:rPr>
          <w:rFonts w:ascii="Arial" w:eastAsia="Times New Roman" w:hAnsi="Arial" w:cs="Arial"/>
          <w:sz w:val="24"/>
          <w:szCs w:val="24"/>
        </w:rPr>
        <w:br/>
        <w:t>? EC @ 2% &amp; SHEC @ 1% if payment other than salary is made to a non-resident or a foreign company. Moreover, EC &amp; SHEC are also applicable if salary is paid to resident / non-resident. In short; applicable in all cases except payment other than salary to a resident.</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 Int. @ 1% p.m. from the date TDS was deductible to the date tax is Deducted (i.e. on late deduction).</w:t>
      </w:r>
      <w:r w:rsidRPr="00F01FAF">
        <w:rPr>
          <w:rFonts w:ascii="Arial" w:eastAsia="Times New Roman" w:hAnsi="Arial" w:cs="Arial"/>
          <w:sz w:val="24"/>
          <w:szCs w:val="24"/>
        </w:rPr>
        <w:t> </w:t>
      </w:r>
      <w:r w:rsidRPr="000314D7">
        <w:rPr>
          <w:rFonts w:ascii="Arial" w:eastAsia="Times New Roman" w:hAnsi="Arial" w:cs="Arial"/>
          <w:sz w:val="24"/>
          <w:szCs w:val="24"/>
        </w:rPr>
        <w:br/>
        <w:t>? Int. @ 1.5% p.m. from the date tax was deducted to the date tax is Actually Paid (i.e. on late deposit).</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lastRenderedPageBreak/>
        <w:t>? The deductor is required to deposit the tax within 7 days from the end of the month in which the deduction is made. Where the amount is paid / credited in the month of March, TDS is to be deposited by 30th April of the next financial year. TDS certificates are to be issued as per the provisions of sec. 203.</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 Forms:-</w:t>
      </w:r>
      <w:r w:rsidRPr="00F01FAF">
        <w:rPr>
          <w:rFonts w:ascii="Arial" w:eastAsia="Times New Roman" w:hAnsi="Arial" w:cs="Arial"/>
          <w:sz w:val="24"/>
          <w:szCs w:val="24"/>
        </w:rPr>
        <w:t> </w:t>
      </w:r>
      <w:r w:rsidRPr="000314D7">
        <w:rPr>
          <w:rFonts w:ascii="Arial" w:eastAsia="Times New Roman" w:hAnsi="Arial" w:cs="Arial"/>
          <w:sz w:val="24"/>
          <w:szCs w:val="24"/>
        </w:rPr>
        <w:br/>
      </w:r>
      <w:r w:rsidRPr="000314D7">
        <w:rPr>
          <w:rFonts w:ascii="Arial" w:eastAsia="Times New Roman" w:hAnsi="Arial" w:cs="Arial"/>
          <w:sz w:val="24"/>
          <w:szCs w:val="24"/>
        </w:rPr>
        <w:br/>
        <w:t>o 12B - For furnishing details of income u/s 192(2) for the year ending 31st March,....</w:t>
      </w:r>
      <w:r w:rsidRPr="00F01FAF">
        <w:rPr>
          <w:rFonts w:ascii="Arial" w:eastAsia="Times New Roman" w:hAnsi="Arial" w:cs="Arial"/>
          <w:sz w:val="24"/>
          <w:szCs w:val="24"/>
        </w:rPr>
        <w:t> </w:t>
      </w:r>
      <w:r w:rsidRPr="000314D7">
        <w:rPr>
          <w:rFonts w:ascii="Arial" w:eastAsia="Times New Roman" w:hAnsi="Arial" w:cs="Arial"/>
          <w:sz w:val="24"/>
          <w:szCs w:val="24"/>
        </w:rPr>
        <w:br/>
        <w:t>o 12BA - Statement showing particulars of perquisites, FBs or amenities and profits in lieu of salary.</w:t>
      </w:r>
      <w:r w:rsidRPr="00F01FAF">
        <w:rPr>
          <w:rFonts w:ascii="Arial" w:eastAsia="Times New Roman" w:hAnsi="Arial" w:cs="Arial"/>
          <w:sz w:val="24"/>
          <w:szCs w:val="24"/>
        </w:rPr>
        <w:t> </w:t>
      </w:r>
      <w:r w:rsidRPr="000314D7">
        <w:rPr>
          <w:rFonts w:ascii="Arial" w:eastAsia="Times New Roman" w:hAnsi="Arial" w:cs="Arial"/>
          <w:sz w:val="24"/>
          <w:szCs w:val="24"/>
        </w:rPr>
        <w:br/>
        <w:t>o 13 - Application to AO for obtaining certi. of lower rate / no TDS.</w:t>
      </w:r>
      <w:r w:rsidRPr="00F01FAF">
        <w:rPr>
          <w:rFonts w:ascii="Arial" w:eastAsia="Times New Roman" w:hAnsi="Arial" w:cs="Arial"/>
          <w:sz w:val="24"/>
          <w:szCs w:val="24"/>
        </w:rPr>
        <w:t> </w:t>
      </w:r>
      <w:r w:rsidRPr="000314D7">
        <w:rPr>
          <w:rFonts w:ascii="Arial" w:eastAsia="Times New Roman" w:hAnsi="Arial" w:cs="Arial"/>
          <w:sz w:val="24"/>
          <w:szCs w:val="24"/>
        </w:rPr>
        <w:br/>
        <w:t>o 15C / 15 D - Application for a certi. under section 195(3) for receipt of interest and other sums without deduction of tax.</w:t>
      </w:r>
      <w:r w:rsidRPr="00F01FAF">
        <w:rPr>
          <w:rFonts w:ascii="Arial" w:eastAsia="Times New Roman" w:hAnsi="Arial" w:cs="Arial"/>
          <w:sz w:val="24"/>
          <w:szCs w:val="24"/>
        </w:rPr>
        <w:t> </w:t>
      </w:r>
      <w:r w:rsidRPr="000314D7">
        <w:rPr>
          <w:rFonts w:ascii="Arial" w:eastAsia="Times New Roman" w:hAnsi="Arial" w:cs="Arial"/>
          <w:sz w:val="24"/>
          <w:szCs w:val="24"/>
        </w:rPr>
        <w:br/>
        <w:t>o 15G / 15H - Certi. of lower rate / no TDS from AO.</w:t>
      </w:r>
      <w:r w:rsidRPr="00F01FAF">
        <w:rPr>
          <w:rFonts w:ascii="Arial" w:eastAsia="Times New Roman" w:hAnsi="Arial" w:cs="Arial"/>
          <w:sz w:val="24"/>
          <w:szCs w:val="24"/>
        </w:rPr>
        <w:t> </w:t>
      </w:r>
      <w:r w:rsidRPr="000314D7">
        <w:rPr>
          <w:rFonts w:ascii="Arial" w:eastAsia="Times New Roman" w:hAnsi="Arial" w:cs="Arial"/>
          <w:sz w:val="24"/>
          <w:szCs w:val="24"/>
        </w:rPr>
        <w:br/>
        <w:t>o 15I / 15J - Certain declarations by contractor / sub-contractor.</w:t>
      </w:r>
      <w:r w:rsidRPr="00F01FAF">
        <w:rPr>
          <w:rFonts w:ascii="Arial" w:eastAsia="Times New Roman" w:hAnsi="Arial" w:cs="Arial"/>
          <w:sz w:val="24"/>
          <w:szCs w:val="24"/>
        </w:rPr>
        <w:t> </w:t>
      </w:r>
      <w:r w:rsidRPr="000314D7">
        <w:rPr>
          <w:rFonts w:ascii="Arial" w:eastAsia="Times New Roman" w:hAnsi="Arial" w:cs="Arial"/>
          <w:sz w:val="24"/>
          <w:szCs w:val="24"/>
        </w:rPr>
        <w:br/>
        <w:t>o 16 - Certi. for TDS on Salary.</w:t>
      </w:r>
      <w:r w:rsidRPr="00F01FAF">
        <w:rPr>
          <w:rFonts w:ascii="Arial" w:eastAsia="Times New Roman" w:hAnsi="Arial" w:cs="Arial"/>
          <w:sz w:val="24"/>
          <w:szCs w:val="24"/>
        </w:rPr>
        <w:t> </w:t>
      </w:r>
      <w:r w:rsidRPr="000314D7">
        <w:rPr>
          <w:rFonts w:ascii="Arial" w:eastAsia="Times New Roman" w:hAnsi="Arial" w:cs="Arial"/>
          <w:sz w:val="24"/>
          <w:szCs w:val="24"/>
        </w:rPr>
        <w:br/>
        <w:t>o 16A - Certi. for TDS other than salary.</w:t>
      </w:r>
      <w:r w:rsidRPr="00F01FAF">
        <w:rPr>
          <w:rFonts w:ascii="Arial" w:eastAsia="Times New Roman" w:hAnsi="Arial" w:cs="Arial"/>
          <w:sz w:val="24"/>
          <w:szCs w:val="24"/>
        </w:rPr>
        <w:t> </w:t>
      </w:r>
      <w:r w:rsidRPr="000314D7">
        <w:rPr>
          <w:rFonts w:ascii="Arial" w:eastAsia="Times New Roman" w:hAnsi="Arial" w:cs="Arial"/>
          <w:sz w:val="24"/>
          <w:szCs w:val="24"/>
        </w:rPr>
        <w:br/>
        <w:t>o 24Q - Quarterly statement of TDS on salary.</w:t>
      </w:r>
      <w:r w:rsidRPr="00F01FAF">
        <w:rPr>
          <w:rFonts w:ascii="Arial" w:eastAsia="Times New Roman" w:hAnsi="Arial" w:cs="Arial"/>
          <w:sz w:val="24"/>
          <w:szCs w:val="24"/>
        </w:rPr>
        <w:t> </w:t>
      </w:r>
      <w:r w:rsidRPr="000314D7">
        <w:rPr>
          <w:rFonts w:ascii="Arial" w:eastAsia="Times New Roman" w:hAnsi="Arial" w:cs="Arial"/>
          <w:sz w:val="24"/>
          <w:szCs w:val="24"/>
        </w:rPr>
        <w:br/>
        <w:t>o 26Q - Quarterly statement of TDS other than salary.</w:t>
      </w:r>
      <w:r w:rsidRPr="00F01FAF">
        <w:rPr>
          <w:rFonts w:ascii="Arial" w:eastAsia="Times New Roman" w:hAnsi="Arial" w:cs="Arial"/>
          <w:sz w:val="24"/>
          <w:szCs w:val="24"/>
        </w:rPr>
        <w:t> </w:t>
      </w:r>
      <w:r w:rsidRPr="000314D7">
        <w:rPr>
          <w:rFonts w:ascii="Arial" w:eastAsia="Times New Roman" w:hAnsi="Arial" w:cs="Arial"/>
          <w:sz w:val="24"/>
          <w:szCs w:val="24"/>
        </w:rPr>
        <w:br/>
        <w:t>o 27EQ - Quarterly statement of TCS.</w:t>
      </w:r>
      <w:r w:rsidRPr="00F01FAF">
        <w:rPr>
          <w:rFonts w:ascii="Arial" w:eastAsia="Times New Roman" w:hAnsi="Arial" w:cs="Arial"/>
          <w:sz w:val="24"/>
          <w:szCs w:val="24"/>
        </w:rPr>
        <w:t> </w:t>
      </w:r>
      <w:r w:rsidRPr="000314D7">
        <w:rPr>
          <w:rFonts w:ascii="Arial" w:eastAsia="Times New Roman" w:hAnsi="Arial" w:cs="Arial"/>
          <w:sz w:val="24"/>
          <w:szCs w:val="24"/>
        </w:rPr>
        <w:br/>
        <w:t>o 27Q - Quarterly statement of TDS in resp. of payments made to non-residents.</w:t>
      </w:r>
    </w:p>
    <w:p w:rsidR="00666583" w:rsidRPr="00F01FAF" w:rsidRDefault="00666583" w:rsidP="000314D7">
      <w:pPr>
        <w:rPr>
          <w:sz w:val="24"/>
          <w:szCs w:val="24"/>
        </w:rPr>
      </w:pPr>
    </w:p>
    <w:p w:rsidR="000314D7" w:rsidRPr="00F01FAF" w:rsidRDefault="000314D7">
      <w:pPr>
        <w:rPr>
          <w:sz w:val="24"/>
          <w:szCs w:val="24"/>
        </w:rPr>
      </w:pPr>
    </w:p>
    <w:sectPr w:rsidR="000314D7" w:rsidRPr="00F01FAF" w:rsidSect="0066658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CA7" w:rsidRDefault="003F1CA7" w:rsidP="000314D7">
      <w:pPr>
        <w:spacing w:after="0" w:line="240" w:lineRule="auto"/>
      </w:pPr>
      <w:r>
        <w:separator/>
      </w:r>
    </w:p>
  </w:endnote>
  <w:endnote w:type="continuationSeparator" w:id="1">
    <w:p w:rsidR="003F1CA7" w:rsidRDefault="003F1CA7" w:rsidP="000314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CA7" w:rsidRDefault="003F1CA7" w:rsidP="000314D7">
      <w:pPr>
        <w:spacing w:after="0" w:line="240" w:lineRule="auto"/>
      </w:pPr>
      <w:r>
        <w:separator/>
      </w:r>
    </w:p>
  </w:footnote>
  <w:footnote w:type="continuationSeparator" w:id="1">
    <w:p w:rsidR="003F1CA7" w:rsidRDefault="003F1CA7" w:rsidP="000314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0314D7"/>
    <w:rsid w:val="000314D7"/>
    <w:rsid w:val="003F1CA7"/>
    <w:rsid w:val="00666583"/>
    <w:rsid w:val="00F01F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583"/>
  </w:style>
  <w:style w:type="paragraph" w:styleId="Heading3">
    <w:name w:val="heading 3"/>
    <w:basedOn w:val="Normal"/>
    <w:link w:val="Heading3Char"/>
    <w:uiPriority w:val="9"/>
    <w:qFormat/>
    <w:rsid w:val="00F01F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314D7"/>
  </w:style>
  <w:style w:type="paragraph" w:styleId="NormalWeb">
    <w:name w:val="Normal (Web)"/>
    <w:basedOn w:val="Normal"/>
    <w:uiPriority w:val="99"/>
    <w:semiHidden/>
    <w:unhideWhenUsed/>
    <w:rsid w:val="000314D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314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14D7"/>
  </w:style>
  <w:style w:type="paragraph" w:styleId="Footer">
    <w:name w:val="footer"/>
    <w:basedOn w:val="Normal"/>
    <w:link w:val="FooterChar"/>
    <w:uiPriority w:val="99"/>
    <w:semiHidden/>
    <w:unhideWhenUsed/>
    <w:rsid w:val="000314D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14D7"/>
  </w:style>
  <w:style w:type="character" w:customStyle="1" w:styleId="Heading3Char">
    <w:name w:val="Heading 3 Char"/>
    <w:basedOn w:val="DefaultParagraphFont"/>
    <w:link w:val="Heading3"/>
    <w:uiPriority w:val="9"/>
    <w:rsid w:val="00F01FAF"/>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358899526">
      <w:bodyDiv w:val="1"/>
      <w:marLeft w:val="0"/>
      <w:marRight w:val="0"/>
      <w:marTop w:val="0"/>
      <w:marBottom w:val="0"/>
      <w:divBdr>
        <w:top w:val="none" w:sz="0" w:space="0" w:color="auto"/>
        <w:left w:val="none" w:sz="0" w:space="0" w:color="auto"/>
        <w:bottom w:val="none" w:sz="0" w:space="0" w:color="auto"/>
        <w:right w:val="none" w:sz="0" w:space="0" w:color="auto"/>
      </w:divBdr>
    </w:div>
    <w:div w:id="1086532938">
      <w:bodyDiv w:val="1"/>
      <w:marLeft w:val="0"/>
      <w:marRight w:val="0"/>
      <w:marTop w:val="0"/>
      <w:marBottom w:val="0"/>
      <w:divBdr>
        <w:top w:val="none" w:sz="0" w:space="0" w:color="auto"/>
        <w:left w:val="none" w:sz="0" w:space="0" w:color="auto"/>
        <w:bottom w:val="none" w:sz="0" w:space="0" w:color="auto"/>
        <w:right w:val="none" w:sz="0" w:space="0" w:color="auto"/>
      </w:divBdr>
    </w:div>
    <w:div w:id="147143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Gel krupa</Company>
  <LinksUpToDate>false</LinksUpToDate>
  <CharactersWithSpaces>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Bhavin</dc:creator>
  <cp:keywords/>
  <dc:description/>
  <cp:lastModifiedBy>Bhavin</cp:lastModifiedBy>
  <cp:revision>1</cp:revision>
  <dcterms:created xsi:type="dcterms:W3CDTF">2012-07-10T15:26:00Z</dcterms:created>
  <dcterms:modified xsi:type="dcterms:W3CDTF">2012-07-10T15:38:00Z</dcterms:modified>
</cp:coreProperties>
</file>