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B4" w:rsidRDefault="009C05B4" w:rsidP="004D7280">
      <w:pPr>
        <w:ind w:left="2880" w:firstLine="720"/>
        <w:jc w:val="both"/>
        <w:rPr>
          <w:b/>
          <w:bCs/>
          <w:sz w:val="36"/>
          <w:szCs w:val="36"/>
          <w:u w:val="single"/>
        </w:rPr>
      </w:pPr>
      <w:r w:rsidRPr="00FE6320">
        <w:rPr>
          <w:b/>
          <w:bCs/>
          <w:sz w:val="36"/>
          <w:szCs w:val="36"/>
          <w:u w:val="single"/>
        </w:rPr>
        <w:t>TONNAGE TAX</w:t>
      </w:r>
    </w:p>
    <w:p w:rsidR="009C05B4" w:rsidRDefault="009C05B4" w:rsidP="004D7280">
      <w:pPr>
        <w:jc w:val="both"/>
        <w:rPr>
          <w:b/>
          <w:bCs/>
          <w:sz w:val="36"/>
          <w:szCs w:val="36"/>
          <w:u w:val="single"/>
        </w:rPr>
      </w:pPr>
      <w:r>
        <w:rPr>
          <w:b/>
          <w:bCs/>
          <w:sz w:val="36"/>
          <w:szCs w:val="36"/>
          <w:u w:val="single"/>
        </w:rPr>
        <w:t>A brief about the scheme of taxation option available to shipping companies</w:t>
      </w:r>
    </w:p>
    <w:p w:rsidR="009C05B4" w:rsidRDefault="009C05B4" w:rsidP="0066313D">
      <w:pPr>
        <w:jc w:val="both"/>
        <w:rPr>
          <w:rFonts w:ascii="Arial" w:hAnsi="Arial" w:cs="Arial"/>
        </w:rPr>
      </w:pPr>
      <w:r>
        <w:rPr>
          <w:rFonts w:ascii="Arial" w:hAnsi="Arial" w:cs="Arial"/>
        </w:rPr>
        <w:t>Tonnage tax is not itself a tax, rather alternative method by which shipping companies calculate their shipping related profits for corporate tax purpose. Essentially, the tonnage profits replace accounting profits of shipping company for the tax purposes.</w:t>
      </w:r>
    </w:p>
    <w:p w:rsidR="009C05B4" w:rsidRDefault="009C05B4" w:rsidP="0066313D">
      <w:pPr>
        <w:jc w:val="both"/>
        <w:rPr>
          <w:rFonts w:ascii="Arial" w:hAnsi="Arial" w:cs="Arial"/>
        </w:rPr>
      </w:pPr>
      <w:r>
        <w:rPr>
          <w:rFonts w:ascii="Arial" w:hAnsi="Arial" w:cs="Arial"/>
        </w:rPr>
        <w:t>With the tonnage tax there is a shift in the taxation system for shipping companies from the revenue base to asset base.</w:t>
      </w:r>
    </w:p>
    <w:p w:rsidR="009C05B4" w:rsidRDefault="009C05B4" w:rsidP="0066313D">
      <w:pPr>
        <w:jc w:val="both"/>
        <w:rPr>
          <w:rFonts w:ascii="Arial" w:hAnsi="Arial" w:cs="Arial"/>
        </w:rPr>
      </w:pPr>
      <w:r>
        <w:rPr>
          <w:rFonts w:ascii="Arial" w:hAnsi="Arial" w:cs="Arial"/>
        </w:rPr>
        <w:t>In India tonnage tax system was introduced in Finance Bill 2004 and came in to force from 1</w:t>
      </w:r>
      <w:r w:rsidRPr="000F6AFE">
        <w:rPr>
          <w:rFonts w:ascii="Arial" w:hAnsi="Arial" w:cs="Arial"/>
          <w:vertAlign w:val="superscript"/>
        </w:rPr>
        <w:t>st</w:t>
      </w:r>
      <w:r>
        <w:rPr>
          <w:rFonts w:ascii="Arial" w:hAnsi="Arial" w:cs="Arial"/>
        </w:rPr>
        <w:t xml:space="preserve"> April 2004.</w:t>
      </w:r>
    </w:p>
    <w:p w:rsidR="009C05B4" w:rsidRDefault="009C05B4" w:rsidP="0066313D">
      <w:pPr>
        <w:jc w:val="both"/>
        <w:rPr>
          <w:rFonts w:ascii="Arial" w:hAnsi="Arial" w:cs="Arial"/>
        </w:rPr>
      </w:pPr>
      <w:r>
        <w:rPr>
          <w:rFonts w:ascii="Arial" w:hAnsi="Arial" w:cs="Arial"/>
        </w:rPr>
        <w:t xml:space="preserve">Tonnage tax is imposed in lieu of the normal corporate income-tax with respect to operation of taxpayer’s qualifying vessels. </w:t>
      </w:r>
    </w:p>
    <w:p w:rsidR="009C05B4" w:rsidRDefault="009C05B4" w:rsidP="0066313D">
      <w:pPr>
        <w:jc w:val="both"/>
        <w:rPr>
          <w:rFonts w:ascii="Arial" w:hAnsi="Arial" w:cs="Arial"/>
        </w:rPr>
      </w:pPr>
      <w:r>
        <w:rPr>
          <w:rFonts w:ascii="Arial" w:hAnsi="Arial" w:cs="Arial"/>
        </w:rPr>
        <w:t>Tonnage tax is essentially a flat based tax on vessel tonnage and the number of days the vessel was operated in the international trades.</w:t>
      </w:r>
    </w:p>
    <w:p w:rsidR="009C05B4" w:rsidRDefault="009C05B4" w:rsidP="0066313D">
      <w:pPr>
        <w:jc w:val="both"/>
        <w:rPr>
          <w:rFonts w:ascii="Arial" w:hAnsi="Arial" w:cs="Arial"/>
        </w:rPr>
      </w:pPr>
      <w:r>
        <w:rPr>
          <w:rFonts w:ascii="Arial" w:hAnsi="Arial" w:cs="Arial"/>
        </w:rPr>
        <w:t xml:space="preserve">The scheme regime may be selected by a qualifying vessel operator with respect to its qualifying vessels. The election may be done with respect to taxable year at any time before the due date for filing of return of Income. </w:t>
      </w:r>
    </w:p>
    <w:p w:rsidR="009C05B4" w:rsidRDefault="009C05B4" w:rsidP="0066313D">
      <w:pPr>
        <w:jc w:val="both"/>
        <w:rPr>
          <w:rFonts w:ascii="Arial" w:hAnsi="Arial" w:cs="Arial"/>
        </w:rPr>
      </w:pPr>
      <w:r>
        <w:rPr>
          <w:rFonts w:ascii="Arial" w:hAnsi="Arial" w:cs="Arial"/>
        </w:rPr>
        <w:t>If the company enters the tonnage tax regime, it must stay in it for a minimum period of 10 years.</w:t>
      </w:r>
    </w:p>
    <w:p w:rsidR="009C05B4" w:rsidRDefault="009C05B4" w:rsidP="0066313D">
      <w:pPr>
        <w:jc w:val="both"/>
        <w:rPr>
          <w:rFonts w:ascii="Arial" w:hAnsi="Arial" w:cs="Arial"/>
        </w:rPr>
      </w:pPr>
      <w:r>
        <w:rPr>
          <w:rFonts w:ascii="Arial" w:hAnsi="Arial" w:cs="Arial"/>
        </w:rPr>
        <w:t>If the tonnage tax regime is elected, any income earned by the taxpayer from qualifying shipping activities (Relevant Shipping Income) is excluded from the taxpayer’s gross income. Income from the activities other than relevant shipping income (income from the operation of vessels in the domestic trade) is subject to normal income-tax.</w:t>
      </w:r>
    </w:p>
    <w:p w:rsidR="009C05B4" w:rsidRDefault="009C05B4" w:rsidP="0066313D">
      <w:pPr>
        <w:jc w:val="both"/>
        <w:rPr>
          <w:rFonts w:ascii="Arial" w:hAnsi="Arial" w:cs="Arial"/>
        </w:rPr>
      </w:pPr>
      <w:r>
        <w:rPr>
          <w:rFonts w:ascii="Arial" w:hAnsi="Arial" w:cs="Arial"/>
        </w:rPr>
        <w:t>For these purposes, tax deductions otherwise allowable that are attributable to qualifying vessels subject to tonnage tax are ignored.</w:t>
      </w:r>
    </w:p>
    <w:p w:rsidR="009C05B4" w:rsidRDefault="009C05B4" w:rsidP="0066313D">
      <w:pPr>
        <w:jc w:val="both"/>
        <w:rPr>
          <w:rFonts w:ascii="Arial" w:hAnsi="Arial" w:cs="Arial"/>
        </w:rPr>
      </w:pPr>
      <w:r>
        <w:rPr>
          <w:rFonts w:ascii="Arial" w:hAnsi="Arial" w:cs="Arial"/>
        </w:rPr>
        <w:t>The qualifying shipping activities are divided in to three groups. Core qualifying activities, qualifying secondary activities and qualifying incidental activities</w:t>
      </w:r>
    </w:p>
    <w:p w:rsidR="009C05B4" w:rsidRDefault="009C05B4" w:rsidP="0066313D">
      <w:pPr>
        <w:jc w:val="both"/>
        <w:rPr>
          <w:rFonts w:ascii="Arial" w:hAnsi="Arial" w:cs="Arial"/>
        </w:rPr>
      </w:pPr>
      <w:r>
        <w:rPr>
          <w:rFonts w:ascii="Arial" w:hAnsi="Arial" w:cs="Arial"/>
        </w:rPr>
        <w:t xml:space="preserve">Core qualifying activities involve operation of vessels in the International trades. Qualifying secondary activities include managing and operating non qualifying vessels in International trades. </w:t>
      </w:r>
    </w:p>
    <w:p w:rsidR="009C05B4" w:rsidRDefault="009C05B4" w:rsidP="0066313D">
      <w:pPr>
        <w:jc w:val="both"/>
        <w:rPr>
          <w:rFonts w:ascii="Arial" w:hAnsi="Arial" w:cs="Arial"/>
        </w:rPr>
      </w:pPr>
      <w:r>
        <w:rPr>
          <w:rFonts w:ascii="Arial" w:hAnsi="Arial" w:cs="Arial"/>
        </w:rPr>
        <w:t xml:space="preserve">However, gross income from qualifying secondary activities will be excluded only to the extent of 20% of gross income from core qualifying activities. Income from qualifying incidental activities will be excluded only to the extent 0.1 percent of the gross income from core qualifying activities. </w:t>
      </w:r>
    </w:p>
    <w:p w:rsidR="009C05B4" w:rsidRDefault="009C05B4" w:rsidP="001618E2">
      <w:pPr>
        <w:rPr>
          <w:rFonts w:ascii="Arial" w:hAnsi="Arial" w:cs="Arial"/>
        </w:rPr>
      </w:pPr>
    </w:p>
    <w:p w:rsidR="009C05B4" w:rsidRDefault="009C05B4" w:rsidP="0066313D">
      <w:pPr>
        <w:jc w:val="both"/>
        <w:rPr>
          <w:rFonts w:ascii="Arial" w:hAnsi="Arial" w:cs="Arial"/>
        </w:rPr>
      </w:pPr>
      <w:r>
        <w:rPr>
          <w:rFonts w:ascii="Arial" w:hAnsi="Arial" w:cs="Arial"/>
        </w:rPr>
        <w:t>The tonnage tax regime provides a number of advantages to the companies that opt for tonnage tax regime. They include among other things,</w:t>
      </w:r>
    </w:p>
    <w:p w:rsidR="009C05B4" w:rsidRDefault="009C05B4" w:rsidP="00510945">
      <w:pPr>
        <w:pStyle w:val="ListParagraph"/>
        <w:numPr>
          <w:ilvl w:val="0"/>
          <w:numId w:val="1"/>
        </w:numPr>
        <w:jc w:val="both"/>
        <w:rPr>
          <w:rFonts w:ascii="Arial" w:hAnsi="Arial" w:cs="Arial"/>
        </w:rPr>
      </w:pPr>
      <w:r w:rsidRPr="00510945">
        <w:rPr>
          <w:rFonts w:ascii="Arial" w:hAnsi="Arial" w:cs="Arial"/>
        </w:rPr>
        <w:t xml:space="preserve">Clarity in company tax position and consequently the company may become more attractive to the investors and business partners. </w:t>
      </w:r>
    </w:p>
    <w:p w:rsidR="009C05B4" w:rsidRDefault="009C05B4" w:rsidP="00510945">
      <w:pPr>
        <w:pStyle w:val="ListParagraph"/>
        <w:numPr>
          <w:ilvl w:val="0"/>
          <w:numId w:val="1"/>
        </w:numPr>
        <w:jc w:val="both"/>
        <w:rPr>
          <w:rFonts w:ascii="Arial" w:hAnsi="Arial" w:cs="Arial"/>
        </w:rPr>
      </w:pPr>
      <w:r>
        <w:rPr>
          <w:rFonts w:ascii="Arial" w:hAnsi="Arial" w:cs="Arial"/>
        </w:rPr>
        <w:t>Compatibility and competitiveness with the fiscal regimes of the other countries. This is very important in the context of maintain and developing indigenous shipping industry.</w:t>
      </w:r>
    </w:p>
    <w:p w:rsidR="009C05B4" w:rsidRDefault="009C05B4" w:rsidP="001374AF">
      <w:pPr>
        <w:jc w:val="both"/>
        <w:rPr>
          <w:rFonts w:ascii="Arial" w:hAnsi="Arial" w:cs="Arial"/>
        </w:rPr>
      </w:pPr>
      <w:r>
        <w:rPr>
          <w:rFonts w:ascii="Arial" w:hAnsi="Arial" w:cs="Arial"/>
        </w:rPr>
        <w:t xml:space="preserve"> In spite of benefit of tonnage tax regime, shipping companies facing few problems. Few of them are as follows:</w:t>
      </w:r>
    </w:p>
    <w:p w:rsidR="009C05B4" w:rsidRDefault="009C05B4" w:rsidP="001374AF">
      <w:pPr>
        <w:pStyle w:val="ListParagraph"/>
        <w:numPr>
          <w:ilvl w:val="0"/>
          <w:numId w:val="2"/>
        </w:numPr>
        <w:jc w:val="both"/>
        <w:rPr>
          <w:rFonts w:ascii="Arial" w:hAnsi="Arial" w:cs="Arial"/>
        </w:rPr>
      </w:pPr>
      <w:r>
        <w:rPr>
          <w:rFonts w:ascii="Arial" w:hAnsi="Arial" w:cs="Arial"/>
        </w:rPr>
        <w:t>Tonnage tax regimes makes it mandatory for every company which opt for this regime to transfer 20% of the book profits ( as per section 115JB of the Income Tax Act, 1961) to a reserve for fleet acquisition. Government thought that it could help the company to mop up the required investment. There is no significant investment coming from the foreign investors even though government has allowed 100% FDI.</w:t>
      </w:r>
    </w:p>
    <w:p w:rsidR="009C05B4" w:rsidRDefault="009C05B4" w:rsidP="00AD36F8">
      <w:pPr>
        <w:pStyle w:val="ListParagraph"/>
        <w:jc w:val="both"/>
        <w:rPr>
          <w:rFonts w:ascii="Arial" w:hAnsi="Arial" w:cs="Arial"/>
        </w:rPr>
      </w:pPr>
    </w:p>
    <w:p w:rsidR="009C05B4" w:rsidRDefault="009C05B4" w:rsidP="001374AF">
      <w:pPr>
        <w:pStyle w:val="ListParagraph"/>
        <w:numPr>
          <w:ilvl w:val="0"/>
          <w:numId w:val="2"/>
        </w:numPr>
        <w:jc w:val="both"/>
        <w:rPr>
          <w:rFonts w:ascii="Arial" w:hAnsi="Arial" w:cs="Arial"/>
        </w:rPr>
      </w:pPr>
      <w:r>
        <w:rPr>
          <w:rFonts w:ascii="Arial" w:hAnsi="Arial" w:cs="Arial"/>
        </w:rPr>
        <w:t xml:space="preserve">The key reason why investors are not showing any interest in the industry is the way the direct and indirect taxes have evolved since introduction of tonnage tax regime. For example number of services covered under service tax increased substantially. </w:t>
      </w:r>
    </w:p>
    <w:p w:rsidR="009C05B4" w:rsidRPr="00AD36F8" w:rsidRDefault="009C05B4" w:rsidP="00AD36F8">
      <w:pPr>
        <w:pStyle w:val="ListParagraph"/>
        <w:rPr>
          <w:rFonts w:ascii="Arial" w:hAnsi="Arial" w:cs="Arial"/>
        </w:rPr>
      </w:pPr>
    </w:p>
    <w:p w:rsidR="009C05B4" w:rsidRDefault="009C05B4" w:rsidP="00AD36F8">
      <w:pPr>
        <w:pStyle w:val="ListParagraph"/>
        <w:jc w:val="both"/>
        <w:rPr>
          <w:rFonts w:ascii="Arial" w:hAnsi="Arial" w:cs="Arial"/>
        </w:rPr>
      </w:pPr>
    </w:p>
    <w:p w:rsidR="009C05B4" w:rsidRPr="00AD36F8" w:rsidRDefault="009C05B4" w:rsidP="00AD36F8">
      <w:pPr>
        <w:pStyle w:val="ListParagraph"/>
        <w:numPr>
          <w:ilvl w:val="0"/>
          <w:numId w:val="2"/>
        </w:numPr>
        <w:jc w:val="both"/>
        <w:rPr>
          <w:rFonts w:ascii="Arial" w:hAnsi="Arial" w:cs="Arial"/>
        </w:rPr>
      </w:pPr>
      <w:r w:rsidRPr="00AD36F8">
        <w:rPr>
          <w:rFonts w:ascii="Arial" w:hAnsi="Arial" w:cs="Arial"/>
        </w:rPr>
        <w:t xml:space="preserve">The shipping companies have to pay service tax on services like as cargo handling, clearing and forwarding, general insurance, clearing and forwarding services, port services, steamer agents, storage and warehousing, survey services, manpower recruitment etc.  If those services are received from outside and consumed outside India, Company has to pay service tax on reverse tax mechanism (Import of Service). </w:t>
      </w:r>
    </w:p>
    <w:p w:rsidR="009C05B4" w:rsidRPr="001374AF" w:rsidRDefault="009C05B4" w:rsidP="00AD36F8">
      <w:pPr>
        <w:pStyle w:val="ListParagraph"/>
        <w:jc w:val="both"/>
        <w:rPr>
          <w:rFonts w:ascii="Arial" w:hAnsi="Arial" w:cs="Arial"/>
        </w:rPr>
      </w:pPr>
    </w:p>
    <w:p w:rsidR="009C05B4" w:rsidRPr="001374AF" w:rsidRDefault="009C05B4" w:rsidP="001374AF">
      <w:pPr>
        <w:jc w:val="both"/>
        <w:rPr>
          <w:rFonts w:ascii="Arial" w:hAnsi="Arial" w:cs="Arial"/>
        </w:rPr>
      </w:pPr>
    </w:p>
    <w:p w:rsidR="009C05B4" w:rsidRDefault="009C05B4" w:rsidP="0066313D">
      <w:pPr>
        <w:jc w:val="both"/>
        <w:rPr>
          <w:rFonts w:ascii="Arial" w:hAnsi="Arial" w:cs="Arial"/>
        </w:rPr>
      </w:pPr>
    </w:p>
    <w:p w:rsidR="009C05B4" w:rsidRPr="00FE6320" w:rsidRDefault="009C05B4" w:rsidP="0066313D">
      <w:pPr>
        <w:jc w:val="both"/>
        <w:rPr>
          <w:rFonts w:ascii="Arial" w:hAnsi="Arial" w:cs="Arial"/>
        </w:rPr>
      </w:pPr>
    </w:p>
    <w:sectPr w:rsidR="009C05B4" w:rsidRPr="00FE6320" w:rsidSect="001A24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D71D3"/>
    <w:multiLevelType w:val="hybridMultilevel"/>
    <w:tmpl w:val="D7E02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71B02C96"/>
    <w:multiLevelType w:val="hybridMultilevel"/>
    <w:tmpl w:val="42FE73D0"/>
    <w:lvl w:ilvl="0" w:tplc="04090001">
      <w:start w:val="1"/>
      <w:numFmt w:val="bullet"/>
      <w:lvlText w:val=""/>
      <w:lvlJc w:val="left"/>
      <w:pPr>
        <w:ind w:left="775" w:hanging="360"/>
      </w:pPr>
      <w:rPr>
        <w:rFonts w:ascii="Symbol" w:hAnsi="Symbol" w:cs="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cs="Wingdings" w:hint="default"/>
      </w:rPr>
    </w:lvl>
    <w:lvl w:ilvl="3" w:tplc="04090001">
      <w:start w:val="1"/>
      <w:numFmt w:val="bullet"/>
      <w:lvlText w:val=""/>
      <w:lvlJc w:val="left"/>
      <w:pPr>
        <w:ind w:left="2935" w:hanging="360"/>
      </w:pPr>
      <w:rPr>
        <w:rFonts w:ascii="Symbol" w:hAnsi="Symbol" w:cs="Symbol" w:hint="default"/>
      </w:rPr>
    </w:lvl>
    <w:lvl w:ilvl="4" w:tplc="04090003">
      <w:start w:val="1"/>
      <w:numFmt w:val="bullet"/>
      <w:lvlText w:val="o"/>
      <w:lvlJc w:val="left"/>
      <w:pPr>
        <w:ind w:left="3655" w:hanging="360"/>
      </w:pPr>
      <w:rPr>
        <w:rFonts w:ascii="Courier New" w:hAnsi="Courier New" w:cs="Courier New" w:hint="default"/>
      </w:rPr>
    </w:lvl>
    <w:lvl w:ilvl="5" w:tplc="04090005">
      <w:start w:val="1"/>
      <w:numFmt w:val="bullet"/>
      <w:lvlText w:val=""/>
      <w:lvlJc w:val="left"/>
      <w:pPr>
        <w:ind w:left="4375" w:hanging="360"/>
      </w:pPr>
      <w:rPr>
        <w:rFonts w:ascii="Wingdings" w:hAnsi="Wingdings" w:cs="Wingdings" w:hint="default"/>
      </w:rPr>
    </w:lvl>
    <w:lvl w:ilvl="6" w:tplc="04090001">
      <w:start w:val="1"/>
      <w:numFmt w:val="bullet"/>
      <w:lvlText w:val=""/>
      <w:lvlJc w:val="left"/>
      <w:pPr>
        <w:ind w:left="5095" w:hanging="360"/>
      </w:pPr>
      <w:rPr>
        <w:rFonts w:ascii="Symbol" w:hAnsi="Symbol" w:cs="Symbol" w:hint="default"/>
      </w:rPr>
    </w:lvl>
    <w:lvl w:ilvl="7" w:tplc="04090003">
      <w:start w:val="1"/>
      <w:numFmt w:val="bullet"/>
      <w:lvlText w:val="o"/>
      <w:lvlJc w:val="left"/>
      <w:pPr>
        <w:ind w:left="5815" w:hanging="360"/>
      </w:pPr>
      <w:rPr>
        <w:rFonts w:ascii="Courier New" w:hAnsi="Courier New" w:cs="Courier New" w:hint="default"/>
      </w:rPr>
    </w:lvl>
    <w:lvl w:ilvl="8" w:tplc="04090005">
      <w:start w:val="1"/>
      <w:numFmt w:val="bullet"/>
      <w:lvlText w:val=""/>
      <w:lvlJc w:val="left"/>
      <w:pPr>
        <w:ind w:left="6535" w:hanging="360"/>
      </w:pPr>
      <w:rPr>
        <w:rFonts w:ascii="Wingdings" w:hAnsi="Wingdings" w:cs="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71FF"/>
    <w:rsid w:val="00003C7C"/>
    <w:rsid w:val="000961E4"/>
    <w:rsid w:val="000B71FF"/>
    <w:rsid w:val="000F6AFE"/>
    <w:rsid w:val="001374AF"/>
    <w:rsid w:val="00152BBB"/>
    <w:rsid w:val="001618E2"/>
    <w:rsid w:val="001A0D4E"/>
    <w:rsid w:val="001A249D"/>
    <w:rsid w:val="00234808"/>
    <w:rsid w:val="00282023"/>
    <w:rsid w:val="002B5B93"/>
    <w:rsid w:val="002D04CF"/>
    <w:rsid w:val="00387581"/>
    <w:rsid w:val="004A7BD1"/>
    <w:rsid w:val="004D7280"/>
    <w:rsid w:val="00510945"/>
    <w:rsid w:val="005A796E"/>
    <w:rsid w:val="005E1F70"/>
    <w:rsid w:val="00604C1F"/>
    <w:rsid w:val="0066313D"/>
    <w:rsid w:val="00670261"/>
    <w:rsid w:val="0069416C"/>
    <w:rsid w:val="006C2316"/>
    <w:rsid w:val="006C7655"/>
    <w:rsid w:val="00721A04"/>
    <w:rsid w:val="007A2BD8"/>
    <w:rsid w:val="008A517A"/>
    <w:rsid w:val="009115A6"/>
    <w:rsid w:val="00952CE3"/>
    <w:rsid w:val="009C05B4"/>
    <w:rsid w:val="00A64442"/>
    <w:rsid w:val="00A87135"/>
    <w:rsid w:val="00AD36F8"/>
    <w:rsid w:val="00BB1100"/>
    <w:rsid w:val="00BC54F1"/>
    <w:rsid w:val="00C558AF"/>
    <w:rsid w:val="00C80FCA"/>
    <w:rsid w:val="00C81426"/>
    <w:rsid w:val="00CB7FBF"/>
    <w:rsid w:val="00CD5080"/>
    <w:rsid w:val="00D14243"/>
    <w:rsid w:val="00D20F86"/>
    <w:rsid w:val="00D40F9C"/>
    <w:rsid w:val="00D46898"/>
    <w:rsid w:val="00D85378"/>
    <w:rsid w:val="00E45481"/>
    <w:rsid w:val="00E74719"/>
    <w:rsid w:val="00F536B2"/>
    <w:rsid w:val="00F96614"/>
    <w:rsid w:val="00FC488B"/>
    <w:rsid w:val="00FE632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49D"/>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0945"/>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586</Words>
  <Characters>3341</Characters>
  <Application>Microsoft Office Outlook</Application>
  <DocSecurity>0</DocSecurity>
  <Lines>0</Lines>
  <Paragraphs>0</Paragraphs>
  <ScaleCrop>false</ScaleCrop>
  <Company>FCC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TONNAGE TAX</dc:title>
  <dc:subject/>
  <dc:creator>MSI</dc:creator>
  <cp:keywords/>
  <dc:description/>
  <cp:lastModifiedBy>Friends</cp:lastModifiedBy>
  <cp:revision>2</cp:revision>
  <dcterms:created xsi:type="dcterms:W3CDTF">2012-02-09T06:57:00Z</dcterms:created>
  <dcterms:modified xsi:type="dcterms:W3CDTF">2012-02-09T06:57:00Z</dcterms:modified>
</cp:coreProperties>
</file>