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51A" w:rsidRDefault="00024273">
      <w:r>
        <w:rPr>
          <w:rStyle w:val="Strong"/>
          <w:rFonts w:ascii="Papyrus" w:hAnsi="Papyrus" w:cs="Arial"/>
          <w:color w:val="222222"/>
          <w:sz w:val="20"/>
          <w:szCs w:val="20"/>
        </w:rPr>
        <w:t>Ina Raja Memorial Education Trust Vs DIT (Exemptions) – (ITAT Delhi)</w:t>
      </w:r>
      <w:r>
        <w:rPr>
          <w:rStyle w:val="apple-converted-space"/>
          <w:rFonts w:ascii="Arial" w:hAnsi="Arial" w:cs="Arial"/>
          <w:color w:val="222222"/>
          <w:sz w:val="20"/>
          <w:szCs w:val="20"/>
        </w:rPr>
        <w:t> </w:t>
      </w:r>
      <w:r>
        <w:rPr>
          <w:rFonts w:ascii="Arial" w:hAnsi="Arial" w:cs="Arial"/>
          <w:color w:val="222222"/>
          <w:sz w:val="20"/>
          <w:szCs w:val="20"/>
        </w:rPr>
        <w:t>-</w:t>
      </w:r>
      <w:proofErr w:type="gramStart"/>
      <w:r>
        <w:rPr>
          <w:rFonts w:ascii="Arial" w:hAnsi="Arial" w:cs="Arial"/>
          <w:color w:val="222222"/>
          <w:sz w:val="20"/>
          <w:szCs w:val="20"/>
        </w:rPr>
        <w:t> </w:t>
      </w:r>
      <w:r>
        <w:rPr>
          <w:rStyle w:val="apple-converted-space"/>
          <w:rFonts w:ascii="Papyrus" w:hAnsi="Papyrus" w:cs="Arial"/>
          <w:b/>
          <w:bCs/>
          <w:color w:val="222222"/>
          <w:sz w:val="20"/>
          <w:szCs w:val="20"/>
        </w:rPr>
        <w:t> </w:t>
      </w:r>
      <w:r>
        <w:rPr>
          <w:rFonts w:ascii="Arial" w:hAnsi="Arial" w:cs="Arial"/>
          <w:color w:val="222222"/>
          <w:sz w:val="20"/>
          <w:szCs w:val="20"/>
        </w:rPr>
        <w:t>In</w:t>
      </w:r>
      <w:proofErr w:type="gramEnd"/>
      <w:r>
        <w:rPr>
          <w:rFonts w:ascii="Arial" w:hAnsi="Arial" w:cs="Arial"/>
          <w:color w:val="222222"/>
          <w:sz w:val="20"/>
          <w:szCs w:val="20"/>
        </w:rPr>
        <w:t xml:space="preserve"> this case, the </w:t>
      </w:r>
      <w:proofErr w:type="spellStart"/>
      <w:r>
        <w:rPr>
          <w:rFonts w:ascii="Arial" w:hAnsi="Arial" w:cs="Arial"/>
          <w:color w:val="222222"/>
          <w:sz w:val="20"/>
          <w:szCs w:val="20"/>
        </w:rPr>
        <w:t>assessee</w:t>
      </w:r>
      <w:proofErr w:type="spellEnd"/>
      <w:r>
        <w:rPr>
          <w:rFonts w:ascii="Arial" w:hAnsi="Arial" w:cs="Arial"/>
          <w:color w:val="222222"/>
          <w:sz w:val="20"/>
          <w:szCs w:val="20"/>
        </w:rPr>
        <w:t xml:space="preserve"> made an application on 24.2.2011 in Form No. 10G, seeking renewal of exemption u/s 80G of the Act, which has been rejected by the ld. CIT(A) by observing that the </w:t>
      </w:r>
      <w:proofErr w:type="spellStart"/>
      <w:r>
        <w:rPr>
          <w:rFonts w:ascii="Arial" w:hAnsi="Arial" w:cs="Arial"/>
          <w:color w:val="222222"/>
          <w:sz w:val="20"/>
          <w:szCs w:val="20"/>
        </w:rPr>
        <w:t>assessee</w:t>
      </w:r>
      <w:proofErr w:type="spellEnd"/>
      <w:r>
        <w:rPr>
          <w:rFonts w:ascii="Arial" w:hAnsi="Arial" w:cs="Arial"/>
          <w:color w:val="222222"/>
          <w:sz w:val="20"/>
          <w:szCs w:val="20"/>
        </w:rPr>
        <w:t xml:space="preserve"> has failed to furnish bills/vouchers of expenses and certain other details as stated by him in </w:t>
      </w:r>
      <w:proofErr w:type="spellStart"/>
      <w:r>
        <w:rPr>
          <w:rFonts w:ascii="Arial" w:hAnsi="Arial" w:cs="Arial"/>
          <w:color w:val="222222"/>
          <w:sz w:val="20"/>
          <w:szCs w:val="20"/>
        </w:rPr>
        <w:t>para</w:t>
      </w:r>
      <w:proofErr w:type="spellEnd"/>
      <w:r>
        <w:rPr>
          <w:rFonts w:ascii="Arial" w:hAnsi="Arial" w:cs="Arial"/>
          <w:color w:val="222222"/>
          <w:sz w:val="20"/>
          <w:szCs w:val="20"/>
        </w:rPr>
        <w:t xml:space="preserve"> 2 of his order. In this connection, it is pertinent to note that proviso to clause (</w:t>
      </w:r>
      <w:proofErr w:type="gramStart"/>
      <w:r>
        <w:rPr>
          <w:rFonts w:ascii="Arial" w:hAnsi="Arial" w:cs="Arial"/>
          <w:color w:val="222222"/>
          <w:sz w:val="20"/>
          <w:szCs w:val="20"/>
        </w:rPr>
        <w:t>vi</w:t>
      </w:r>
      <w:proofErr w:type="gramEnd"/>
      <w:r>
        <w:rPr>
          <w:rFonts w:ascii="Arial" w:hAnsi="Arial" w:cs="Arial"/>
          <w:color w:val="222222"/>
          <w:sz w:val="20"/>
          <w:szCs w:val="20"/>
        </w:rPr>
        <w:t xml:space="preserve">) of Section 80(G) sub-section (5) has been omitted by the Finance Act (No. 2) 2009 </w:t>
      </w:r>
      <w:proofErr w:type="spellStart"/>
      <w:r>
        <w:rPr>
          <w:rFonts w:ascii="Arial" w:hAnsi="Arial" w:cs="Arial"/>
          <w:color w:val="222222"/>
          <w:sz w:val="20"/>
          <w:szCs w:val="20"/>
        </w:rPr>
        <w:t>w.e.f</w:t>
      </w:r>
      <w:proofErr w:type="spellEnd"/>
      <w:r>
        <w:rPr>
          <w:rFonts w:ascii="Arial" w:hAnsi="Arial" w:cs="Arial"/>
          <w:color w:val="222222"/>
          <w:sz w:val="20"/>
          <w:szCs w:val="20"/>
        </w:rPr>
        <w:t xml:space="preserve">. 1.10.2009. As per clause (vi) of Section 80G(5) of the Act, institution or fund, to which donations are made, have to be approved by the Commissioner of Income Tax, in accordance with the Rules prescribed in Rule 11AA of the Income Tax Rules, 1962. The proviso to this clause provided that any approval granted under this clause shall have effect for such assessment year or years, not exceeding five assessment years, as may be specified in the approval. However, this proviso imposing the limitation of five years has since been omitted by the Finance Act, 2009 </w:t>
      </w:r>
      <w:proofErr w:type="spellStart"/>
      <w:r>
        <w:rPr>
          <w:rFonts w:ascii="Arial" w:hAnsi="Arial" w:cs="Arial"/>
          <w:color w:val="222222"/>
          <w:sz w:val="20"/>
          <w:szCs w:val="20"/>
        </w:rPr>
        <w:t>w.e.f</w:t>
      </w:r>
      <w:proofErr w:type="spellEnd"/>
      <w:r>
        <w:rPr>
          <w:rFonts w:ascii="Arial" w:hAnsi="Arial" w:cs="Arial"/>
          <w:color w:val="222222"/>
          <w:sz w:val="20"/>
          <w:szCs w:val="20"/>
        </w:rPr>
        <w:t>. 1.10.2009 to provide that the approval once granted shall continue to be valid in perpetuity. The impact and scope of the omission of proviso to clause (vi) of sub-sec. (5) of Sec. 80G has been explained by the Board in its Circular No. 5 dated 3.6.2010, clarifying that the existing approval expiring on or after 1st October, 2009 shall be deemed to have been extended in perpetuity, unless specifically withdrawn. Para 29.7 of the said Circular provides that the amendment omitting the proviso to clause (vi) of subsection (5) of Section 80G has been made applicable with effect from 1</w:t>
      </w:r>
      <w:r>
        <w:rPr>
          <w:rFonts w:ascii="Arial" w:hAnsi="Arial" w:cs="Arial"/>
          <w:color w:val="222222"/>
          <w:vertAlign w:val="superscript"/>
        </w:rPr>
        <w:t>st</w:t>
      </w:r>
      <w:r>
        <w:rPr>
          <w:rStyle w:val="apple-converted-space"/>
          <w:rFonts w:ascii="Arial" w:hAnsi="Arial" w:cs="Arial"/>
          <w:color w:val="222222"/>
          <w:sz w:val="20"/>
          <w:szCs w:val="20"/>
        </w:rPr>
        <w:t> </w:t>
      </w:r>
      <w:r>
        <w:rPr>
          <w:rFonts w:ascii="Arial" w:hAnsi="Arial" w:cs="Arial"/>
          <w:color w:val="222222"/>
          <w:sz w:val="20"/>
          <w:szCs w:val="20"/>
        </w:rPr>
        <w:t>October, 2009 and, accordingly, existing approvals, expiring on or after 1</w:t>
      </w:r>
      <w:r>
        <w:rPr>
          <w:rFonts w:ascii="Arial" w:hAnsi="Arial" w:cs="Arial"/>
          <w:color w:val="222222"/>
          <w:vertAlign w:val="superscript"/>
        </w:rPr>
        <w:t>st</w:t>
      </w:r>
      <w:r>
        <w:rPr>
          <w:rStyle w:val="apple-converted-space"/>
          <w:rFonts w:ascii="Arial" w:hAnsi="Arial" w:cs="Arial"/>
          <w:color w:val="222222"/>
          <w:sz w:val="20"/>
          <w:szCs w:val="20"/>
        </w:rPr>
        <w:t> </w:t>
      </w:r>
      <w:r>
        <w:rPr>
          <w:rFonts w:ascii="Arial" w:hAnsi="Arial" w:cs="Arial"/>
          <w:color w:val="222222"/>
          <w:sz w:val="20"/>
          <w:szCs w:val="20"/>
        </w:rPr>
        <w:t xml:space="preserve">October, 2009, will be deemed to have been extended in perpetuity unless specifically withdrawn. Therefore, in the present case, </w:t>
      </w:r>
      <w:proofErr w:type="spellStart"/>
      <w:r>
        <w:rPr>
          <w:rFonts w:ascii="Arial" w:hAnsi="Arial" w:cs="Arial"/>
          <w:color w:val="222222"/>
          <w:sz w:val="20"/>
          <w:szCs w:val="20"/>
        </w:rPr>
        <w:t>the</w:t>
      </w:r>
      <w:r>
        <w:rPr>
          <w:rStyle w:val="Strong"/>
          <w:rFonts w:ascii="Papyrus" w:hAnsi="Papyrus" w:cs="Arial"/>
          <w:color w:val="222222"/>
          <w:sz w:val="20"/>
          <w:szCs w:val="20"/>
        </w:rPr>
        <w:t>approvals</w:t>
      </w:r>
      <w:proofErr w:type="spellEnd"/>
      <w:r>
        <w:rPr>
          <w:rStyle w:val="Strong"/>
          <w:rFonts w:ascii="Papyrus" w:hAnsi="Papyrus" w:cs="Arial"/>
          <w:color w:val="222222"/>
          <w:sz w:val="20"/>
          <w:szCs w:val="20"/>
        </w:rPr>
        <w:t xml:space="preserve"> already granted to the </w:t>
      </w:r>
      <w:proofErr w:type="spellStart"/>
      <w:r>
        <w:rPr>
          <w:rStyle w:val="Strong"/>
          <w:rFonts w:ascii="Papyrus" w:hAnsi="Papyrus" w:cs="Arial"/>
          <w:color w:val="222222"/>
          <w:sz w:val="20"/>
          <w:szCs w:val="20"/>
        </w:rPr>
        <w:t>assessee</w:t>
      </w:r>
      <w:proofErr w:type="spellEnd"/>
      <w:r>
        <w:rPr>
          <w:rStyle w:val="Strong"/>
          <w:rFonts w:ascii="Papyrus" w:hAnsi="Papyrus" w:cs="Arial"/>
          <w:color w:val="222222"/>
          <w:sz w:val="20"/>
          <w:szCs w:val="20"/>
        </w:rPr>
        <w:t xml:space="preserve"> u/s 80G, if expiring on or after 1.10.2009, shall be deemed to have been extended in perpetuity and the question of filing any fresh application for renewal of exemption is not necessary</w:t>
      </w:r>
      <w:r>
        <w:rPr>
          <w:rFonts w:ascii="Arial" w:hAnsi="Arial" w:cs="Arial"/>
          <w:color w:val="222222"/>
          <w:sz w:val="20"/>
          <w:szCs w:val="20"/>
        </w:rPr>
        <w:t xml:space="preserve">. In this connection, reliance may be placed on the decision of </w:t>
      </w:r>
      <w:proofErr w:type="spellStart"/>
      <w:r>
        <w:rPr>
          <w:rFonts w:ascii="Arial" w:hAnsi="Arial" w:cs="Arial"/>
          <w:color w:val="222222"/>
          <w:sz w:val="20"/>
          <w:szCs w:val="20"/>
        </w:rPr>
        <w:t>Hon’ble</w:t>
      </w:r>
      <w:proofErr w:type="spellEnd"/>
      <w:r>
        <w:rPr>
          <w:rFonts w:ascii="Arial" w:hAnsi="Arial" w:cs="Arial"/>
          <w:color w:val="222222"/>
          <w:sz w:val="20"/>
          <w:szCs w:val="20"/>
        </w:rPr>
        <w:t xml:space="preserve"> Allahabad High Court in the case of </w:t>
      </w:r>
      <w:proofErr w:type="spellStart"/>
      <w:r>
        <w:rPr>
          <w:rFonts w:ascii="Arial" w:hAnsi="Arial" w:cs="Arial"/>
          <w:color w:val="222222"/>
          <w:sz w:val="20"/>
          <w:szCs w:val="20"/>
        </w:rPr>
        <w:t>Babu</w:t>
      </w:r>
      <w:proofErr w:type="spellEnd"/>
      <w:r>
        <w:rPr>
          <w:rFonts w:ascii="Arial" w:hAnsi="Arial" w:cs="Arial"/>
          <w:color w:val="222222"/>
          <w:sz w:val="20"/>
          <w:szCs w:val="20"/>
        </w:rPr>
        <w:t xml:space="preserve"> </w:t>
      </w:r>
      <w:proofErr w:type="spellStart"/>
      <w:r>
        <w:rPr>
          <w:rFonts w:ascii="Arial" w:hAnsi="Arial" w:cs="Arial"/>
          <w:color w:val="222222"/>
          <w:sz w:val="20"/>
          <w:szCs w:val="20"/>
        </w:rPr>
        <w:t>Hargovind</w:t>
      </w:r>
      <w:proofErr w:type="spellEnd"/>
      <w:r>
        <w:rPr>
          <w:rFonts w:ascii="Arial" w:hAnsi="Arial" w:cs="Arial"/>
          <w:color w:val="222222"/>
          <w:sz w:val="20"/>
          <w:szCs w:val="20"/>
        </w:rPr>
        <w:t xml:space="preserve"> </w:t>
      </w:r>
      <w:proofErr w:type="spellStart"/>
      <w:r>
        <w:rPr>
          <w:rFonts w:ascii="Arial" w:hAnsi="Arial" w:cs="Arial"/>
          <w:color w:val="222222"/>
          <w:sz w:val="20"/>
          <w:szCs w:val="20"/>
        </w:rPr>
        <w:t>Dayal</w:t>
      </w:r>
      <w:proofErr w:type="spellEnd"/>
      <w:r>
        <w:rPr>
          <w:rFonts w:ascii="Arial" w:hAnsi="Arial" w:cs="Arial"/>
          <w:color w:val="222222"/>
          <w:sz w:val="20"/>
          <w:szCs w:val="20"/>
        </w:rPr>
        <w:t xml:space="preserve"> Trust </w:t>
      </w:r>
      <w:proofErr w:type="spellStart"/>
      <w:r>
        <w:rPr>
          <w:rFonts w:ascii="Arial" w:hAnsi="Arial" w:cs="Arial"/>
          <w:color w:val="222222"/>
          <w:sz w:val="20"/>
          <w:szCs w:val="20"/>
        </w:rPr>
        <w:t>vs</w:t>
      </w:r>
      <w:proofErr w:type="spellEnd"/>
      <w:r>
        <w:rPr>
          <w:rFonts w:ascii="Arial" w:hAnsi="Arial" w:cs="Arial"/>
          <w:color w:val="222222"/>
          <w:sz w:val="20"/>
          <w:szCs w:val="20"/>
        </w:rPr>
        <w:t xml:space="preserve"> </w:t>
      </w:r>
      <w:proofErr w:type="gramStart"/>
      <w:r>
        <w:rPr>
          <w:rFonts w:ascii="Arial" w:hAnsi="Arial" w:cs="Arial"/>
          <w:color w:val="222222"/>
          <w:sz w:val="20"/>
          <w:szCs w:val="20"/>
        </w:rPr>
        <w:t>ITAT(</w:t>
      </w:r>
      <w:proofErr w:type="gramEnd"/>
      <w:r>
        <w:rPr>
          <w:rFonts w:ascii="Arial" w:hAnsi="Arial" w:cs="Arial"/>
          <w:color w:val="222222"/>
          <w:sz w:val="20"/>
          <w:szCs w:val="20"/>
        </w:rPr>
        <w:t xml:space="preserve">2011) 199 Taxman 138(All.), where the </w:t>
      </w:r>
      <w:proofErr w:type="spellStart"/>
      <w:r>
        <w:rPr>
          <w:rFonts w:ascii="Arial" w:hAnsi="Arial" w:cs="Arial"/>
          <w:color w:val="222222"/>
          <w:sz w:val="20"/>
          <w:szCs w:val="20"/>
        </w:rPr>
        <w:t>Hon’ble</w:t>
      </w:r>
      <w:proofErr w:type="spellEnd"/>
      <w:r>
        <w:rPr>
          <w:rFonts w:ascii="Arial" w:hAnsi="Arial" w:cs="Arial"/>
          <w:color w:val="222222"/>
          <w:sz w:val="20"/>
          <w:szCs w:val="20"/>
        </w:rPr>
        <w:t xml:space="preserve"> High Court has held that exemption already granted on or after 1.10.2009 shall be deemed to be continued in perpetuity and it will continue so long as it is not withdrawn, as per the provisions of the Act. This aspect of the matter, about the omission of proviso to Section 80G(5)(vi) read with the Board’s Circular, has not been considered by the ld. DIT(E) while rejecting the </w:t>
      </w:r>
      <w:proofErr w:type="spellStart"/>
      <w:r>
        <w:rPr>
          <w:rFonts w:ascii="Arial" w:hAnsi="Arial" w:cs="Arial"/>
          <w:color w:val="222222"/>
          <w:sz w:val="20"/>
          <w:szCs w:val="20"/>
        </w:rPr>
        <w:t>assessee’s</w:t>
      </w:r>
      <w:proofErr w:type="spellEnd"/>
      <w:r>
        <w:rPr>
          <w:rFonts w:ascii="Arial" w:hAnsi="Arial" w:cs="Arial"/>
          <w:color w:val="222222"/>
          <w:sz w:val="20"/>
          <w:szCs w:val="20"/>
        </w:rPr>
        <w:t xml:space="preserve"> application for renewal of exemption. We, therefore, restore this matter back to the file of the </w:t>
      </w:r>
      <w:proofErr w:type="gramStart"/>
      <w:r>
        <w:rPr>
          <w:rFonts w:ascii="Arial" w:hAnsi="Arial" w:cs="Arial"/>
          <w:color w:val="222222"/>
          <w:sz w:val="20"/>
          <w:szCs w:val="20"/>
        </w:rPr>
        <w:t>DIT(</w:t>
      </w:r>
      <w:proofErr w:type="gramEnd"/>
      <w:r>
        <w:rPr>
          <w:rFonts w:ascii="Arial" w:hAnsi="Arial" w:cs="Arial"/>
          <w:color w:val="222222"/>
          <w:sz w:val="20"/>
          <w:szCs w:val="20"/>
        </w:rPr>
        <w:t xml:space="preserve">E) with the direction to treat the approval of exemption granted earlier u/s 80G of the Act to the </w:t>
      </w:r>
      <w:proofErr w:type="spellStart"/>
      <w:r>
        <w:rPr>
          <w:rFonts w:ascii="Arial" w:hAnsi="Arial" w:cs="Arial"/>
          <w:color w:val="222222"/>
          <w:sz w:val="20"/>
          <w:szCs w:val="20"/>
        </w:rPr>
        <w:t>assessee</w:t>
      </w:r>
      <w:proofErr w:type="spellEnd"/>
      <w:r>
        <w:rPr>
          <w:rFonts w:ascii="Arial" w:hAnsi="Arial" w:cs="Arial"/>
          <w:color w:val="222222"/>
          <w:sz w:val="20"/>
          <w:szCs w:val="20"/>
        </w:rPr>
        <w:t xml:space="preserve"> in perpetuity, provided the earlier exemption granted u/s 80G of the Act to the </w:t>
      </w:r>
      <w:proofErr w:type="spellStart"/>
      <w:r>
        <w:rPr>
          <w:rFonts w:ascii="Arial" w:hAnsi="Arial" w:cs="Arial"/>
          <w:color w:val="222222"/>
          <w:sz w:val="20"/>
          <w:szCs w:val="20"/>
        </w:rPr>
        <w:t>assessee</w:t>
      </w:r>
      <w:proofErr w:type="spellEnd"/>
      <w:r>
        <w:rPr>
          <w:rFonts w:ascii="Arial" w:hAnsi="Arial" w:cs="Arial"/>
          <w:color w:val="222222"/>
          <w:sz w:val="20"/>
          <w:szCs w:val="20"/>
        </w:rPr>
        <w:t xml:space="preserve"> was to expire on or after 1.10.2009 and, in that case, the question of renewal of exemption u/s 80G would not arise. Otherwise, the DIT(E) shall examine the matter afresh, after providing reasonable opportunity of being heard to the </w:t>
      </w:r>
      <w:proofErr w:type="spellStart"/>
      <w:r>
        <w:rPr>
          <w:rFonts w:ascii="Arial" w:hAnsi="Arial" w:cs="Arial"/>
          <w:color w:val="222222"/>
          <w:sz w:val="20"/>
          <w:szCs w:val="20"/>
        </w:rPr>
        <w:t>assessee</w:t>
      </w:r>
      <w:proofErr w:type="spellEnd"/>
      <w:r>
        <w:rPr>
          <w:rFonts w:ascii="Arial" w:hAnsi="Arial" w:cs="Arial"/>
          <w:color w:val="222222"/>
          <w:sz w:val="20"/>
          <w:szCs w:val="20"/>
        </w:rPr>
        <w:t xml:space="preserve"> to produce all the details as required by him and shall decide the issue as per law contained in that behalf.</w:t>
      </w:r>
    </w:p>
    <w:sectPr w:rsidR="0009451A" w:rsidSect="0009451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Papyru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24273"/>
    <w:rsid w:val="00024273"/>
    <w:rsid w:val="0009451A"/>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51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24273"/>
    <w:rPr>
      <w:b/>
      <w:bCs/>
    </w:rPr>
  </w:style>
  <w:style w:type="character" w:customStyle="1" w:styleId="apple-converted-space">
    <w:name w:val="apple-converted-space"/>
    <w:basedOn w:val="DefaultParagraphFont"/>
    <w:rsid w:val="0002427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503</Words>
  <Characters>2872</Characters>
  <Application>Microsoft Office Word</Application>
  <DocSecurity>0</DocSecurity>
  <Lines>23</Lines>
  <Paragraphs>6</Paragraphs>
  <ScaleCrop>false</ScaleCrop>
  <Company/>
  <LinksUpToDate>false</LinksUpToDate>
  <CharactersWithSpaces>3369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Narmada</dc:creator>
  <cp:lastModifiedBy>Narmada</cp:lastModifiedBy>
  <cp:revision>1</cp:revision>
  <dcterms:created xsi:type="dcterms:W3CDTF">2011-12-30T17:38:00Z</dcterms:created>
  <dcterms:modified xsi:type="dcterms:W3CDTF">2011-12-30T17:39:00Z</dcterms:modified>
</cp:coreProperties>
</file>