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8EF" w:rsidRPr="001C37EB" w:rsidRDefault="007759F9"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 xml:space="preserve">There should be </w:t>
      </w:r>
      <w:r w:rsidRPr="001C37EB">
        <w:rPr>
          <w:rFonts w:ascii="Times New Roman" w:hAnsi="Times New Roman" w:cs="Times New Roman"/>
          <w:b/>
          <w:color w:val="000000"/>
          <w:sz w:val="24"/>
          <w:szCs w:val="24"/>
        </w:rPr>
        <w:t>definite or specific material or information</w:t>
      </w:r>
      <w:r w:rsidRPr="001C37EB">
        <w:rPr>
          <w:rFonts w:ascii="Times New Roman" w:hAnsi="Times New Roman" w:cs="Times New Roman"/>
          <w:color w:val="000000"/>
          <w:sz w:val="24"/>
          <w:szCs w:val="24"/>
        </w:rPr>
        <w:t xml:space="preserve"> to show that the </w:t>
      </w:r>
      <w:r w:rsidRPr="001C37EB">
        <w:rPr>
          <w:rFonts w:ascii="Times New Roman" w:hAnsi="Times New Roman" w:cs="Times New Roman"/>
          <w:b/>
          <w:color w:val="000000"/>
          <w:sz w:val="24"/>
          <w:szCs w:val="24"/>
        </w:rPr>
        <w:t>claim is fictitious</w:t>
      </w:r>
      <w:r w:rsidRPr="001C37EB">
        <w:rPr>
          <w:rFonts w:ascii="Times New Roman" w:hAnsi="Times New Roman" w:cs="Times New Roman"/>
          <w:color w:val="000000"/>
          <w:sz w:val="24"/>
          <w:szCs w:val="24"/>
        </w:rPr>
        <w:t xml:space="preserve"> so as to justify jurisdiction even for the shorter period of four years. It is all the more so for longer time limit beyond four years. After review of the case law, the High court in </w:t>
      </w:r>
      <w:proofErr w:type="spellStart"/>
      <w:r w:rsidRPr="001C37EB">
        <w:rPr>
          <w:rFonts w:ascii="Times New Roman" w:hAnsi="Times New Roman" w:cs="Times New Roman"/>
          <w:i/>
          <w:color w:val="000000"/>
          <w:sz w:val="24"/>
          <w:szCs w:val="24"/>
          <w:u w:val="single"/>
        </w:rPr>
        <w:t>Everready</w:t>
      </w:r>
      <w:proofErr w:type="spellEnd"/>
      <w:r w:rsidRPr="001C37EB">
        <w:rPr>
          <w:rFonts w:ascii="Times New Roman" w:hAnsi="Times New Roman" w:cs="Times New Roman"/>
          <w:i/>
          <w:color w:val="000000"/>
          <w:sz w:val="24"/>
          <w:szCs w:val="24"/>
          <w:u w:val="single"/>
        </w:rPr>
        <w:t xml:space="preserve"> Industries India Ltd. v. JCIT,</w:t>
      </w:r>
      <w:r w:rsidR="00495377" w:rsidRPr="001C37EB">
        <w:rPr>
          <w:rFonts w:ascii="Times New Roman" w:hAnsi="Times New Roman" w:cs="Times New Roman"/>
          <w:i/>
          <w:color w:val="000000"/>
          <w:sz w:val="24"/>
          <w:szCs w:val="24"/>
          <w:u w:val="single"/>
        </w:rPr>
        <w:t xml:space="preserve"> (2000) 243 ITR 540 Gauhati</w:t>
      </w:r>
      <w:r w:rsidR="00495377" w:rsidRPr="001C37EB">
        <w:rPr>
          <w:rFonts w:ascii="Times New Roman" w:hAnsi="Times New Roman" w:cs="Times New Roman"/>
          <w:i/>
          <w:color w:val="000000"/>
          <w:sz w:val="24"/>
          <w:szCs w:val="24"/>
        </w:rPr>
        <w:t>,</w:t>
      </w:r>
      <w:r w:rsidRPr="001C37EB">
        <w:rPr>
          <w:rFonts w:ascii="Times New Roman" w:hAnsi="Times New Roman" w:cs="Times New Roman"/>
          <w:color w:val="000000"/>
          <w:sz w:val="24"/>
          <w:szCs w:val="24"/>
        </w:rPr>
        <w:t xml:space="preserve"> had agreed with the Tribunal, that the entire exercise was one initiated for making a </w:t>
      </w:r>
      <w:r w:rsidRPr="001C37EB">
        <w:rPr>
          <w:rFonts w:ascii="Times New Roman" w:hAnsi="Times New Roman" w:cs="Times New Roman"/>
          <w:b/>
          <w:color w:val="000000"/>
          <w:sz w:val="24"/>
          <w:szCs w:val="24"/>
        </w:rPr>
        <w:t xml:space="preserve">fishing enquiry without any material to justify </w:t>
      </w:r>
      <w:r w:rsidRPr="001C37EB">
        <w:rPr>
          <w:rFonts w:ascii="Times New Roman" w:hAnsi="Times New Roman" w:cs="Times New Roman"/>
          <w:b/>
          <w:i/>
          <w:color w:val="000000"/>
          <w:sz w:val="24"/>
          <w:szCs w:val="24"/>
        </w:rPr>
        <w:t>prima facie</w:t>
      </w:r>
      <w:r w:rsidRPr="001C37EB">
        <w:rPr>
          <w:rFonts w:ascii="Times New Roman" w:hAnsi="Times New Roman" w:cs="Times New Roman"/>
          <w:b/>
          <w:color w:val="000000"/>
          <w:sz w:val="24"/>
          <w:szCs w:val="24"/>
        </w:rPr>
        <w:t xml:space="preserve"> inference for issue of notice</w:t>
      </w:r>
      <w:r w:rsidR="005B07A0" w:rsidRPr="001C37EB">
        <w:rPr>
          <w:rFonts w:ascii="Times New Roman" w:hAnsi="Times New Roman" w:cs="Times New Roman"/>
          <w:color w:val="000000"/>
          <w:sz w:val="24"/>
          <w:szCs w:val="24"/>
        </w:rPr>
        <w:t>.</w:t>
      </w:r>
    </w:p>
    <w:p w:rsidR="000069C9" w:rsidRPr="001C37EB" w:rsidRDefault="000069C9" w:rsidP="001C37EB">
      <w:pPr>
        <w:pStyle w:val="ListParagraph"/>
        <w:numPr>
          <w:ilvl w:val="0"/>
          <w:numId w:val="2"/>
        </w:numPr>
        <w:tabs>
          <w:tab w:val="left" w:pos="0"/>
        </w:tabs>
        <w:spacing w:after="120" w:line="360" w:lineRule="auto"/>
        <w:ind w:left="0"/>
        <w:contextualSpacing w:val="0"/>
        <w:jc w:val="both"/>
        <w:rPr>
          <w:rFonts w:ascii="Times New Roman" w:hAnsi="Times New Roman" w:cs="Times New Roman"/>
          <w:i/>
          <w:color w:val="000000"/>
          <w:sz w:val="24"/>
          <w:szCs w:val="24"/>
        </w:rPr>
      </w:pPr>
      <w:r w:rsidRPr="001C37EB">
        <w:rPr>
          <w:rFonts w:ascii="Times New Roman" w:hAnsi="Times New Roman" w:cs="Times New Roman"/>
          <w:i/>
          <w:color w:val="000000"/>
          <w:sz w:val="24"/>
          <w:szCs w:val="24"/>
          <w:u w:val="single"/>
        </w:rPr>
        <w:t xml:space="preserve">ITO v. </w:t>
      </w:r>
      <w:proofErr w:type="spellStart"/>
      <w:r w:rsidRPr="001C37EB">
        <w:rPr>
          <w:rFonts w:ascii="Times New Roman" w:hAnsi="Times New Roman" w:cs="Times New Roman"/>
          <w:i/>
          <w:color w:val="000000"/>
          <w:sz w:val="24"/>
          <w:szCs w:val="24"/>
          <w:u w:val="single"/>
        </w:rPr>
        <w:t>Lakhmani</w:t>
      </w:r>
      <w:proofErr w:type="spellEnd"/>
      <w:r w:rsidRPr="001C37EB">
        <w:rPr>
          <w:rFonts w:ascii="Times New Roman" w:hAnsi="Times New Roman" w:cs="Times New Roman"/>
          <w:i/>
          <w:color w:val="000000"/>
          <w:sz w:val="24"/>
          <w:szCs w:val="24"/>
          <w:u w:val="single"/>
        </w:rPr>
        <w:t xml:space="preserve"> </w:t>
      </w:r>
      <w:proofErr w:type="spellStart"/>
      <w:r w:rsidRPr="001C37EB">
        <w:rPr>
          <w:rFonts w:ascii="Times New Roman" w:hAnsi="Times New Roman" w:cs="Times New Roman"/>
          <w:i/>
          <w:color w:val="000000"/>
          <w:sz w:val="24"/>
          <w:szCs w:val="24"/>
          <w:u w:val="single"/>
        </w:rPr>
        <w:t>Mewal</w:t>
      </w:r>
      <w:proofErr w:type="spellEnd"/>
      <w:r w:rsidRPr="001C37EB">
        <w:rPr>
          <w:rFonts w:ascii="Times New Roman" w:hAnsi="Times New Roman" w:cs="Times New Roman"/>
          <w:i/>
          <w:color w:val="000000"/>
          <w:sz w:val="24"/>
          <w:szCs w:val="24"/>
          <w:u w:val="single"/>
        </w:rPr>
        <w:t xml:space="preserve"> Das, (1976) 103 ITR 437 (SC</w:t>
      </w:r>
      <w:r w:rsidRPr="001C37EB">
        <w:rPr>
          <w:rFonts w:ascii="Times New Roman" w:hAnsi="Times New Roman" w:cs="Times New Roman"/>
          <w:i/>
          <w:color w:val="000000"/>
          <w:sz w:val="24"/>
          <w:szCs w:val="24"/>
        </w:rPr>
        <w:t>).</w:t>
      </w:r>
    </w:p>
    <w:p w:rsidR="00C640C5" w:rsidRPr="001C37EB" w:rsidRDefault="000069C9" w:rsidP="001C37EB">
      <w:pPr>
        <w:pStyle w:val="ListParagraph"/>
        <w:tabs>
          <w:tab w:val="left" w:pos="0"/>
        </w:tabs>
        <w:spacing w:after="120" w:line="360" w:lineRule="auto"/>
        <w:ind w:left="0"/>
        <w:contextualSpacing w:val="0"/>
        <w:jc w:val="both"/>
        <w:rPr>
          <w:rFonts w:ascii="Times New Roman" w:hAnsi="Times New Roman" w:cs="Times New Roman"/>
          <w:i/>
          <w:color w:val="000000"/>
          <w:sz w:val="24"/>
          <w:szCs w:val="24"/>
        </w:rPr>
      </w:pPr>
      <w:r w:rsidRPr="001C37EB">
        <w:rPr>
          <w:rFonts w:ascii="Times New Roman" w:hAnsi="Times New Roman" w:cs="Times New Roman"/>
          <w:color w:val="000000"/>
          <w:sz w:val="24"/>
          <w:szCs w:val="24"/>
        </w:rPr>
        <w:t>A</w:t>
      </w:r>
      <w:r w:rsidR="00C640C5" w:rsidRPr="001C37EB">
        <w:rPr>
          <w:rFonts w:ascii="Times New Roman" w:hAnsi="Times New Roman" w:cs="Times New Roman"/>
          <w:color w:val="000000"/>
          <w:sz w:val="24"/>
          <w:szCs w:val="24"/>
        </w:rPr>
        <w:t xml:space="preserve">ccording to the language of the section, it is seen that the powers of the Assessing Officer in initiating reassessment proceedings are very wide but, it has been repeatedly pointed out, </w:t>
      </w:r>
      <w:r w:rsidR="00C640C5" w:rsidRPr="001C37EB">
        <w:rPr>
          <w:rFonts w:ascii="Times New Roman" w:hAnsi="Times New Roman" w:cs="Times New Roman"/>
          <w:b/>
          <w:color w:val="000000"/>
          <w:sz w:val="24"/>
          <w:szCs w:val="24"/>
        </w:rPr>
        <w:t>they are not plenary</w:t>
      </w:r>
      <w:r w:rsidR="006A130C" w:rsidRPr="001C37EB">
        <w:rPr>
          <w:rFonts w:ascii="Times New Roman" w:hAnsi="Times New Roman" w:cs="Times New Roman"/>
          <w:color w:val="000000"/>
          <w:sz w:val="24"/>
          <w:szCs w:val="24"/>
        </w:rPr>
        <w:t>.</w:t>
      </w:r>
    </w:p>
    <w:p w:rsidR="00C640C5" w:rsidRPr="001C37EB" w:rsidRDefault="00C640C5" w:rsidP="001C37EB">
      <w:pPr>
        <w:pStyle w:val="ListParagraph"/>
        <w:tabs>
          <w:tab w:val="left" w:pos="0"/>
        </w:tabs>
        <w:spacing w:after="120" w:line="360" w:lineRule="auto"/>
        <w:ind w:left="0"/>
        <w:contextualSpacing w:val="0"/>
        <w:jc w:val="both"/>
        <w:rPr>
          <w:rFonts w:ascii="Times New Roman" w:hAnsi="Times New Roman" w:cs="Times New Roman"/>
          <w:i/>
          <w:color w:val="000000"/>
          <w:sz w:val="24"/>
          <w:szCs w:val="24"/>
        </w:rPr>
      </w:pPr>
      <w:r w:rsidRPr="001C37EB">
        <w:rPr>
          <w:rFonts w:ascii="Times New Roman" w:hAnsi="Times New Roman" w:cs="Times New Roman"/>
          <w:color w:val="000000"/>
          <w:sz w:val="24"/>
          <w:szCs w:val="24"/>
        </w:rPr>
        <w:t xml:space="preserve">There must be some material on record to enable the Assessing officer to entertain the necessary belief for initiating reassessment proceedings. The </w:t>
      </w:r>
      <w:r w:rsidRPr="001C37EB">
        <w:rPr>
          <w:rFonts w:ascii="Times New Roman" w:hAnsi="Times New Roman" w:cs="Times New Roman"/>
          <w:b/>
          <w:color w:val="000000"/>
          <w:sz w:val="24"/>
          <w:szCs w:val="24"/>
        </w:rPr>
        <w:t>reopening of assessment after lapse of so many years is serious matter</w:t>
      </w:r>
      <w:r w:rsidRPr="001C37EB">
        <w:rPr>
          <w:rFonts w:ascii="Times New Roman" w:hAnsi="Times New Roman" w:cs="Times New Roman"/>
          <w:color w:val="000000"/>
          <w:sz w:val="24"/>
          <w:szCs w:val="24"/>
        </w:rPr>
        <w:t xml:space="preserve">. There must be presence of materials which can form the basis of formation of an honest belief and such materials should reasonably support such belief. The section </w:t>
      </w:r>
      <w:r w:rsidRPr="001C37EB">
        <w:rPr>
          <w:rFonts w:ascii="Times New Roman" w:hAnsi="Times New Roman" w:cs="Times New Roman"/>
          <w:b/>
          <w:color w:val="000000"/>
          <w:sz w:val="24"/>
          <w:szCs w:val="24"/>
        </w:rPr>
        <w:t>does not permit the reopening of an assessment on wholly vague, indefinite, far-fetched or remote information</w:t>
      </w:r>
    </w:p>
    <w:p w:rsidR="003D1580" w:rsidRPr="001C37EB" w:rsidRDefault="009A3B4F" w:rsidP="001C37EB">
      <w:pPr>
        <w:pStyle w:val="ListParagraph"/>
        <w:tabs>
          <w:tab w:val="left" w:pos="0"/>
        </w:tabs>
        <w:spacing w:after="120" w:line="360" w:lineRule="auto"/>
        <w:ind w:left="0"/>
        <w:contextualSpacing w:val="0"/>
        <w:jc w:val="both"/>
        <w:rPr>
          <w:rFonts w:ascii="Times New Roman" w:hAnsi="Times New Roman" w:cs="Times New Roman"/>
          <w:i/>
          <w:color w:val="000000"/>
          <w:sz w:val="24"/>
          <w:szCs w:val="24"/>
        </w:rPr>
      </w:pPr>
      <w:r w:rsidRPr="001C37EB">
        <w:rPr>
          <w:rFonts w:ascii="Times New Roman" w:hAnsi="Times New Roman" w:cs="Times New Roman"/>
          <w:color w:val="000000"/>
          <w:sz w:val="24"/>
          <w:szCs w:val="24"/>
        </w:rPr>
        <w:t>The</w:t>
      </w:r>
      <w:r w:rsidR="003D1580" w:rsidRPr="001C37EB">
        <w:rPr>
          <w:rFonts w:ascii="Times New Roman" w:hAnsi="Times New Roman" w:cs="Times New Roman"/>
          <w:color w:val="000000"/>
          <w:sz w:val="24"/>
          <w:szCs w:val="24"/>
        </w:rPr>
        <w:t xml:space="preserve"> Supreme Court held that the grounds or reasons which lead to formation of belief must have a </w:t>
      </w:r>
      <w:r w:rsidR="003D1580" w:rsidRPr="001C37EB">
        <w:rPr>
          <w:rFonts w:ascii="Times New Roman" w:hAnsi="Times New Roman" w:cs="Times New Roman"/>
          <w:b/>
          <w:color w:val="000000"/>
          <w:sz w:val="24"/>
          <w:szCs w:val="24"/>
        </w:rPr>
        <w:t>material bearing on the question</w:t>
      </w:r>
      <w:r w:rsidR="003D1580" w:rsidRPr="001C37EB">
        <w:rPr>
          <w:rFonts w:ascii="Times New Roman" w:hAnsi="Times New Roman" w:cs="Times New Roman"/>
          <w:color w:val="000000"/>
          <w:sz w:val="24"/>
          <w:szCs w:val="24"/>
        </w:rPr>
        <w:t xml:space="preserve"> of escapement of income of the assessee from assessment. In this case</w:t>
      </w:r>
      <w:r w:rsidR="0061396E" w:rsidRPr="001C37EB">
        <w:rPr>
          <w:rFonts w:ascii="Times New Roman" w:hAnsi="Times New Roman" w:cs="Times New Roman"/>
          <w:color w:val="000000"/>
          <w:sz w:val="24"/>
          <w:szCs w:val="24"/>
        </w:rPr>
        <w:t>,</w:t>
      </w:r>
      <w:r w:rsidR="003D1580" w:rsidRPr="001C37EB">
        <w:rPr>
          <w:rFonts w:ascii="Times New Roman" w:hAnsi="Times New Roman" w:cs="Times New Roman"/>
          <w:color w:val="000000"/>
          <w:sz w:val="24"/>
          <w:szCs w:val="24"/>
        </w:rPr>
        <w:t xml:space="preserve"> it was pointed out that there must be</w:t>
      </w:r>
      <w:r w:rsidR="0066013F" w:rsidRPr="001C37EB">
        <w:rPr>
          <w:rFonts w:ascii="Times New Roman" w:hAnsi="Times New Roman" w:cs="Times New Roman"/>
          <w:color w:val="000000"/>
          <w:sz w:val="24"/>
          <w:szCs w:val="24"/>
        </w:rPr>
        <w:t xml:space="preserve"> a rational connection,</w:t>
      </w:r>
      <w:r w:rsidR="003D1580" w:rsidRPr="001C37EB">
        <w:rPr>
          <w:rFonts w:ascii="Times New Roman" w:hAnsi="Times New Roman" w:cs="Times New Roman"/>
          <w:color w:val="000000"/>
          <w:sz w:val="24"/>
          <w:szCs w:val="24"/>
        </w:rPr>
        <w:t xml:space="preserve"> </w:t>
      </w:r>
      <w:r w:rsidR="003D1580" w:rsidRPr="001C37EB">
        <w:rPr>
          <w:rFonts w:ascii="Times New Roman" w:hAnsi="Times New Roman" w:cs="Times New Roman"/>
          <w:b/>
          <w:color w:val="000000"/>
          <w:sz w:val="24"/>
          <w:szCs w:val="24"/>
        </w:rPr>
        <w:t xml:space="preserve">direct nexus or live link </w:t>
      </w:r>
      <w:r w:rsidR="003D1580" w:rsidRPr="001C37EB">
        <w:rPr>
          <w:rFonts w:ascii="Times New Roman" w:hAnsi="Times New Roman" w:cs="Times New Roman"/>
          <w:color w:val="000000"/>
          <w:sz w:val="24"/>
          <w:szCs w:val="24"/>
        </w:rPr>
        <w:t xml:space="preserve">between the </w:t>
      </w:r>
      <w:r w:rsidR="003D1580" w:rsidRPr="001C37EB">
        <w:rPr>
          <w:rFonts w:ascii="Times New Roman" w:hAnsi="Times New Roman" w:cs="Times New Roman"/>
          <w:b/>
          <w:color w:val="000000"/>
          <w:sz w:val="24"/>
          <w:szCs w:val="24"/>
        </w:rPr>
        <w:t>material coming to notice</w:t>
      </w:r>
      <w:r w:rsidR="003D1580" w:rsidRPr="001C37EB">
        <w:rPr>
          <w:rFonts w:ascii="Times New Roman" w:hAnsi="Times New Roman" w:cs="Times New Roman"/>
          <w:color w:val="000000"/>
          <w:sz w:val="24"/>
          <w:szCs w:val="24"/>
        </w:rPr>
        <w:t xml:space="preserve"> of the Assessing Officer and the </w:t>
      </w:r>
      <w:r w:rsidR="003D1580" w:rsidRPr="001C37EB">
        <w:rPr>
          <w:rFonts w:ascii="Times New Roman" w:hAnsi="Times New Roman" w:cs="Times New Roman"/>
          <w:b/>
          <w:color w:val="000000"/>
          <w:sz w:val="24"/>
          <w:szCs w:val="24"/>
        </w:rPr>
        <w:t>formation of belief</w:t>
      </w:r>
      <w:r w:rsidR="003D1580" w:rsidRPr="001C37EB">
        <w:rPr>
          <w:rFonts w:ascii="Times New Roman" w:hAnsi="Times New Roman" w:cs="Times New Roman"/>
          <w:color w:val="000000"/>
          <w:sz w:val="24"/>
          <w:szCs w:val="24"/>
        </w:rPr>
        <w:t xml:space="preserve"> that the income has escaped assessment.</w:t>
      </w:r>
    </w:p>
    <w:p w:rsidR="000069C9" w:rsidRPr="001C37EB" w:rsidRDefault="00234D2C" w:rsidP="001C37EB">
      <w:pPr>
        <w:tabs>
          <w:tab w:val="left" w:pos="0"/>
        </w:tabs>
        <w:spacing w:after="200" w:line="360" w:lineRule="auto"/>
        <w:ind w:left="0" w:hanging="36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ab/>
      </w:r>
      <w:r w:rsidR="000069C9" w:rsidRPr="001C37EB">
        <w:rPr>
          <w:rFonts w:ascii="Times New Roman" w:hAnsi="Times New Roman" w:cs="Times New Roman"/>
          <w:color w:val="000000"/>
          <w:sz w:val="24"/>
          <w:szCs w:val="24"/>
        </w:rPr>
        <w:t xml:space="preserve">The </w:t>
      </w:r>
      <w:r w:rsidR="00B049B9" w:rsidRPr="001C37EB">
        <w:rPr>
          <w:rFonts w:ascii="Times New Roman" w:hAnsi="Times New Roman" w:cs="Times New Roman"/>
          <w:color w:val="000000"/>
          <w:sz w:val="24"/>
          <w:szCs w:val="24"/>
        </w:rPr>
        <w:t>words of the s</w:t>
      </w:r>
      <w:r w:rsidR="000069C9" w:rsidRPr="001C37EB">
        <w:rPr>
          <w:rFonts w:ascii="Times New Roman" w:hAnsi="Times New Roman" w:cs="Times New Roman"/>
          <w:color w:val="000000"/>
          <w:sz w:val="24"/>
          <w:szCs w:val="24"/>
        </w:rPr>
        <w:t xml:space="preserve">ection are </w:t>
      </w:r>
      <w:r w:rsidR="000069C9" w:rsidRPr="001C37EB">
        <w:rPr>
          <w:rFonts w:ascii="Times New Roman" w:hAnsi="Times New Roman" w:cs="Times New Roman"/>
          <w:b/>
          <w:color w:val="000000"/>
          <w:sz w:val="24"/>
          <w:szCs w:val="24"/>
        </w:rPr>
        <w:t>“reason to believ</w:t>
      </w:r>
      <w:r w:rsidR="00B049B9" w:rsidRPr="001C37EB">
        <w:rPr>
          <w:rFonts w:ascii="Times New Roman" w:hAnsi="Times New Roman" w:cs="Times New Roman"/>
          <w:b/>
          <w:color w:val="000000"/>
          <w:sz w:val="24"/>
          <w:szCs w:val="24"/>
        </w:rPr>
        <w:t>e</w:t>
      </w:r>
      <w:r w:rsidR="000069C9" w:rsidRPr="001C37EB">
        <w:rPr>
          <w:rFonts w:ascii="Times New Roman" w:hAnsi="Times New Roman" w:cs="Times New Roman"/>
          <w:b/>
          <w:color w:val="000000"/>
          <w:sz w:val="24"/>
          <w:szCs w:val="24"/>
        </w:rPr>
        <w:t>”</w:t>
      </w:r>
      <w:r w:rsidR="000069C9" w:rsidRPr="001C37EB">
        <w:rPr>
          <w:rFonts w:ascii="Times New Roman" w:hAnsi="Times New Roman" w:cs="Times New Roman"/>
          <w:color w:val="000000"/>
          <w:sz w:val="24"/>
          <w:szCs w:val="24"/>
        </w:rPr>
        <w:t xml:space="preserve"> and not </w:t>
      </w:r>
      <w:r w:rsidR="000069C9" w:rsidRPr="001C37EB">
        <w:rPr>
          <w:rFonts w:ascii="Times New Roman" w:hAnsi="Times New Roman" w:cs="Times New Roman"/>
          <w:b/>
          <w:color w:val="000000"/>
          <w:sz w:val="24"/>
          <w:szCs w:val="24"/>
        </w:rPr>
        <w:t>“reason to suspect”</w:t>
      </w:r>
      <w:r w:rsidR="00B049B9" w:rsidRPr="001C37EB">
        <w:rPr>
          <w:rFonts w:ascii="Times New Roman" w:hAnsi="Times New Roman" w:cs="Times New Roman"/>
          <w:color w:val="000000"/>
          <w:sz w:val="24"/>
          <w:szCs w:val="24"/>
        </w:rPr>
        <w:t>.</w:t>
      </w:r>
    </w:p>
    <w:p w:rsidR="003D1580" w:rsidRPr="001C37EB" w:rsidRDefault="003D1580"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In</w:t>
      </w:r>
      <w:r w:rsidRPr="001C37EB">
        <w:rPr>
          <w:rFonts w:ascii="Times New Roman" w:hAnsi="Times New Roman" w:cs="Times New Roman"/>
          <w:i/>
          <w:color w:val="000000"/>
          <w:sz w:val="24"/>
          <w:szCs w:val="24"/>
        </w:rPr>
        <w:t xml:space="preserve"> </w:t>
      </w:r>
      <w:proofErr w:type="spellStart"/>
      <w:r w:rsidRPr="001C37EB">
        <w:rPr>
          <w:rFonts w:ascii="Times New Roman" w:hAnsi="Times New Roman" w:cs="Times New Roman"/>
          <w:i/>
          <w:color w:val="000000"/>
          <w:sz w:val="24"/>
          <w:szCs w:val="24"/>
          <w:u w:val="single"/>
        </w:rPr>
        <w:t>Chhugamal</w:t>
      </w:r>
      <w:proofErr w:type="spellEnd"/>
      <w:r w:rsidRPr="001C37EB">
        <w:rPr>
          <w:rFonts w:ascii="Times New Roman" w:hAnsi="Times New Roman" w:cs="Times New Roman"/>
          <w:i/>
          <w:color w:val="000000"/>
          <w:sz w:val="24"/>
          <w:szCs w:val="24"/>
          <w:u w:val="single"/>
        </w:rPr>
        <w:t xml:space="preserve"> </w:t>
      </w:r>
      <w:proofErr w:type="spellStart"/>
      <w:r w:rsidRPr="001C37EB">
        <w:rPr>
          <w:rFonts w:ascii="Times New Roman" w:hAnsi="Times New Roman" w:cs="Times New Roman"/>
          <w:i/>
          <w:color w:val="000000"/>
          <w:sz w:val="24"/>
          <w:szCs w:val="24"/>
          <w:u w:val="single"/>
        </w:rPr>
        <w:t>Rajpal</w:t>
      </w:r>
      <w:proofErr w:type="spellEnd"/>
      <w:r w:rsidRPr="001C37EB">
        <w:rPr>
          <w:rFonts w:ascii="Times New Roman" w:hAnsi="Times New Roman" w:cs="Times New Roman"/>
          <w:i/>
          <w:color w:val="000000"/>
          <w:sz w:val="24"/>
          <w:szCs w:val="24"/>
          <w:u w:val="single"/>
        </w:rPr>
        <w:t xml:space="preserve"> v. </w:t>
      </w:r>
      <w:proofErr w:type="spellStart"/>
      <w:r w:rsidRPr="001C37EB">
        <w:rPr>
          <w:rFonts w:ascii="Times New Roman" w:hAnsi="Times New Roman" w:cs="Times New Roman"/>
          <w:i/>
          <w:color w:val="000000"/>
          <w:sz w:val="24"/>
          <w:szCs w:val="24"/>
          <w:u w:val="single"/>
        </w:rPr>
        <w:t>Chaliha</w:t>
      </w:r>
      <w:proofErr w:type="spellEnd"/>
      <w:r w:rsidRPr="001C37EB">
        <w:rPr>
          <w:rFonts w:ascii="Times New Roman" w:hAnsi="Times New Roman" w:cs="Times New Roman"/>
          <w:i/>
          <w:color w:val="000000"/>
          <w:sz w:val="24"/>
          <w:szCs w:val="24"/>
          <w:u w:val="single"/>
        </w:rPr>
        <w:t xml:space="preserve"> (SP</w:t>
      </w:r>
      <w:proofErr w:type="gramStart"/>
      <w:r w:rsidRPr="001C37EB">
        <w:rPr>
          <w:rFonts w:ascii="Times New Roman" w:hAnsi="Times New Roman" w:cs="Times New Roman"/>
          <w:i/>
          <w:color w:val="000000"/>
          <w:sz w:val="24"/>
          <w:szCs w:val="24"/>
          <w:u w:val="single"/>
        </w:rPr>
        <w:t>)</w:t>
      </w:r>
      <w:r w:rsidR="004903D6" w:rsidRPr="001C37EB">
        <w:rPr>
          <w:rFonts w:ascii="Times New Roman" w:hAnsi="Times New Roman" w:cs="Times New Roman"/>
          <w:i/>
          <w:color w:val="000000"/>
          <w:sz w:val="24"/>
          <w:szCs w:val="24"/>
          <w:u w:val="single"/>
        </w:rPr>
        <w:t xml:space="preserve"> ,</w:t>
      </w:r>
      <w:proofErr w:type="gramEnd"/>
      <w:r w:rsidR="004903D6" w:rsidRPr="001C37EB">
        <w:rPr>
          <w:rFonts w:ascii="Times New Roman" w:hAnsi="Times New Roman" w:cs="Times New Roman"/>
          <w:i/>
          <w:color w:val="000000"/>
          <w:sz w:val="24"/>
          <w:szCs w:val="24"/>
          <w:u w:val="single"/>
        </w:rPr>
        <w:t>(1971) 79 ITR 603 (SC)</w:t>
      </w:r>
      <w:r w:rsidRPr="001C37EB">
        <w:rPr>
          <w:rFonts w:ascii="Times New Roman" w:hAnsi="Times New Roman" w:cs="Times New Roman"/>
          <w:i/>
          <w:color w:val="000000"/>
          <w:sz w:val="24"/>
          <w:szCs w:val="24"/>
          <w:u w:val="single"/>
        </w:rPr>
        <w:t>,</w:t>
      </w:r>
      <w:r w:rsidRPr="001C37EB">
        <w:rPr>
          <w:rFonts w:ascii="Times New Roman" w:hAnsi="Times New Roman" w:cs="Times New Roman"/>
          <w:color w:val="000000"/>
          <w:sz w:val="24"/>
          <w:szCs w:val="24"/>
        </w:rPr>
        <w:t xml:space="preserve"> the Assessing appeared to have a </w:t>
      </w:r>
      <w:r w:rsidRPr="001C37EB">
        <w:rPr>
          <w:rFonts w:ascii="Times New Roman" w:hAnsi="Times New Roman" w:cs="Times New Roman"/>
          <w:b/>
          <w:color w:val="000000"/>
          <w:sz w:val="24"/>
          <w:szCs w:val="24"/>
        </w:rPr>
        <w:t>vague feeling</w:t>
      </w:r>
      <w:r w:rsidRPr="001C37EB">
        <w:rPr>
          <w:rFonts w:ascii="Times New Roman" w:hAnsi="Times New Roman" w:cs="Times New Roman"/>
          <w:color w:val="000000"/>
          <w:sz w:val="24"/>
          <w:szCs w:val="24"/>
        </w:rPr>
        <w:t xml:space="preserve"> that certain loan transactions might be bogus transactions. Such a feeling, it was held, does not fulfill the requirements of section 148 and 151(2).</w:t>
      </w:r>
      <w:r w:rsidR="00BA7BDA" w:rsidRPr="001C37EB">
        <w:rPr>
          <w:rFonts w:ascii="Times New Roman" w:hAnsi="Times New Roman" w:cs="Times New Roman"/>
          <w:color w:val="000000"/>
          <w:sz w:val="24"/>
          <w:szCs w:val="24"/>
        </w:rPr>
        <w:t xml:space="preserve"> He should </w:t>
      </w:r>
      <w:r w:rsidR="00BA7BDA" w:rsidRPr="001C37EB">
        <w:rPr>
          <w:rFonts w:ascii="Times New Roman" w:hAnsi="Times New Roman" w:cs="Times New Roman"/>
          <w:b/>
          <w:color w:val="000000"/>
          <w:sz w:val="24"/>
          <w:szCs w:val="24"/>
        </w:rPr>
        <w:t xml:space="preserve">have </w:t>
      </w:r>
      <w:r w:rsidR="00BA7BDA" w:rsidRPr="001C37EB">
        <w:rPr>
          <w:rFonts w:ascii="Times New Roman" w:hAnsi="Times New Roman" w:cs="Times New Roman"/>
          <w:b/>
          <w:i/>
          <w:color w:val="000000"/>
          <w:sz w:val="24"/>
          <w:szCs w:val="24"/>
        </w:rPr>
        <w:t xml:space="preserve">prima facie </w:t>
      </w:r>
      <w:r w:rsidR="00BA7BDA" w:rsidRPr="001C37EB">
        <w:rPr>
          <w:rFonts w:ascii="Times New Roman" w:hAnsi="Times New Roman" w:cs="Times New Roman"/>
          <w:b/>
          <w:color w:val="000000"/>
          <w:sz w:val="24"/>
          <w:szCs w:val="24"/>
        </w:rPr>
        <w:t>grounds</w:t>
      </w:r>
      <w:r w:rsidR="00BA7BDA" w:rsidRPr="001C37EB">
        <w:rPr>
          <w:rFonts w:ascii="Times New Roman" w:hAnsi="Times New Roman" w:cs="Times New Roman"/>
          <w:color w:val="000000"/>
          <w:sz w:val="24"/>
          <w:szCs w:val="24"/>
        </w:rPr>
        <w:t xml:space="preserve"> before taking action under section 148. His conclusion that </w:t>
      </w:r>
      <w:r w:rsidR="00BA7BDA" w:rsidRPr="001C37EB">
        <w:rPr>
          <w:rFonts w:ascii="Times New Roman" w:hAnsi="Times New Roman" w:cs="Times New Roman"/>
          <w:b/>
          <w:color w:val="000000"/>
          <w:sz w:val="24"/>
          <w:szCs w:val="24"/>
        </w:rPr>
        <w:t>“there was a case for investigating the truth of the alleged transaction”</w:t>
      </w:r>
      <w:r w:rsidR="00BA7BDA" w:rsidRPr="001C37EB">
        <w:rPr>
          <w:rFonts w:ascii="Times New Roman" w:hAnsi="Times New Roman" w:cs="Times New Roman"/>
          <w:color w:val="000000"/>
          <w:sz w:val="24"/>
          <w:szCs w:val="24"/>
        </w:rPr>
        <w:t xml:space="preserve"> was not the same thing as saying that </w:t>
      </w:r>
      <w:r w:rsidR="00BA7BDA" w:rsidRPr="001C37EB">
        <w:rPr>
          <w:rFonts w:ascii="Times New Roman" w:hAnsi="Times New Roman" w:cs="Times New Roman"/>
          <w:b/>
          <w:color w:val="000000"/>
          <w:sz w:val="24"/>
          <w:szCs w:val="24"/>
        </w:rPr>
        <w:t>“there were reasons to for the issue of the notice”</w:t>
      </w:r>
      <w:r w:rsidR="00BA7BDA" w:rsidRPr="001C37EB">
        <w:rPr>
          <w:rFonts w:ascii="Times New Roman" w:hAnsi="Times New Roman" w:cs="Times New Roman"/>
          <w:color w:val="000000"/>
          <w:sz w:val="24"/>
          <w:szCs w:val="24"/>
        </w:rPr>
        <w:t>. The CIT had mechanically accorded permission and the important safeguards provided in sections 147 and 151 had been lightly treated by the Assessing Officer and the Commissioner. Accordingly, the notice issued was invalid.</w:t>
      </w:r>
    </w:p>
    <w:p w:rsidR="003D1580" w:rsidRPr="001C37EB" w:rsidRDefault="003D1580"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lastRenderedPageBreak/>
        <w:t xml:space="preserve">In </w:t>
      </w:r>
      <w:r w:rsidRPr="001C37EB">
        <w:rPr>
          <w:rFonts w:ascii="Times New Roman" w:hAnsi="Times New Roman" w:cs="Times New Roman"/>
          <w:i/>
          <w:color w:val="000000"/>
          <w:sz w:val="24"/>
          <w:szCs w:val="24"/>
          <w:u w:val="single"/>
        </w:rPr>
        <w:t xml:space="preserve">ITO v. </w:t>
      </w:r>
      <w:proofErr w:type="spellStart"/>
      <w:r w:rsidRPr="001C37EB">
        <w:rPr>
          <w:rFonts w:ascii="Times New Roman" w:hAnsi="Times New Roman" w:cs="Times New Roman"/>
          <w:i/>
          <w:color w:val="000000"/>
          <w:sz w:val="24"/>
          <w:szCs w:val="24"/>
          <w:u w:val="single"/>
        </w:rPr>
        <w:t>Ramnarayan</w:t>
      </w:r>
      <w:proofErr w:type="spellEnd"/>
      <w:r w:rsidRPr="001C37EB">
        <w:rPr>
          <w:rFonts w:ascii="Times New Roman" w:hAnsi="Times New Roman" w:cs="Times New Roman"/>
          <w:i/>
          <w:color w:val="000000"/>
          <w:sz w:val="24"/>
          <w:szCs w:val="24"/>
          <w:u w:val="single"/>
        </w:rPr>
        <w:t xml:space="preserve"> </w:t>
      </w:r>
      <w:proofErr w:type="spellStart"/>
      <w:r w:rsidRPr="001C37EB">
        <w:rPr>
          <w:rFonts w:ascii="Times New Roman" w:hAnsi="Times New Roman" w:cs="Times New Roman"/>
          <w:i/>
          <w:color w:val="000000"/>
          <w:sz w:val="24"/>
          <w:szCs w:val="24"/>
          <w:u w:val="single"/>
        </w:rPr>
        <w:t>Bhojnagarwala</w:t>
      </w:r>
      <w:proofErr w:type="spellEnd"/>
      <w:r w:rsidR="004903D6" w:rsidRPr="001C37EB">
        <w:rPr>
          <w:rFonts w:ascii="Times New Roman" w:hAnsi="Times New Roman" w:cs="Times New Roman"/>
          <w:i/>
          <w:color w:val="000000"/>
          <w:sz w:val="24"/>
          <w:szCs w:val="24"/>
          <w:u w:val="single"/>
        </w:rPr>
        <w:t>, (1976) 103 ITR 797(SC)</w:t>
      </w:r>
      <w:r w:rsidR="004903D6" w:rsidRPr="001C37EB">
        <w:rPr>
          <w:rFonts w:ascii="Times New Roman" w:hAnsi="Times New Roman" w:cs="Times New Roman"/>
          <w:i/>
          <w:color w:val="000000"/>
          <w:sz w:val="24"/>
          <w:szCs w:val="24"/>
        </w:rPr>
        <w:t xml:space="preserve">, </w:t>
      </w:r>
      <w:r w:rsidRPr="001C37EB">
        <w:rPr>
          <w:rFonts w:ascii="Times New Roman" w:hAnsi="Times New Roman" w:cs="Times New Roman"/>
          <w:color w:val="000000"/>
          <w:sz w:val="24"/>
          <w:szCs w:val="24"/>
        </w:rPr>
        <w:t xml:space="preserve">the Supreme Court has observed that existence of “reasonable belief” is the </w:t>
      </w:r>
      <w:r w:rsidRPr="001C37EB">
        <w:rPr>
          <w:rFonts w:ascii="Times New Roman" w:hAnsi="Times New Roman" w:cs="Times New Roman"/>
          <w:i/>
          <w:color w:val="000000"/>
          <w:sz w:val="24"/>
          <w:szCs w:val="24"/>
        </w:rPr>
        <w:t xml:space="preserve">sine qua non </w:t>
      </w:r>
      <w:r w:rsidRPr="001C37EB">
        <w:rPr>
          <w:rFonts w:ascii="Times New Roman" w:hAnsi="Times New Roman" w:cs="Times New Roman"/>
          <w:color w:val="000000"/>
          <w:sz w:val="24"/>
          <w:szCs w:val="24"/>
        </w:rPr>
        <w:t>for the initiation of reassessment proceedings.</w:t>
      </w:r>
    </w:p>
    <w:p w:rsidR="003D1580" w:rsidRPr="001C37EB" w:rsidRDefault="003D1580" w:rsidP="001C37EB">
      <w:pPr>
        <w:pStyle w:val="ListParagraph"/>
        <w:numPr>
          <w:ilvl w:val="0"/>
          <w:numId w:val="2"/>
        </w:numPr>
        <w:tabs>
          <w:tab w:val="left" w:pos="0"/>
        </w:tabs>
        <w:spacing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 xml:space="preserve">In </w:t>
      </w:r>
      <w:proofErr w:type="spellStart"/>
      <w:r w:rsidRPr="001C37EB">
        <w:rPr>
          <w:rFonts w:ascii="Times New Roman" w:hAnsi="Times New Roman" w:cs="Times New Roman"/>
          <w:i/>
          <w:color w:val="000000"/>
          <w:sz w:val="24"/>
          <w:szCs w:val="24"/>
          <w:u w:val="single"/>
        </w:rPr>
        <w:t>Ganga</w:t>
      </w:r>
      <w:proofErr w:type="spellEnd"/>
      <w:r w:rsidRPr="001C37EB">
        <w:rPr>
          <w:rFonts w:ascii="Times New Roman" w:hAnsi="Times New Roman" w:cs="Times New Roman"/>
          <w:i/>
          <w:color w:val="000000"/>
          <w:sz w:val="24"/>
          <w:szCs w:val="24"/>
          <w:u w:val="single"/>
        </w:rPr>
        <w:t xml:space="preserve"> Saran &amp; Sons Pvt. Ltd. v. ITO</w:t>
      </w:r>
      <w:r w:rsidR="004903D6" w:rsidRPr="001C37EB">
        <w:rPr>
          <w:rFonts w:ascii="Times New Roman" w:hAnsi="Times New Roman" w:cs="Times New Roman"/>
          <w:i/>
          <w:color w:val="000000"/>
          <w:sz w:val="24"/>
          <w:szCs w:val="24"/>
          <w:u w:val="single"/>
        </w:rPr>
        <w:t>, (1981) 130 ITR 1 (SC),</w:t>
      </w:r>
      <w:r w:rsidRPr="001C37EB">
        <w:rPr>
          <w:rFonts w:ascii="Times New Roman" w:hAnsi="Times New Roman" w:cs="Times New Roman"/>
          <w:i/>
          <w:color w:val="000000"/>
          <w:sz w:val="24"/>
          <w:szCs w:val="24"/>
        </w:rPr>
        <w:t xml:space="preserve"> </w:t>
      </w:r>
      <w:r w:rsidRPr="001C37EB">
        <w:rPr>
          <w:rFonts w:ascii="Times New Roman" w:hAnsi="Times New Roman" w:cs="Times New Roman"/>
          <w:color w:val="000000"/>
          <w:sz w:val="24"/>
          <w:szCs w:val="24"/>
        </w:rPr>
        <w:t xml:space="preserve">the Supreme Court referred to the words </w:t>
      </w:r>
      <w:r w:rsidR="00A65835" w:rsidRPr="001C37EB">
        <w:rPr>
          <w:rFonts w:ascii="Times New Roman" w:hAnsi="Times New Roman" w:cs="Times New Roman"/>
          <w:b/>
          <w:color w:val="000000"/>
          <w:sz w:val="24"/>
          <w:szCs w:val="24"/>
        </w:rPr>
        <w:t>“has reason to believe”</w:t>
      </w:r>
      <w:r w:rsidRPr="001C37EB">
        <w:rPr>
          <w:rFonts w:ascii="Times New Roman" w:hAnsi="Times New Roman" w:cs="Times New Roman"/>
          <w:color w:val="000000"/>
          <w:sz w:val="24"/>
          <w:szCs w:val="24"/>
        </w:rPr>
        <w:t xml:space="preserve"> and said that these words are stronger than the words “</w:t>
      </w:r>
      <w:r w:rsidRPr="001C37EB">
        <w:rPr>
          <w:rFonts w:ascii="Times New Roman" w:hAnsi="Times New Roman" w:cs="Times New Roman"/>
          <w:b/>
          <w:color w:val="000000"/>
          <w:sz w:val="24"/>
          <w:szCs w:val="24"/>
        </w:rPr>
        <w:t>is satisfied</w:t>
      </w:r>
      <w:r w:rsidRPr="001C37EB">
        <w:rPr>
          <w:rFonts w:ascii="Times New Roman" w:hAnsi="Times New Roman" w:cs="Times New Roman"/>
          <w:color w:val="000000"/>
          <w:sz w:val="24"/>
          <w:szCs w:val="24"/>
        </w:rPr>
        <w:t>”.</w:t>
      </w:r>
      <w:r w:rsidR="00B049B9" w:rsidRPr="001C37EB">
        <w:rPr>
          <w:rFonts w:ascii="Times New Roman" w:hAnsi="Times New Roman" w:cs="Times New Roman"/>
          <w:color w:val="000000"/>
          <w:sz w:val="24"/>
          <w:szCs w:val="24"/>
        </w:rPr>
        <w:t xml:space="preserve"> Accordingly the Supreme Court held that the belief entertained by the Assessing Officer must not be </w:t>
      </w:r>
      <w:r w:rsidR="00B049B9" w:rsidRPr="001C37EB">
        <w:rPr>
          <w:rFonts w:ascii="Times New Roman" w:hAnsi="Times New Roman" w:cs="Times New Roman"/>
          <w:b/>
          <w:color w:val="000000"/>
          <w:sz w:val="24"/>
          <w:szCs w:val="24"/>
        </w:rPr>
        <w:t>arbitrary and irrational</w:t>
      </w:r>
      <w:r w:rsidR="0061396E" w:rsidRPr="001C37EB">
        <w:rPr>
          <w:rFonts w:ascii="Times New Roman" w:hAnsi="Times New Roman" w:cs="Times New Roman"/>
          <w:color w:val="000000"/>
          <w:sz w:val="24"/>
          <w:szCs w:val="24"/>
        </w:rPr>
        <w:t xml:space="preserve">. </w:t>
      </w:r>
      <w:r w:rsidR="00B049B9" w:rsidRPr="001C37EB">
        <w:rPr>
          <w:rFonts w:ascii="Times New Roman" w:hAnsi="Times New Roman" w:cs="Times New Roman"/>
          <w:color w:val="000000"/>
          <w:sz w:val="24"/>
          <w:szCs w:val="24"/>
        </w:rPr>
        <w:t>It must be reasona</w:t>
      </w:r>
      <w:r w:rsidR="0061396E" w:rsidRPr="001C37EB">
        <w:rPr>
          <w:rFonts w:ascii="Times New Roman" w:hAnsi="Times New Roman" w:cs="Times New Roman"/>
          <w:color w:val="000000"/>
          <w:sz w:val="24"/>
          <w:szCs w:val="24"/>
        </w:rPr>
        <w:t>ble or</w:t>
      </w:r>
      <w:r w:rsidR="00B049B9" w:rsidRPr="001C37EB">
        <w:rPr>
          <w:rFonts w:ascii="Times New Roman" w:hAnsi="Times New Roman" w:cs="Times New Roman"/>
          <w:color w:val="000000"/>
          <w:sz w:val="24"/>
          <w:szCs w:val="24"/>
        </w:rPr>
        <w:t xml:space="preserve"> in other words it must be based on reasons which are relevant and ma</w:t>
      </w:r>
      <w:r w:rsidR="0061396E" w:rsidRPr="001C37EB">
        <w:rPr>
          <w:rFonts w:ascii="Times New Roman" w:hAnsi="Times New Roman" w:cs="Times New Roman"/>
          <w:color w:val="000000"/>
          <w:sz w:val="24"/>
          <w:szCs w:val="24"/>
        </w:rPr>
        <w:t>t</w:t>
      </w:r>
      <w:r w:rsidR="00B049B9" w:rsidRPr="001C37EB">
        <w:rPr>
          <w:rFonts w:ascii="Times New Roman" w:hAnsi="Times New Roman" w:cs="Times New Roman"/>
          <w:color w:val="000000"/>
          <w:sz w:val="24"/>
          <w:szCs w:val="24"/>
        </w:rPr>
        <w:t>erial.</w:t>
      </w:r>
    </w:p>
    <w:p w:rsidR="005B07A0" w:rsidRPr="001C37EB" w:rsidRDefault="00B97ADB" w:rsidP="001C37EB">
      <w:pPr>
        <w:tabs>
          <w:tab w:val="left" w:pos="0"/>
        </w:tabs>
        <w:spacing w:after="200" w:line="360" w:lineRule="auto"/>
        <w:ind w:left="0" w:hanging="36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ab/>
      </w:r>
      <w:r w:rsidR="005B07A0" w:rsidRPr="001C37EB">
        <w:rPr>
          <w:rFonts w:ascii="Times New Roman" w:hAnsi="Times New Roman" w:cs="Times New Roman"/>
          <w:color w:val="000000"/>
          <w:sz w:val="24"/>
          <w:szCs w:val="24"/>
        </w:rPr>
        <w:t>There should be</w:t>
      </w:r>
      <w:r w:rsidR="005B07A0" w:rsidRPr="001C37EB">
        <w:rPr>
          <w:rFonts w:ascii="Times New Roman" w:hAnsi="Times New Roman" w:cs="Times New Roman"/>
          <w:b/>
          <w:color w:val="000000"/>
          <w:sz w:val="24"/>
          <w:szCs w:val="24"/>
        </w:rPr>
        <w:t xml:space="preserve"> rational and intelligible nexus</w:t>
      </w:r>
      <w:r w:rsidR="005B07A0" w:rsidRPr="001C37EB">
        <w:rPr>
          <w:rFonts w:ascii="Times New Roman" w:hAnsi="Times New Roman" w:cs="Times New Roman"/>
          <w:color w:val="000000"/>
          <w:sz w:val="24"/>
          <w:szCs w:val="24"/>
        </w:rPr>
        <w:t xml:space="preserve"> between the reason and the be</w:t>
      </w:r>
      <w:r w:rsidR="0061396E" w:rsidRPr="001C37EB">
        <w:rPr>
          <w:rFonts w:ascii="Times New Roman" w:hAnsi="Times New Roman" w:cs="Times New Roman"/>
          <w:color w:val="000000"/>
          <w:sz w:val="24"/>
          <w:szCs w:val="24"/>
        </w:rPr>
        <w:t>lief, so that on such reasons</w:t>
      </w:r>
      <w:r w:rsidR="005B07A0" w:rsidRPr="001C37EB">
        <w:rPr>
          <w:rFonts w:ascii="Times New Roman" w:hAnsi="Times New Roman" w:cs="Times New Roman"/>
          <w:color w:val="000000"/>
          <w:sz w:val="24"/>
          <w:szCs w:val="24"/>
        </w:rPr>
        <w:t xml:space="preserve"> one properly instructed </w:t>
      </w:r>
      <w:r w:rsidR="0061396E" w:rsidRPr="001C37EB">
        <w:rPr>
          <w:rFonts w:ascii="Times New Roman" w:hAnsi="Times New Roman" w:cs="Times New Roman"/>
          <w:color w:val="000000"/>
          <w:sz w:val="24"/>
          <w:szCs w:val="24"/>
        </w:rPr>
        <w:t>on fact and law could reasonably</w:t>
      </w:r>
      <w:r w:rsidR="005B07A0" w:rsidRPr="001C37EB">
        <w:rPr>
          <w:rFonts w:ascii="Times New Roman" w:hAnsi="Times New Roman" w:cs="Times New Roman"/>
          <w:color w:val="000000"/>
          <w:sz w:val="24"/>
          <w:szCs w:val="24"/>
        </w:rPr>
        <w:t xml:space="preserve"> entertain the belief of escapement of income.</w:t>
      </w:r>
    </w:p>
    <w:p w:rsidR="003D1580" w:rsidRPr="001C37EB" w:rsidRDefault="003D1580"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b/>
          <w:color w:val="000000"/>
          <w:sz w:val="24"/>
          <w:szCs w:val="24"/>
        </w:rPr>
      </w:pPr>
      <w:r w:rsidRPr="001C37EB">
        <w:rPr>
          <w:rFonts w:ascii="Times New Roman" w:hAnsi="Times New Roman" w:cs="Times New Roman"/>
          <w:color w:val="000000"/>
          <w:sz w:val="24"/>
          <w:szCs w:val="24"/>
        </w:rPr>
        <w:t xml:space="preserve">In </w:t>
      </w:r>
      <w:proofErr w:type="spellStart"/>
      <w:r w:rsidRPr="001C37EB">
        <w:rPr>
          <w:rFonts w:ascii="Times New Roman" w:hAnsi="Times New Roman" w:cs="Times New Roman"/>
          <w:i/>
          <w:color w:val="000000"/>
          <w:sz w:val="24"/>
          <w:szCs w:val="24"/>
          <w:u w:val="single"/>
        </w:rPr>
        <w:t>Parimisetti</w:t>
      </w:r>
      <w:proofErr w:type="spellEnd"/>
      <w:r w:rsidRPr="001C37EB">
        <w:rPr>
          <w:rFonts w:ascii="Times New Roman" w:hAnsi="Times New Roman" w:cs="Times New Roman"/>
          <w:i/>
          <w:color w:val="000000"/>
          <w:sz w:val="24"/>
          <w:szCs w:val="24"/>
          <w:u w:val="single"/>
        </w:rPr>
        <w:t xml:space="preserve"> </w:t>
      </w:r>
      <w:proofErr w:type="spellStart"/>
      <w:r w:rsidRPr="001C37EB">
        <w:rPr>
          <w:rFonts w:ascii="Times New Roman" w:hAnsi="Times New Roman" w:cs="Times New Roman"/>
          <w:i/>
          <w:color w:val="000000"/>
          <w:sz w:val="24"/>
          <w:szCs w:val="24"/>
          <w:u w:val="single"/>
        </w:rPr>
        <w:t>Seetharamamma</w:t>
      </w:r>
      <w:proofErr w:type="spellEnd"/>
      <w:r w:rsidRPr="001C37EB">
        <w:rPr>
          <w:rFonts w:ascii="Times New Roman" w:hAnsi="Times New Roman" w:cs="Times New Roman"/>
          <w:i/>
          <w:color w:val="000000"/>
          <w:sz w:val="24"/>
          <w:szCs w:val="24"/>
          <w:u w:val="single"/>
        </w:rPr>
        <w:t xml:space="preserve"> v. CIT</w:t>
      </w:r>
      <w:r w:rsidRPr="001C37EB">
        <w:rPr>
          <w:rFonts w:ascii="Times New Roman" w:hAnsi="Times New Roman" w:cs="Times New Roman"/>
          <w:color w:val="000000"/>
          <w:sz w:val="24"/>
          <w:szCs w:val="24"/>
          <w:u w:val="single"/>
        </w:rPr>
        <w:t>,</w:t>
      </w:r>
      <w:r w:rsidR="001929F7" w:rsidRPr="001C37EB">
        <w:rPr>
          <w:rFonts w:ascii="Times New Roman" w:hAnsi="Times New Roman" w:cs="Times New Roman"/>
          <w:color w:val="000000"/>
          <w:sz w:val="24"/>
          <w:szCs w:val="24"/>
          <w:u w:val="single"/>
        </w:rPr>
        <w:t xml:space="preserve"> </w:t>
      </w:r>
      <w:r w:rsidR="001929F7" w:rsidRPr="001C37EB">
        <w:rPr>
          <w:rFonts w:ascii="Times New Roman" w:hAnsi="Times New Roman" w:cs="Times New Roman"/>
          <w:i/>
          <w:color w:val="000000"/>
          <w:sz w:val="24"/>
          <w:szCs w:val="24"/>
          <w:u w:val="single"/>
        </w:rPr>
        <w:t>(1965) 57 ITR 532 (SC</w:t>
      </w:r>
      <w:r w:rsidR="001929F7" w:rsidRPr="001C37EB">
        <w:rPr>
          <w:rFonts w:ascii="Times New Roman" w:hAnsi="Times New Roman" w:cs="Times New Roman"/>
          <w:i/>
          <w:color w:val="000000"/>
          <w:sz w:val="24"/>
          <w:szCs w:val="24"/>
        </w:rPr>
        <w:t>),</w:t>
      </w:r>
      <w:r w:rsidRPr="001C37EB">
        <w:rPr>
          <w:rFonts w:ascii="Times New Roman" w:hAnsi="Times New Roman" w:cs="Times New Roman"/>
          <w:color w:val="000000"/>
          <w:sz w:val="24"/>
          <w:szCs w:val="24"/>
        </w:rPr>
        <w:t xml:space="preserve"> the assessee claimed to have received certain jewellery and certain sums from princess by way of gift out of natural love and affection and the claim was accepted in the original assessment. Subsequently, proceedings were commenced under old section 34 of Income Tax Act, 1922. In the </w:t>
      </w:r>
      <w:r w:rsidRPr="001C37EB">
        <w:rPr>
          <w:rFonts w:ascii="Times New Roman" w:hAnsi="Times New Roman" w:cs="Times New Roman"/>
          <w:b/>
          <w:color w:val="000000"/>
          <w:sz w:val="24"/>
          <w:szCs w:val="24"/>
        </w:rPr>
        <w:t>absence of material on record to justify disbelief of the assessee’s explanation</w:t>
      </w:r>
      <w:r w:rsidRPr="001C37EB">
        <w:rPr>
          <w:rFonts w:ascii="Times New Roman" w:hAnsi="Times New Roman" w:cs="Times New Roman"/>
          <w:color w:val="000000"/>
          <w:sz w:val="24"/>
          <w:szCs w:val="24"/>
        </w:rPr>
        <w:t xml:space="preserve"> of gift and to show that the payment was for services, the Supreme Court held that these </w:t>
      </w:r>
      <w:r w:rsidRPr="001C37EB">
        <w:rPr>
          <w:rFonts w:ascii="Times New Roman" w:hAnsi="Times New Roman" w:cs="Times New Roman"/>
          <w:b/>
          <w:color w:val="000000"/>
          <w:sz w:val="24"/>
          <w:szCs w:val="24"/>
        </w:rPr>
        <w:t>receipts could not be subjected to tax as income escaping assessment.</w:t>
      </w:r>
    </w:p>
    <w:p w:rsidR="003D1580" w:rsidRPr="001C37EB" w:rsidRDefault="003D1580"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color w:val="000000"/>
          <w:sz w:val="24"/>
          <w:szCs w:val="24"/>
        </w:rPr>
        <w:t xml:space="preserve">Held in </w:t>
      </w:r>
      <w:r w:rsidRPr="001C37EB">
        <w:rPr>
          <w:rFonts w:ascii="Times New Roman" w:hAnsi="Times New Roman" w:cs="Times New Roman"/>
          <w:i/>
          <w:color w:val="000000"/>
          <w:sz w:val="24"/>
          <w:szCs w:val="24"/>
          <w:u w:val="single"/>
        </w:rPr>
        <w:t xml:space="preserve">CIT v. Rajendra Kumar </w:t>
      </w:r>
      <w:proofErr w:type="spellStart"/>
      <w:r w:rsidRPr="001C37EB">
        <w:rPr>
          <w:rFonts w:ascii="Times New Roman" w:hAnsi="Times New Roman" w:cs="Times New Roman"/>
          <w:i/>
          <w:color w:val="000000"/>
          <w:sz w:val="24"/>
          <w:szCs w:val="24"/>
          <w:u w:val="single"/>
        </w:rPr>
        <w:t>Karanwal</w:t>
      </w:r>
      <w:proofErr w:type="spellEnd"/>
      <w:r w:rsidRPr="001C37EB">
        <w:rPr>
          <w:rFonts w:ascii="Times New Roman" w:hAnsi="Times New Roman" w:cs="Times New Roman"/>
          <w:color w:val="000000"/>
          <w:sz w:val="24"/>
          <w:szCs w:val="24"/>
          <w:u w:val="single"/>
        </w:rPr>
        <w:t>,</w:t>
      </w:r>
      <w:r w:rsidR="000F0E5E" w:rsidRPr="001C37EB">
        <w:rPr>
          <w:rFonts w:ascii="Times New Roman" w:hAnsi="Times New Roman" w:cs="Times New Roman"/>
          <w:color w:val="000000"/>
          <w:sz w:val="24"/>
          <w:szCs w:val="24"/>
          <w:u w:val="single"/>
        </w:rPr>
        <w:t xml:space="preserve"> </w:t>
      </w:r>
      <w:r w:rsidR="000F0E5E" w:rsidRPr="001C37EB">
        <w:rPr>
          <w:rFonts w:ascii="Times New Roman" w:hAnsi="Times New Roman" w:cs="Times New Roman"/>
          <w:i/>
          <w:color w:val="000000"/>
          <w:sz w:val="24"/>
          <w:szCs w:val="24"/>
          <w:u w:val="single"/>
        </w:rPr>
        <w:t>1991) 187 ITR 218 All</w:t>
      </w:r>
      <w:r w:rsidR="000F0E5E" w:rsidRPr="001C37EB">
        <w:rPr>
          <w:rFonts w:ascii="Times New Roman" w:hAnsi="Times New Roman" w:cs="Times New Roman"/>
          <w:i/>
          <w:color w:val="000000"/>
          <w:sz w:val="24"/>
          <w:szCs w:val="24"/>
        </w:rPr>
        <w:t>,</w:t>
      </w:r>
      <w:r w:rsidRPr="001C37EB">
        <w:rPr>
          <w:rFonts w:ascii="Times New Roman" w:hAnsi="Times New Roman" w:cs="Times New Roman"/>
          <w:color w:val="000000"/>
          <w:sz w:val="24"/>
          <w:szCs w:val="24"/>
        </w:rPr>
        <w:t xml:space="preserve"> where the assessee was under </w:t>
      </w:r>
      <w:r w:rsidRPr="001C37EB">
        <w:rPr>
          <w:rFonts w:ascii="Times New Roman" w:hAnsi="Times New Roman" w:cs="Times New Roman"/>
          <w:b/>
          <w:color w:val="000000"/>
          <w:sz w:val="24"/>
          <w:szCs w:val="24"/>
        </w:rPr>
        <w:t>no obligation to disclose</w:t>
      </w:r>
      <w:r w:rsidRPr="001C37EB">
        <w:rPr>
          <w:rFonts w:ascii="Times New Roman" w:hAnsi="Times New Roman" w:cs="Times New Roman"/>
          <w:color w:val="000000"/>
          <w:sz w:val="24"/>
          <w:szCs w:val="24"/>
        </w:rPr>
        <w:t xml:space="preserve"> the factum of gifts to his minor sons by the third parties in his returns, the tribunal was held to be justified in holding that the reassessment proceedings were not validly initiated</w:t>
      </w:r>
      <w:r w:rsidR="005B07A0" w:rsidRPr="001C37EB">
        <w:rPr>
          <w:rFonts w:ascii="Times New Roman" w:hAnsi="Times New Roman" w:cs="Times New Roman"/>
          <w:color w:val="000000"/>
          <w:sz w:val="24"/>
          <w:szCs w:val="24"/>
        </w:rPr>
        <w:t>.</w:t>
      </w:r>
    </w:p>
    <w:p w:rsidR="003D1580" w:rsidRPr="001C37EB" w:rsidRDefault="003D1580" w:rsidP="001C37EB">
      <w:pPr>
        <w:pStyle w:val="ListParagraph"/>
        <w:numPr>
          <w:ilvl w:val="0"/>
          <w:numId w:val="2"/>
        </w:numPr>
        <w:tabs>
          <w:tab w:val="left" w:pos="0"/>
        </w:tabs>
        <w:spacing w:after="200" w:line="360" w:lineRule="auto"/>
        <w:ind w:left="0"/>
        <w:contextualSpacing w:val="0"/>
        <w:jc w:val="both"/>
        <w:rPr>
          <w:rFonts w:ascii="Times New Roman" w:hAnsi="Times New Roman" w:cs="Times New Roman"/>
          <w:color w:val="000000"/>
          <w:sz w:val="24"/>
          <w:szCs w:val="24"/>
        </w:rPr>
      </w:pPr>
      <w:r w:rsidRPr="001C37EB">
        <w:rPr>
          <w:rFonts w:ascii="Times New Roman" w:hAnsi="Times New Roman" w:cs="Times New Roman"/>
          <w:b/>
          <w:color w:val="000000"/>
          <w:sz w:val="24"/>
          <w:szCs w:val="24"/>
        </w:rPr>
        <w:t>Irrelevant information</w:t>
      </w:r>
      <w:r w:rsidRPr="001C37EB">
        <w:rPr>
          <w:rFonts w:ascii="Times New Roman" w:hAnsi="Times New Roman" w:cs="Times New Roman"/>
          <w:color w:val="000000"/>
          <w:sz w:val="24"/>
          <w:szCs w:val="24"/>
        </w:rPr>
        <w:t xml:space="preserve"> could not be the basis of reassessment notice – </w:t>
      </w:r>
      <w:r w:rsidRPr="001C37EB">
        <w:rPr>
          <w:rFonts w:ascii="Times New Roman" w:hAnsi="Times New Roman" w:cs="Times New Roman"/>
          <w:i/>
          <w:color w:val="000000"/>
          <w:sz w:val="24"/>
          <w:szCs w:val="24"/>
          <w:u w:val="single"/>
        </w:rPr>
        <w:t>Coca-Cola Export Corporation v. ITO</w:t>
      </w:r>
      <w:r w:rsidR="000F0E5E" w:rsidRPr="001C37EB">
        <w:rPr>
          <w:rFonts w:ascii="Times New Roman" w:hAnsi="Times New Roman" w:cs="Times New Roman"/>
          <w:i/>
          <w:color w:val="000000"/>
          <w:sz w:val="24"/>
          <w:szCs w:val="24"/>
          <w:u w:val="single"/>
        </w:rPr>
        <w:t>, (2000) 70 ITR 498 Delhi</w:t>
      </w:r>
      <w:r w:rsidRPr="001C37EB">
        <w:rPr>
          <w:rFonts w:ascii="Times New Roman" w:hAnsi="Times New Roman" w:cs="Times New Roman"/>
          <w:color w:val="000000"/>
          <w:sz w:val="24"/>
          <w:szCs w:val="24"/>
        </w:rPr>
        <w:t>.</w:t>
      </w:r>
    </w:p>
    <w:p w:rsidR="003D1580" w:rsidRPr="001C37EB" w:rsidRDefault="003D1580" w:rsidP="001C37EB">
      <w:pPr>
        <w:pStyle w:val="NormalWeb"/>
        <w:numPr>
          <w:ilvl w:val="0"/>
          <w:numId w:val="2"/>
        </w:numPr>
        <w:tabs>
          <w:tab w:val="left" w:pos="0"/>
        </w:tabs>
        <w:spacing w:before="0" w:beforeAutospacing="0" w:after="240" w:afterAutospacing="0" w:line="360" w:lineRule="auto"/>
        <w:ind w:left="0"/>
        <w:jc w:val="both"/>
      </w:pPr>
      <w:r w:rsidRPr="001C37EB">
        <w:rPr>
          <w:color w:val="000000"/>
        </w:rPr>
        <w:t xml:space="preserve">In </w:t>
      </w:r>
      <w:r w:rsidRPr="001C37EB">
        <w:rPr>
          <w:i/>
          <w:color w:val="000000"/>
          <w:u w:val="single"/>
        </w:rPr>
        <w:t xml:space="preserve">Ram </w:t>
      </w:r>
      <w:proofErr w:type="spellStart"/>
      <w:r w:rsidRPr="001C37EB">
        <w:rPr>
          <w:i/>
          <w:color w:val="000000"/>
          <w:u w:val="single"/>
        </w:rPr>
        <w:t>Bai</w:t>
      </w:r>
      <w:proofErr w:type="spellEnd"/>
      <w:r w:rsidRPr="001C37EB">
        <w:rPr>
          <w:i/>
          <w:color w:val="000000"/>
          <w:u w:val="single"/>
        </w:rPr>
        <w:t xml:space="preserve"> v. CIT</w:t>
      </w:r>
      <w:r w:rsidRPr="001C37EB">
        <w:rPr>
          <w:color w:val="000000"/>
          <w:u w:val="single"/>
        </w:rPr>
        <w:t>,</w:t>
      </w:r>
      <w:r w:rsidR="000F0E5E" w:rsidRPr="001C37EB">
        <w:rPr>
          <w:color w:val="000000"/>
          <w:u w:val="single"/>
        </w:rPr>
        <w:t xml:space="preserve"> </w:t>
      </w:r>
      <w:r w:rsidR="000F0E5E" w:rsidRPr="001C37EB">
        <w:rPr>
          <w:i/>
          <w:color w:val="000000"/>
          <w:u w:val="single"/>
        </w:rPr>
        <w:t>(1999) 236 ITR 696(SC),</w:t>
      </w:r>
      <w:r w:rsidRPr="001C37EB">
        <w:rPr>
          <w:color w:val="000000"/>
        </w:rPr>
        <w:t xml:space="preserve"> it was held that where </w:t>
      </w:r>
      <w:r w:rsidRPr="001C37EB">
        <w:rPr>
          <w:b/>
          <w:color w:val="000000"/>
        </w:rPr>
        <w:t>without any material</w:t>
      </w:r>
      <w:r w:rsidRPr="001C37EB">
        <w:rPr>
          <w:color w:val="000000"/>
        </w:rPr>
        <w:t xml:space="preserve"> with the officer for holding that the land is non agricultural, shown as agricultural, the reopening is not valid.</w:t>
      </w:r>
    </w:p>
    <w:p w:rsidR="001C6939" w:rsidRPr="001C37EB" w:rsidRDefault="001C6939" w:rsidP="001C37EB">
      <w:pPr>
        <w:pStyle w:val="ListParagraph"/>
        <w:tabs>
          <w:tab w:val="left" w:pos="0"/>
        </w:tabs>
        <w:spacing w:line="360" w:lineRule="auto"/>
        <w:ind w:hanging="360"/>
        <w:rPr>
          <w:sz w:val="24"/>
          <w:szCs w:val="24"/>
        </w:rPr>
      </w:pPr>
    </w:p>
    <w:p w:rsidR="00234D2C" w:rsidRPr="001C37EB" w:rsidRDefault="00D12EFC" w:rsidP="001C37EB">
      <w:pPr>
        <w:spacing w:line="360" w:lineRule="auto"/>
        <w:rPr>
          <w:rFonts w:cs="Times New Roman"/>
          <w:sz w:val="24"/>
          <w:szCs w:val="24"/>
        </w:rPr>
      </w:pPr>
      <w:r w:rsidRPr="001C37EB">
        <w:rPr>
          <w:sz w:val="24"/>
          <w:szCs w:val="24"/>
        </w:rPr>
        <w:br w:type="page"/>
      </w:r>
    </w:p>
    <w:sectPr w:rsidR="00234D2C" w:rsidRPr="001C37EB" w:rsidSect="00B53934">
      <w:pgSz w:w="11909" w:h="16834" w:code="9"/>
      <w:pgMar w:top="144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529FE"/>
    <w:multiLevelType w:val="hybridMultilevel"/>
    <w:tmpl w:val="FB7A35B4"/>
    <w:lvl w:ilvl="0" w:tplc="8B9EAE7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1B05CC"/>
    <w:multiLevelType w:val="hybridMultilevel"/>
    <w:tmpl w:val="9BA2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59F9"/>
    <w:rsid w:val="000069C9"/>
    <w:rsid w:val="00022DED"/>
    <w:rsid w:val="000266DF"/>
    <w:rsid w:val="000A6AAD"/>
    <w:rsid w:val="000E1D60"/>
    <w:rsid w:val="000F0E5E"/>
    <w:rsid w:val="001038EF"/>
    <w:rsid w:val="001929F7"/>
    <w:rsid w:val="001C37EB"/>
    <w:rsid w:val="001C6939"/>
    <w:rsid w:val="00200FBC"/>
    <w:rsid w:val="00234D2C"/>
    <w:rsid w:val="00304158"/>
    <w:rsid w:val="003A4028"/>
    <w:rsid w:val="003B7D16"/>
    <w:rsid w:val="003C7CAA"/>
    <w:rsid w:val="003D1580"/>
    <w:rsid w:val="004903D6"/>
    <w:rsid w:val="00495377"/>
    <w:rsid w:val="004B5B03"/>
    <w:rsid w:val="004F29A0"/>
    <w:rsid w:val="00556D1A"/>
    <w:rsid w:val="00574B8A"/>
    <w:rsid w:val="0058544D"/>
    <w:rsid w:val="005B07A0"/>
    <w:rsid w:val="005C563A"/>
    <w:rsid w:val="005D5B7D"/>
    <w:rsid w:val="00606370"/>
    <w:rsid w:val="0061396E"/>
    <w:rsid w:val="0065520D"/>
    <w:rsid w:val="0066013F"/>
    <w:rsid w:val="006A130C"/>
    <w:rsid w:val="007759F9"/>
    <w:rsid w:val="00816844"/>
    <w:rsid w:val="00953F9E"/>
    <w:rsid w:val="009A3B4F"/>
    <w:rsid w:val="009E1AE1"/>
    <w:rsid w:val="00A02C91"/>
    <w:rsid w:val="00A11186"/>
    <w:rsid w:val="00A65835"/>
    <w:rsid w:val="00B049B9"/>
    <w:rsid w:val="00B53934"/>
    <w:rsid w:val="00B97ADB"/>
    <w:rsid w:val="00BA7BDA"/>
    <w:rsid w:val="00BD4E11"/>
    <w:rsid w:val="00C640C5"/>
    <w:rsid w:val="00C65F63"/>
    <w:rsid w:val="00CD32BB"/>
    <w:rsid w:val="00D12EFC"/>
    <w:rsid w:val="00E835A8"/>
    <w:rsid w:val="00EC133D"/>
    <w:rsid w:val="00EE5BD2"/>
    <w:rsid w:val="00F90F11"/>
    <w:rsid w:val="00FD4904"/>
    <w:rsid w:val="00FF16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lef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8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158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ListParagraph">
    <w:name w:val="List Paragraph"/>
    <w:basedOn w:val="Normal"/>
    <w:uiPriority w:val="34"/>
    <w:qFormat/>
    <w:rsid w:val="003D15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3</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Lala</dc:creator>
  <cp:keywords/>
  <dc:description/>
  <cp:lastModifiedBy>Lala</cp:lastModifiedBy>
  <cp:revision>38</cp:revision>
  <cp:lastPrinted>2011-12-27T09:12:00Z</cp:lastPrinted>
  <dcterms:created xsi:type="dcterms:W3CDTF">2011-12-27T04:20:00Z</dcterms:created>
  <dcterms:modified xsi:type="dcterms:W3CDTF">2011-12-29T10:34:00Z</dcterms:modified>
</cp:coreProperties>
</file>