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1B8" w:rsidRPr="00F531B8" w:rsidRDefault="00F531B8" w:rsidP="00F531B8">
      <w:pPr>
        <w:autoSpaceDE w:val="0"/>
        <w:autoSpaceDN w:val="0"/>
        <w:adjustRightInd w:val="0"/>
        <w:spacing w:before="60" w:after="40" w:line="240" w:lineRule="auto"/>
        <w:jc w:val="center"/>
        <w:rPr>
          <w:rFonts w:ascii="Times New Roman" w:eastAsia="Times New Roman" w:hAnsi="Times New Roman" w:cs="Times New Roman"/>
          <w:sz w:val="24"/>
          <w:szCs w:val="24"/>
        </w:rPr>
      </w:pPr>
      <w:permStart w:id="0" w:edGrp="everyone"/>
      <w:permEnd w:id="0"/>
      <w:r w:rsidRPr="00F531B8">
        <w:rPr>
          <w:rFonts w:ascii="Times New Roman" w:eastAsia="Times New Roman" w:hAnsi="Times New Roman" w:cs="Times"/>
          <w:b/>
          <w:bCs/>
          <w:iCs/>
          <w:sz w:val="24"/>
          <w:szCs w:val="24"/>
        </w:rPr>
        <w:t>CHAPTER X</w:t>
      </w:r>
    </w:p>
    <w:p w:rsidR="00F531B8" w:rsidRPr="00F531B8" w:rsidRDefault="00F531B8" w:rsidP="00F531B8">
      <w:pPr>
        <w:autoSpaceDE w:val="0"/>
        <w:autoSpaceDN w:val="0"/>
        <w:adjustRightInd w:val="0"/>
        <w:spacing w:before="100" w:beforeAutospacing="1" w:after="60" w:line="240" w:lineRule="auto"/>
        <w:jc w:val="center"/>
        <w:rPr>
          <w:rFonts w:ascii="Times New Roman" w:eastAsia="Times New Roman" w:hAnsi="Times New Roman" w:cs="Times New Roman"/>
          <w:sz w:val="24"/>
          <w:szCs w:val="24"/>
        </w:rPr>
      </w:pPr>
      <w:r w:rsidRPr="00F531B8">
        <w:rPr>
          <w:rFonts w:ascii="Times New Roman" w:eastAsia="Times New Roman" w:hAnsi="Times New Roman" w:cs="Times"/>
          <w:b/>
          <w:bCs/>
          <w:sz w:val="24"/>
          <w:szCs w:val="24"/>
        </w:rPr>
        <w:t>SPECIAL PROVISIONS RELATING TO AVOIDANCE OF TAX</w:t>
      </w:r>
    </w:p>
    <w:p w:rsidR="00F531B8" w:rsidRPr="00F531B8" w:rsidRDefault="00F531B8" w:rsidP="00F531B8">
      <w:pPr>
        <w:tabs>
          <w:tab w:val="left" w:pos="240"/>
          <w:tab w:val="left" w:pos="360"/>
          <w:tab w:val="left" w:pos="480"/>
          <w:tab w:val="left" w:pos="600"/>
          <w:tab w:val="left" w:pos="720"/>
        </w:tabs>
        <w:autoSpaceDE w:val="0"/>
        <w:autoSpaceDN w:val="0"/>
        <w:adjustRightInd w:val="0"/>
        <w:spacing w:before="100" w:beforeAutospacing="1" w:after="6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 xml:space="preserve"> [</w:t>
      </w:r>
      <w:r w:rsidRPr="00F531B8">
        <w:rPr>
          <w:rFonts w:ascii="Times New Roman" w:eastAsia="Times New Roman" w:hAnsi="Times New Roman" w:cs="AsterV"/>
          <w:b/>
          <w:bCs/>
          <w:sz w:val="24"/>
          <w:szCs w:val="24"/>
        </w:rPr>
        <w:t>Computation of income from international transaction having regard to arm’s length price.</w:t>
      </w:r>
    </w:p>
    <w:p w:rsidR="00F531B8" w:rsidRPr="00F531B8" w:rsidRDefault="00F531B8" w:rsidP="00F531B8">
      <w:pPr>
        <w:tabs>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s>
        <w:autoSpaceDE w:val="0"/>
        <w:autoSpaceDN w:val="0"/>
        <w:adjustRightInd w:val="0"/>
        <w:spacing w:before="100" w:beforeAutospacing="1" w:after="6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b/>
          <w:bCs/>
          <w:sz w:val="24"/>
          <w:szCs w:val="24"/>
        </w:rPr>
        <w:t xml:space="preserve">92. </w:t>
      </w:r>
      <w:r w:rsidRPr="00F531B8">
        <w:rPr>
          <w:rFonts w:ascii="Times New Roman" w:eastAsia="Times New Roman" w:hAnsi="Times New Roman" w:cs="AsterV"/>
          <w:sz w:val="24"/>
          <w:szCs w:val="24"/>
        </w:rPr>
        <w:t>(1) Any income arising from an international transaction shall be computed having regard to the arm’s length price.</w:t>
      </w:r>
    </w:p>
    <w:p w:rsidR="00F531B8" w:rsidRPr="00F531B8" w:rsidRDefault="00F531B8" w:rsidP="00F531B8">
      <w:pPr>
        <w:autoSpaceDE w:val="0"/>
        <w:autoSpaceDN w:val="0"/>
        <w:adjustRightInd w:val="0"/>
        <w:spacing w:before="100" w:beforeAutospacing="1" w:after="6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iCs/>
          <w:sz w:val="24"/>
          <w:szCs w:val="24"/>
        </w:rPr>
        <w:t>Explanation.—</w:t>
      </w:r>
      <w:r w:rsidRPr="00F531B8">
        <w:rPr>
          <w:rFonts w:ascii="Times New Roman" w:eastAsia="Times New Roman" w:hAnsi="Times New Roman" w:cs="AsterV"/>
          <w:sz w:val="24"/>
          <w:szCs w:val="24"/>
        </w:rPr>
        <w:t>For the removal of doubts, it is hereby clarified that the allowance for any expense or interest arising from an international transaction shall also be determined having regard to the arm’s length price.</w:t>
      </w:r>
    </w:p>
    <w:p w:rsidR="00F531B8" w:rsidRPr="00F531B8" w:rsidRDefault="00F531B8" w:rsidP="00F531B8">
      <w:pPr>
        <w:autoSpaceDE w:val="0"/>
        <w:autoSpaceDN w:val="0"/>
        <w:adjustRightInd w:val="0"/>
        <w:spacing w:before="100" w:beforeAutospacing="1" w:after="4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(2) Where in an international transaction, two or more associated enterprises enter into a mutual agreement or arrangement for the allocation or apportionment of, or any contribution to, any cost or expense incurred or to be incurred in connection with a benefit, service or facility provided or to be provided to any one or more of such enterprises, the cost or expense allocated or apportioned to, or, as the case may be, contributed by, any such enterprise shall be determined having regard to the arm’s length price of such benefit, service or facility, as the case may be.</w:t>
      </w:r>
    </w:p>
    <w:p w:rsidR="00F531B8" w:rsidRPr="00F531B8" w:rsidRDefault="00F531B8" w:rsidP="00F531B8">
      <w:pPr>
        <w:autoSpaceDE w:val="0"/>
        <w:autoSpaceDN w:val="0"/>
        <w:adjustRightInd w:val="0"/>
        <w:spacing w:before="100" w:beforeAutospacing="1" w:after="4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(3) The provisions of this section shall not apply in a case where the computation of income under sub-section (1) or the determination of the allowance for any expense or interest under that sub-section, or the determination of any cost or expense allocated or apportioned, or, as the case may be, contributed under sub-section (2), has the effect of reducing the income chargeable to tax or increasing the loss, as the case may be, computed on the basis of entries made in the books of account in respect of the previous year in which the international transaction was entered into.]</w:t>
      </w:r>
    </w:p>
    <w:p w:rsidR="00F531B8" w:rsidRPr="00F531B8" w:rsidRDefault="00F531B8" w:rsidP="00F531B8">
      <w:pPr>
        <w:tabs>
          <w:tab w:val="right" w:pos="360"/>
          <w:tab w:val="left" w:pos="480"/>
        </w:tabs>
        <w:autoSpaceDE w:val="0"/>
        <w:autoSpaceDN w:val="0"/>
        <w:adjustRightInd w:val="0"/>
        <w:spacing w:before="100" w:beforeAutospacing="1" w:after="4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b/>
          <w:bCs/>
          <w:sz w:val="24"/>
          <w:szCs w:val="24"/>
        </w:rPr>
        <w:t>Meaning of associated enterprise</w:t>
      </w:r>
      <w:r w:rsidRPr="00F531B8">
        <w:rPr>
          <w:rFonts w:ascii="Times New Roman" w:eastAsia="Times New Roman" w:hAnsi="Times New Roman" w:cs="AsterV"/>
          <w:iCs/>
          <w:sz w:val="24"/>
          <w:szCs w:val="24"/>
        </w:rPr>
        <w:t>.</w:t>
      </w:r>
    </w:p>
    <w:p w:rsidR="00F531B8" w:rsidRPr="00F531B8" w:rsidRDefault="00F531B8" w:rsidP="00F531B8">
      <w:pPr>
        <w:tabs>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 w:val="left" w:pos="4920"/>
          <w:tab w:val="left" w:pos="5040"/>
          <w:tab w:val="left" w:pos="5160"/>
        </w:tabs>
        <w:autoSpaceDE w:val="0"/>
        <w:autoSpaceDN w:val="0"/>
        <w:adjustRightInd w:val="0"/>
        <w:spacing w:before="100" w:beforeAutospacing="1" w:after="4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b/>
          <w:bCs/>
          <w:sz w:val="24"/>
          <w:szCs w:val="24"/>
        </w:rPr>
        <w:t xml:space="preserve">92A. </w:t>
      </w:r>
      <w:r w:rsidRPr="00F531B8">
        <w:rPr>
          <w:rFonts w:ascii="Times New Roman" w:eastAsia="Times New Roman" w:hAnsi="Times New Roman" w:cs="AsterV"/>
          <w:sz w:val="24"/>
          <w:szCs w:val="24"/>
        </w:rPr>
        <w:t xml:space="preserve">(1) For the purposes of this section and </w:t>
      </w:r>
      <w:hyperlink r:id="rId7" w:tgtFrame="top" w:history="1">
        <w:r w:rsidRPr="00F531B8">
          <w:rPr>
            <w:rFonts w:ascii="Times New Roman" w:eastAsia="Times New Roman" w:hAnsi="Times New Roman" w:cs="AsterV"/>
            <w:color w:val="0000FF"/>
            <w:sz w:val="24"/>
            <w:szCs w:val="24"/>
            <w:u w:val="single"/>
          </w:rPr>
          <w:t>sections 92</w:t>
        </w:r>
      </w:hyperlink>
      <w:r w:rsidRPr="00F531B8">
        <w:rPr>
          <w:rFonts w:ascii="Times New Roman" w:eastAsia="Times New Roman" w:hAnsi="Times New Roman" w:cs="AsterV"/>
          <w:sz w:val="24"/>
          <w:szCs w:val="24"/>
        </w:rPr>
        <w:t xml:space="preserve">, </w:t>
      </w:r>
      <w:hyperlink r:id="rId8" w:tgtFrame="top" w:history="1">
        <w:r w:rsidRPr="00F531B8">
          <w:rPr>
            <w:rFonts w:ascii="Times New Roman" w:eastAsia="Times New Roman" w:hAnsi="Times New Roman" w:cs="AsterV"/>
            <w:color w:val="0000FF"/>
            <w:sz w:val="24"/>
            <w:szCs w:val="24"/>
            <w:u w:val="single"/>
          </w:rPr>
          <w:t>92B</w:t>
        </w:r>
      </w:hyperlink>
      <w:r w:rsidRPr="00F531B8">
        <w:rPr>
          <w:rFonts w:ascii="Times New Roman" w:eastAsia="Times New Roman" w:hAnsi="Times New Roman" w:cs="AsterV"/>
          <w:sz w:val="24"/>
          <w:szCs w:val="24"/>
        </w:rPr>
        <w:t xml:space="preserve">, </w:t>
      </w:r>
      <w:hyperlink r:id="rId9" w:tgtFrame="top" w:history="1">
        <w:r w:rsidRPr="00F531B8">
          <w:rPr>
            <w:rFonts w:ascii="Times New Roman" w:eastAsia="Times New Roman" w:hAnsi="Times New Roman" w:cs="AsterV"/>
            <w:color w:val="0000FF"/>
            <w:sz w:val="24"/>
            <w:szCs w:val="24"/>
            <w:u w:val="single"/>
          </w:rPr>
          <w:t>92C</w:t>
        </w:r>
      </w:hyperlink>
      <w:r w:rsidRPr="00F531B8">
        <w:rPr>
          <w:rFonts w:ascii="Times New Roman" w:eastAsia="Times New Roman" w:hAnsi="Times New Roman" w:cs="AsterV"/>
          <w:sz w:val="24"/>
          <w:szCs w:val="24"/>
        </w:rPr>
        <w:t xml:space="preserve">, </w:t>
      </w:r>
      <w:hyperlink r:id="rId10" w:tgtFrame="top" w:history="1">
        <w:r w:rsidRPr="00F531B8">
          <w:rPr>
            <w:rFonts w:ascii="Times New Roman" w:eastAsia="Times New Roman" w:hAnsi="Times New Roman" w:cs="AsterV"/>
            <w:color w:val="0000FF"/>
            <w:sz w:val="24"/>
            <w:szCs w:val="24"/>
            <w:u w:val="single"/>
          </w:rPr>
          <w:t>92D</w:t>
        </w:r>
      </w:hyperlink>
      <w:r w:rsidRPr="00F531B8">
        <w:rPr>
          <w:rFonts w:ascii="Times New Roman" w:eastAsia="Times New Roman" w:hAnsi="Times New Roman" w:cs="AsterV"/>
          <w:sz w:val="24"/>
          <w:szCs w:val="24"/>
        </w:rPr>
        <w:t xml:space="preserve">, </w:t>
      </w:r>
      <w:hyperlink r:id="rId11" w:tgtFrame="top" w:history="1">
        <w:r w:rsidRPr="00F531B8">
          <w:rPr>
            <w:rFonts w:ascii="Times New Roman" w:eastAsia="Times New Roman" w:hAnsi="Times New Roman" w:cs="AsterV"/>
            <w:color w:val="0000FF"/>
            <w:sz w:val="24"/>
            <w:szCs w:val="24"/>
            <w:u w:val="single"/>
          </w:rPr>
          <w:t>92E</w:t>
        </w:r>
      </w:hyperlink>
      <w:r w:rsidRPr="00F531B8">
        <w:rPr>
          <w:rFonts w:ascii="Times New Roman" w:eastAsia="Times New Roman" w:hAnsi="Times New Roman" w:cs="AsterV"/>
          <w:sz w:val="24"/>
          <w:szCs w:val="24"/>
        </w:rPr>
        <w:t xml:space="preserve"> and </w:t>
      </w:r>
      <w:hyperlink r:id="rId12" w:tgtFrame="top" w:history="1">
        <w:r w:rsidRPr="00F531B8">
          <w:rPr>
            <w:rFonts w:ascii="Times New Roman" w:eastAsia="Times New Roman" w:hAnsi="Times New Roman" w:cs="AsterV"/>
            <w:color w:val="0000FF"/>
            <w:sz w:val="24"/>
            <w:szCs w:val="24"/>
            <w:u w:val="single"/>
          </w:rPr>
          <w:t>92F</w:t>
        </w:r>
      </w:hyperlink>
      <w:r w:rsidRPr="00F531B8">
        <w:rPr>
          <w:rFonts w:ascii="Times New Roman" w:eastAsia="Times New Roman" w:hAnsi="Times New Roman" w:cs="AsterV"/>
          <w:sz w:val="24"/>
          <w:szCs w:val="24"/>
        </w:rPr>
        <w:t>, “associated enterprise”, in relation to another enterprise, means an enterprise—</w:t>
      </w:r>
    </w:p>
    <w:p w:rsidR="00F531B8" w:rsidRPr="00F531B8" w:rsidRDefault="00F531B8" w:rsidP="00F531B8">
      <w:pPr>
        <w:tabs>
          <w:tab w:val="right" w:pos="840"/>
          <w:tab w:val="left" w:pos="960"/>
        </w:tabs>
        <w:autoSpaceDE w:val="0"/>
        <w:autoSpaceDN w:val="0"/>
        <w:adjustRightInd w:val="0"/>
        <w:spacing w:after="4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a</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which participates, directly or indirectly, or through one or more intermediaries, in the management or control or capital of the other enterprise; or</w:t>
      </w:r>
    </w:p>
    <w:p w:rsidR="00F531B8" w:rsidRPr="00F531B8" w:rsidRDefault="00F531B8" w:rsidP="00F531B8">
      <w:pPr>
        <w:tabs>
          <w:tab w:val="right" w:pos="840"/>
          <w:tab w:val="left" w:pos="960"/>
        </w:tabs>
        <w:autoSpaceDE w:val="0"/>
        <w:autoSpaceDN w:val="0"/>
        <w:adjustRightInd w:val="0"/>
        <w:spacing w:after="4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b</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in respect of which one or more persons who participate, directly or indirectly, or through one or more intermediaries, in its management or control or capital, are the same persons who participate, directly or indirectly, or through one or more intermediaries, in the management or control or capital of the other enterprise.</w:t>
      </w:r>
    </w:p>
    <w:p w:rsidR="00F531B8" w:rsidRPr="00F531B8" w:rsidRDefault="00F531B8" w:rsidP="00F531B8">
      <w:pPr>
        <w:tabs>
          <w:tab w:val="right" w:pos="360"/>
          <w:tab w:val="left" w:pos="480"/>
        </w:tabs>
        <w:autoSpaceDE w:val="0"/>
        <w:autoSpaceDN w:val="0"/>
        <w:adjustRightInd w:val="0"/>
        <w:spacing w:before="100" w:beforeAutospacing="1" w:after="4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 xml:space="preserve">(2) </w:t>
      </w:r>
      <w:hyperlink r:id="rId13" w:tgtFrame="middle" w:history="1">
        <w:r w:rsidRPr="00F531B8">
          <w:rPr>
            <w:rFonts w:ascii="Times New Roman" w:eastAsia="Times New Roman" w:hAnsi="Times New Roman" w:cs="AsterV"/>
            <w:color w:val="0000FF"/>
            <w:sz w:val="24"/>
            <w:szCs w:val="24"/>
            <w:u w:val="single"/>
            <w:vertAlign w:val="superscript"/>
          </w:rPr>
          <w:t>83</w:t>
        </w:r>
      </w:hyperlink>
      <w:r w:rsidRPr="00F531B8">
        <w:rPr>
          <w:rFonts w:ascii="Times New Roman" w:eastAsia="Times New Roman" w:hAnsi="Times New Roman" w:cs="AsterV"/>
          <w:sz w:val="24"/>
          <w:szCs w:val="24"/>
        </w:rPr>
        <w:t>[For the purposes of sub-section (1), two enterprises shall be deemed to be associated enterprises if, at any time during the previous year,—]</w:t>
      </w:r>
    </w:p>
    <w:p w:rsidR="00F531B8" w:rsidRPr="00F531B8" w:rsidRDefault="00F531B8" w:rsidP="00F531B8">
      <w:pPr>
        <w:tabs>
          <w:tab w:val="right" w:pos="840"/>
          <w:tab w:val="left" w:pos="960"/>
        </w:tabs>
        <w:autoSpaceDE w:val="0"/>
        <w:autoSpaceDN w:val="0"/>
        <w:adjustRightInd w:val="0"/>
        <w:spacing w:after="4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a</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one enterprise holds, directly or indirectly, shares carrying not less than twenty-six per cent of the voting power in the other enterprise; or</w:t>
      </w:r>
    </w:p>
    <w:p w:rsidR="00F531B8" w:rsidRPr="00F531B8" w:rsidRDefault="00F531B8" w:rsidP="00F531B8">
      <w:pPr>
        <w:tabs>
          <w:tab w:val="right" w:pos="840"/>
          <w:tab w:val="left" w:pos="960"/>
        </w:tabs>
        <w:autoSpaceDE w:val="0"/>
        <w:autoSpaceDN w:val="0"/>
        <w:adjustRightInd w:val="0"/>
        <w:spacing w:after="4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b</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any person or enterprise holds, directly or indirectly, shares carrying not less than twenty-six per cent of the voting power in each of such enterprises; or</w:t>
      </w:r>
    </w:p>
    <w:p w:rsidR="00F531B8" w:rsidRPr="00F531B8" w:rsidRDefault="00F531B8" w:rsidP="00F531B8">
      <w:pPr>
        <w:tabs>
          <w:tab w:val="right" w:pos="840"/>
          <w:tab w:val="left" w:pos="960"/>
        </w:tabs>
        <w:autoSpaceDE w:val="0"/>
        <w:autoSpaceDN w:val="0"/>
        <w:adjustRightInd w:val="0"/>
        <w:spacing w:after="4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lastRenderedPageBreak/>
        <w:tab/>
        <w:t>(</w:t>
      </w:r>
      <w:r w:rsidRPr="00F531B8">
        <w:rPr>
          <w:rFonts w:ascii="Times New Roman" w:eastAsia="Times New Roman" w:hAnsi="Times New Roman" w:cs="AsterV"/>
          <w:iCs/>
          <w:sz w:val="24"/>
          <w:szCs w:val="24"/>
        </w:rPr>
        <w:t>c</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a loan advanced by one enterprise to the other enterprise constitutes not less than fifty-one per cent of the book value of the total assets of the other enterprise; or</w:t>
      </w:r>
    </w:p>
    <w:p w:rsidR="00F531B8" w:rsidRPr="00F531B8" w:rsidRDefault="00F531B8" w:rsidP="00F531B8">
      <w:pPr>
        <w:tabs>
          <w:tab w:val="right" w:pos="840"/>
          <w:tab w:val="left" w:pos="960"/>
        </w:tabs>
        <w:autoSpaceDE w:val="0"/>
        <w:autoSpaceDN w:val="0"/>
        <w:adjustRightInd w:val="0"/>
        <w:spacing w:after="4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d</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one enterprise guarantees not less than ten per cent of the total borrowings of the other enterprise; or</w:t>
      </w:r>
    </w:p>
    <w:p w:rsidR="00F531B8" w:rsidRPr="00F531B8" w:rsidRDefault="00F531B8" w:rsidP="00F531B8">
      <w:pPr>
        <w:tabs>
          <w:tab w:val="right" w:pos="840"/>
          <w:tab w:val="left" w:pos="960"/>
        </w:tabs>
        <w:autoSpaceDE w:val="0"/>
        <w:autoSpaceDN w:val="0"/>
        <w:adjustRightInd w:val="0"/>
        <w:spacing w:after="4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e</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more than half of the board of directors or members of the governing board, or one or more executive directors or executive members of the governing board of one enterprise, are appointed by the other enterprise; or</w:t>
      </w:r>
    </w:p>
    <w:p w:rsidR="00F531B8" w:rsidRPr="00F531B8" w:rsidRDefault="00F531B8" w:rsidP="00F531B8">
      <w:pPr>
        <w:tabs>
          <w:tab w:val="right" w:pos="840"/>
          <w:tab w:val="left" w:pos="960"/>
        </w:tabs>
        <w:autoSpaceDE w:val="0"/>
        <w:autoSpaceDN w:val="0"/>
        <w:adjustRightInd w:val="0"/>
        <w:spacing w:after="4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f</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more than half of the directors or members of the governing board, or one or more of the executive directors or members of the governing board, of each of the two enterprises are appointed by the same person or persons; or</w:t>
      </w:r>
    </w:p>
    <w:p w:rsidR="00F531B8" w:rsidRPr="00F531B8" w:rsidRDefault="00F531B8" w:rsidP="00F531B8">
      <w:pPr>
        <w:tabs>
          <w:tab w:val="right" w:pos="840"/>
          <w:tab w:val="left" w:pos="960"/>
        </w:tabs>
        <w:autoSpaceDE w:val="0"/>
        <w:autoSpaceDN w:val="0"/>
        <w:adjustRightInd w:val="0"/>
        <w:spacing w:after="4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g</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the manufacture or processing of goods or articles or business carried out by one enterprise is wholly dependent on the use of know-how, patents, copyrights, trade-marks, licences, franchises or any other business or commercial rights of similar nature, or any data, documentation, drawing or specification relating to any patent, invention, model, design, secret formula or process, of which the other enterprise is the owner or in respect of which the other enterprise has exclusive rights; or</w:t>
      </w:r>
    </w:p>
    <w:p w:rsidR="00F531B8" w:rsidRPr="00F531B8" w:rsidRDefault="00F531B8" w:rsidP="00F531B8">
      <w:pPr>
        <w:tabs>
          <w:tab w:val="right" w:pos="840"/>
          <w:tab w:val="left" w:pos="960"/>
        </w:tabs>
        <w:autoSpaceDE w:val="0"/>
        <w:autoSpaceDN w:val="0"/>
        <w:adjustRightInd w:val="0"/>
        <w:spacing w:after="4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h</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ninety per cent or more of the raw materials and consumables required for the manufacture or processing of goods or articles carried out by one enterprise, are supplied by the other enterprise, or by persons specified by the other enterprise, and the prices and other conditions relating to the supply are influenced by such other enterprise; or</w:t>
      </w:r>
    </w:p>
    <w:p w:rsidR="00F531B8" w:rsidRPr="00F531B8" w:rsidRDefault="00F531B8" w:rsidP="00F531B8">
      <w:pPr>
        <w:tabs>
          <w:tab w:val="right" w:pos="840"/>
          <w:tab w:val="left" w:pos="960"/>
        </w:tabs>
        <w:autoSpaceDE w:val="0"/>
        <w:autoSpaceDN w:val="0"/>
        <w:adjustRightInd w:val="0"/>
        <w:spacing w:after="4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i</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the goods or articles manufactured or processed by one enterprise, are sold to the other enterprise or to persons specified by the other enterprise, and the prices and other conditions relating thereto are influenced by such other enterprise; or</w:t>
      </w:r>
    </w:p>
    <w:p w:rsidR="00F531B8" w:rsidRPr="00F531B8" w:rsidRDefault="00F531B8" w:rsidP="00F531B8">
      <w:pPr>
        <w:tabs>
          <w:tab w:val="right" w:pos="840"/>
          <w:tab w:val="left" w:pos="960"/>
        </w:tabs>
        <w:autoSpaceDE w:val="0"/>
        <w:autoSpaceDN w:val="0"/>
        <w:adjustRightInd w:val="0"/>
        <w:spacing w:after="4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j</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 xml:space="preserve">where one enterprise is controlled by an individual, the other enterprise is also controlled by such individual or his relative or jointly by such individual and relative of such individual; or </w:t>
      </w:r>
    </w:p>
    <w:p w:rsidR="00F531B8" w:rsidRPr="00F531B8" w:rsidRDefault="00F531B8" w:rsidP="00F531B8">
      <w:pPr>
        <w:tabs>
          <w:tab w:val="right" w:pos="840"/>
          <w:tab w:val="left" w:pos="960"/>
        </w:tabs>
        <w:autoSpaceDE w:val="0"/>
        <w:autoSpaceDN w:val="0"/>
        <w:adjustRightInd w:val="0"/>
        <w:spacing w:after="4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k</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where one enterprise is controlled by a Hindu undivided family, the other enterprise is controlled by a member of such Hindu undivided family or by a relative of a member of such Hindu undivided family or jointly by such member and his relative; or</w:t>
      </w:r>
    </w:p>
    <w:p w:rsidR="00F531B8" w:rsidRPr="00F531B8" w:rsidRDefault="00F531B8" w:rsidP="00F531B8">
      <w:pPr>
        <w:tabs>
          <w:tab w:val="right" w:pos="840"/>
          <w:tab w:val="left" w:pos="960"/>
        </w:tabs>
        <w:autoSpaceDE w:val="0"/>
        <w:autoSpaceDN w:val="0"/>
        <w:adjustRightInd w:val="0"/>
        <w:spacing w:after="4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l</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where one enterprise is a firm, association of persons or body of individuals, the other enterprise holds not less than ten per cent interest in such firm, association of persons or body of individuals; or</w:t>
      </w:r>
    </w:p>
    <w:p w:rsidR="00F531B8" w:rsidRPr="00F531B8" w:rsidRDefault="00F531B8" w:rsidP="00F531B8">
      <w:pPr>
        <w:tabs>
          <w:tab w:val="right" w:pos="840"/>
          <w:tab w:val="left" w:pos="960"/>
        </w:tabs>
        <w:autoSpaceDE w:val="0"/>
        <w:autoSpaceDN w:val="0"/>
        <w:adjustRightInd w:val="0"/>
        <w:spacing w:after="4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m</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there exists between the two enterprises, any relationship of mutual interest, as may be prescribed.</w:t>
      </w:r>
    </w:p>
    <w:p w:rsidR="00F531B8" w:rsidRPr="00F531B8" w:rsidRDefault="00F531B8" w:rsidP="00F531B8">
      <w:pPr>
        <w:tabs>
          <w:tab w:val="right" w:pos="360"/>
          <w:tab w:val="left" w:pos="480"/>
        </w:tabs>
        <w:autoSpaceDE w:val="0"/>
        <w:autoSpaceDN w:val="0"/>
        <w:adjustRightInd w:val="0"/>
        <w:spacing w:before="100" w:beforeAutospacing="1" w:after="6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b/>
          <w:bCs/>
          <w:sz w:val="24"/>
          <w:szCs w:val="24"/>
        </w:rPr>
        <w:t>Meaning of international transaction</w:t>
      </w:r>
      <w:r w:rsidRPr="00F531B8">
        <w:rPr>
          <w:rFonts w:ascii="Times New Roman" w:eastAsia="Times New Roman" w:hAnsi="Times New Roman" w:cs="AsterV"/>
          <w:iCs/>
          <w:sz w:val="24"/>
          <w:szCs w:val="24"/>
        </w:rPr>
        <w:t>.</w:t>
      </w:r>
    </w:p>
    <w:p w:rsidR="00F531B8" w:rsidRPr="00F531B8" w:rsidRDefault="00F531B8" w:rsidP="00F531B8">
      <w:pPr>
        <w:tabs>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 w:val="left" w:pos="4920"/>
          <w:tab w:val="left" w:pos="5040"/>
          <w:tab w:val="left" w:pos="5160"/>
        </w:tabs>
        <w:autoSpaceDE w:val="0"/>
        <w:autoSpaceDN w:val="0"/>
        <w:adjustRightInd w:val="0"/>
        <w:spacing w:before="100" w:beforeAutospacing="1" w:after="6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b/>
          <w:bCs/>
          <w:sz w:val="24"/>
          <w:szCs w:val="24"/>
        </w:rPr>
        <w:t xml:space="preserve">92B. </w:t>
      </w:r>
      <w:r w:rsidRPr="00F531B8">
        <w:rPr>
          <w:rFonts w:ascii="Times New Roman" w:eastAsia="Times New Roman" w:hAnsi="Times New Roman" w:cs="AsterV"/>
          <w:sz w:val="24"/>
          <w:szCs w:val="24"/>
        </w:rPr>
        <w:t xml:space="preserve">(1) For the purposes of this section and </w:t>
      </w:r>
      <w:hyperlink r:id="rId14" w:tgtFrame="top" w:history="1">
        <w:r w:rsidRPr="00F531B8">
          <w:rPr>
            <w:rFonts w:ascii="Times New Roman" w:eastAsia="Times New Roman" w:hAnsi="Times New Roman" w:cs="AsterV"/>
            <w:color w:val="0000FF"/>
            <w:sz w:val="24"/>
            <w:szCs w:val="24"/>
            <w:u w:val="single"/>
          </w:rPr>
          <w:t>sections 92</w:t>
        </w:r>
      </w:hyperlink>
      <w:r w:rsidRPr="00F531B8">
        <w:rPr>
          <w:rFonts w:ascii="Times New Roman" w:eastAsia="Times New Roman" w:hAnsi="Times New Roman" w:cs="AsterV"/>
          <w:sz w:val="24"/>
          <w:szCs w:val="24"/>
        </w:rPr>
        <w:t xml:space="preserve">, </w:t>
      </w:r>
      <w:hyperlink r:id="rId15" w:tgtFrame="top" w:history="1">
        <w:r w:rsidRPr="00F531B8">
          <w:rPr>
            <w:rFonts w:ascii="Times New Roman" w:eastAsia="Times New Roman" w:hAnsi="Times New Roman" w:cs="AsterV"/>
            <w:color w:val="0000FF"/>
            <w:sz w:val="24"/>
            <w:szCs w:val="24"/>
            <w:u w:val="single"/>
          </w:rPr>
          <w:t>92C</w:t>
        </w:r>
      </w:hyperlink>
      <w:r w:rsidRPr="00F531B8">
        <w:rPr>
          <w:rFonts w:ascii="Times New Roman" w:eastAsia="Times New Roman" w:hAnsi="Times New Roman" w:cs="AsterV"/>
          <w:sz w:val="24"/>
          <w:szCs w:val="24"/>
        </w:rPr>
        <w:t xml:space="preserve">, </w:t>
      </w:r>
      <w:hyperlink r:id="rId16" w:tgtFrame="top" w:history="1">
        <w:r w:rsidRPr="00F531B8">
          <w:rPr>
            <w:rFonts w:ascii="Times New Roman" w:eastAsia="Times New Roman" w:hAnsi="Times New Roman" w:cs="AsterV"/>
            <w:color w:val="0000FF"/>
            <w:sz w:val="24"/>
            <w:szCs w:val="24"/>
            <w:u w:val="single"/>
          </w:rPr>
          <w:t>92D</w:t>
        </w:r>
      </w:hyperlink>
      <w:r w:rsidRPr="00F531B8">
        <w:rPr>
          <w:rFonts w:ascii="Times New Roman" w:eastAsia="Times New Roman" w:hAnsi="Times New Roman" w:cs="AsterV"/>
          <w:sz w:val="24"/>
          <w:szCs w:val="24"/>
        </w:rPr>
        <w:t xml:space="preserve"> and </w:t>
      </w:r>
      <w:hyperlink r:id="rId17" w:tgtFrame="top" w:history="1">
        <w:r w:rsidRPr="00F531B8">
          <w:rPr>
            <w:rFonts w:ascii="Times New Roman" w:eastAsia="Times New Roman" w:hAnsi="Times New Roman" w:cs="AsterV"/>
            <w:color w:val="0000FF"/>
            <w:sz w:val="24"/>
            <w:szCs w:val="24"/>
            <w:u w:val="single"/>
          </w:rPr>
          <w:t>92E</w:t>
        </w:r>
      </w:hyperlink>
      <w:r w:rsidRPr="00F531B8">
        <w:rPr>
          <w:rFonts w:ascii="Times New Roman" w:eastAsia="Times New Roman" w:hAnsi="Times New Roman" w:cs="AsterV"/>
          <w:sz w:val="24"/>
          <w:szCs w:val="24"/>
        </w:rPr>
        <w:t xml:space="preserve">, “international transaction” means a transaction between two or more associated enterprises, either or both of whom are non-residents, in the nature of purchase, sale or lease of tangible or intangible property, or provision of services, or lending or borrowing money, or any other transaction having a bearing on the profits, income, losses or assets of such enterprises, and shall include a mutual agreement or arrangement between two or more associated enterprises for the allocation or apportionment of, or any contribution to, any cost or expense incurred or to be incurred in </w:t>
      </w:r>
      <w:r w:rsidRPr="00F531B8">
        <w:rPr>
          <w:rFonts w:ascii="Times New Roman" w:eastAsia="Times New Roman" w:hAnsi="Times New Roman" w:cs="AsterV"/>
          <w:sz w:val="24"/>
          <w:szCs w:val="24"/>
        </w:rPr>
        <w:lastRenderedPageBreak/>
        <w:t>connection with a benefit, service or facility provided or to be provided to any one or more of such enterprises.</w:t>
      </w:r>
    </w:p>
    <w:p w:rsidR="00F531B8" w:rsidRPr="00F531B8" w:rsidRDefault="00F531B8" w:rsidP="00F531B8">
      <w:pPr>
        <w:tabs>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 w:val="left" w:pos="4920"/>
          <w:tab w:val="left" w:pos="5040"/>
          <w:tab w:val="left" w:pos="5160"/>
        </w:tabs>
        <w:autoSpaceDE w:val="0"/>
        <w:autoSpaceDN w:val="0"/>
        <w:adjustRightInd w:val="0"/>
        <w:spacing w:before="100" w:beforeAutospacing="1" w:after="4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(2) A transaction entered into by an enterprise with a person other than an associated enterprise shall, for the purposes of sub-section (1), be deemed to be a transaction entered into between two associated enterprises, if there exists a prior agreement in relation to the relevant transaction between such other person and the associated enterprise, or the terms of the relevant transaction are determined in substance between such other person and the associated enterprise.</w:t>
      </w:r>
    </w:p>
    <w:p w:rsidR="00F531B8" w:rsidRPr="00F531B8" w:rsidRDefault="00F531B8" w:rsidP="00F531B8">
      <w:pPr>
        <w:tabs>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 w:val="left" w:pos="4920"/>
          <w:tab w:val="left" w:pos="5040"/>
          <w:tab w:val="left" w:pos="5160"/>
        </w:tabs>
        <w:autoSpaceDE w:val="0"/>
        <w:autoSpaceDN w:val="0"/>
        <w:adjustRightInd w:val="0"/>
        <w:spacing w:before="100" w:beforeAutospacing="1" w:after="4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b/>
          <w:bCs/>
          <w:sz w:val="24"/>
          <w:szCs w:val="24"/>
        </w:rPr>
        <w:t>Computation of arm’s length price</w:t>
      </w:r>
      <w:r w:rsidRPr="00F531B8">
        <w:rPr>
          <w:rFonts w:ascii="Times New Roman" w:eastAsia="Times New Roman" w:hAnsi="Times New Roman" w:cs="AsterV"/>
          <w:iCs/>
          <w:sz w:val="24"/>
          <w:szCs w:val="24"/>
        </w:rPr>
        <w:t>.</w:t>
      </w:r>
    </w:p>
    <w:p w:rsidR="00F531B8" w:rsidRPr="00F531B8" w:rsidRDefault="00F531B8" w:rsidP="00F531B8">
      <w:pPr>
        <w:tabs>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 w:val="left" w:pos="4920"/>
          <w:tab w:val="left" w:pos="5040"/>
          <w:tab w:val="left" w:pos="5160"/>
        </w:tabs>
        <w:autoSpaceDE w:val="0"/>
        <w:autoSpaceDN w:val="0"/>
        <w:adjustRightInd w:val="0"/>
        <w:spacing w:before="100" w:beforeAutospacing="1" w:after="4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b/>
          <w:bCs/>
          <w:sz w:val="24"/>
          <w:szCs w:val="24"/>
        </w:rPr>
        <w:t xml:space="preserve">92C. </w:t>
      </w:r>
      <w:r w:rsidRPr="00F531B8">
        <w:rPr>
          <w:rFonts w:ascii="Times New Roman" w:eastAsia="Times New Roman" w:hAnsi="Times New Roman" w:cs="AsterV"/>
          <w:sz w:val="24"/>
          <w:szCs w:val="24"/>
        </w:rPr>
        <w:t>(1) The arm’s length price in relation to an international transaction shall be determined by any of the following methods, being the most appropriate method, having regard to the nature of transaction or class of transaction or class of associated persons or functions performed by such persons or such other relevant factors as the Board may prescribe</w:t>
      </w:r>
      <w:hyperlink r:id="rId18" w:tgtFrame="middle" w:history="1">
        <w:r w:rsidRPr="00F531B8">
          <w:rPr>
            <w:rFonts w:ascii="Times New Roman" w:eastAsia="Times New Roman" w:hAnsi="Times New Roman" w:cs="AsterV"/>
            <w:color w:val="0000FF"/>
            <w:sz w:val="24"/>
            <w:szCs w:val="24"/>
            <w:u w:val="single"/>
            <w:vertAlign w:val="superscript"/>
          </w:rPr>
          <w:t>84</w:t>
        </w:r>
      </w:hyperlink>
      <w:r w:rsidRPr="00F531B8">
        <w:rPr>
          <w:rFonts w:ascii="Times New Roman" w:eastAsia="Times New Roman" w:hAnsi="Times New Roman" w:cs="AsterV"/>
          <w:sz w:val="24"/>
          <w:szCs w:val="24"/>
        </w:rPr>
        <w:t>, namely :—</w:t>
      </w:r>
    </w:p>
    <w:p w:rsidR="00F531B8" w:rsidRPr="00F531B8" w:rsidRDefault="00F531B8" w:rsidP="00F531B8">
      <w:pPr>
        <w:tabs>
          <w:tab w:val="right" w:pos="840"/>
          <w:tab w:val="left" w:pos="960"/>
        </w:tabs>
        <w:autoSpaceDE w:val="0"/>
        <w:autoSpaceDN w:val="0"/>
        <w:adjustRightInd w:val="0"/>
        <w:spacing w:after="4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a</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comparable uncontrolled price method;</w:t>
      </w:r>
    </w:p>
    <w:p w:rsidR="00F531B8" w:rsidRPr="00F531B8" w:rsidRDefault="00F531B8" w:rsidP="00F531B8">
      <w:pPr>
        <w:tabs>
          <w:tab w:val="right" w:pos="840"/>
          <w:tab w:val="left" w:pos="960"/>
        </w:tabs>
        <w:autoSpaceDE w:val="0"/>
        <w:autoSpaceDN w:val="0"/>
        <w:adjustRightInd w:val="0"/>
        <w:spacing w:after="4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b</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resale price method;</w:t>
      </w:r>
    </w:p>
    <w:p w:rsidR="00F531B8" w:rsidRPr="00F531B8" w:rsidRDefault="00F531B8" w:rsidP="00F531B8">
      <w:pPr>
        <w:tabs>
          <w:tab w:val="right" w:pos="840"/>
          <w:tab w:val="left" w:pos="960"/>
        </w:tabs>
        <w:autoSpaceDE w:val="0"/>
        <w:autoSpaceDN w:val="0"/>
        <w:adjustRightInd w:val="0"/>
        <w:spacing w:after="4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c</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cost plus method;</w:t>
      </w:r>
    </w:p>
    <w:p w:rsidR="00F531B8" w:rsidRPr="00F531B8" w:rsidRDefault="00F531B8" w:rsidP="00F531B8">
      <w:pPr>
        <w:tabs>
          <w:tab w:val="right" w:pos="840"/>
          <w:tab w:val="left" w:pos="960"/>
        </w:tabs>
        <w:autoSpaceDE w:val="0"/>
        <w:autoSpaceDN w:val="0"/>
        <w:adjustRightInd w:val="0"/>
        <w:spacing w:after="4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d</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profit split method;</w:t>
      </w:r>
    </w:p>
    <w:p w:rsidR="00F531B8" w:rsidRPr="00F531B8" w:rsidRDefault="00F531B8" w:rsidP="00F531B8">
      <w:pPr>
        <w:tabs>
          <w:tab w:val="right" w:pos="840"/>
          <w:tab w:val="left" w:pos="960"/>
        </w:tabs>
        <w:autoSpaceDE w:val="0"/>
        <w:autoSpaceDN w:val="0"/>
        <w:adjustRightInd w:val="0"/>
        <w:spacing w:after="4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e</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transactional net margin method;</w:t>
      </w:r>
    </w:p>
    <w:p w:rsidR="00F531B8" w:rsidRPr="00F531B8" w:rsidRDefault="00F531B8" w:rsidP="00F531B8">
      <w:pPr>
        <w:tabs>
          <w:tab w:val="right" w:pos="840"/>
          <w:tab w:val="left" w:pos="960"/>
        </w:tabs>
        <w:autoSpaceDE w:val="0"/>
        <w:autoSpaceDN w:val="0"/>
        <w:adjustRightInd w:val="0"/>
        <w:spacing w:after="4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f</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such other method as may be prescribed</w:t>
      </w:r>
      <w:hyperlink r:id="rId19" w:tgtFrame="middle" w:history="1">
        <w:r w:rsidRPr="00F531B8">
          <w:rPr>
            <w:rFonts w:ascii="Times New Roman" w:eastAsia="Times New Roman" w:hAnsi="Times New Roman" w:cs="AsterV"/>
            <w:color w:val="0000FF"/>
            <w:sz w:val="24"/>
            <w:szCs w:val="24"/>
            <w:u w:val="single"/>
            <w:vertAlign w:val="superscript"/>
          </w:rPr>
          <w:t>84</w:t>
        </w:r>
      </w:hyperlink>
      <w:r w:rsidRPr="00F531B8">
        <w:rPr>
          <w:rFonts w:ascii="Times New Roman" w:eastAsia="Times New Roman" w:hAnsi="Times New Roman" w:cs="AsterV"/>
          <w:sz w:val="24"/>
          <w:szCs w:val="24"/>
        </w:rPr>
        <w:t xml:space="preserve"> by the Board.</w:t>
      </w:r>
    </w:p>
    <w:p w:rsidR="00F531B8" w:rsidRPr="00F531B8" w:rsidRDefault="00F531B8" w:rsidP="00F531B8">
      <w:pPr>
        <w:tabs>
          <w:tab w:val="right" w:pos="360"/>
          <w:tab w:val="left" w:pos="480"/>
        </w:tabs>
        <w:autoSpaceDE w:val="0"/>
        <w:autoSpaceDN w:val="0"/>
        <w:adjustRightInd w:val="0"/>
        <w:spacing w:before="100" w:beforeAutospacing="1" w:after="4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(2) The most appropriate method referred to in sub-section (1) shall be applied, for determination of arm’s length price, in the manner as may be prescribed</w:t>
      </w:r>
      <w:hyperlink r:id="rId20" w:tgtFrame="middle" w:history="1">
        <w:r w:rsidRPr="00F531B8">
          <w:rPr>
            <w:rFonts w:ascii="Times New Roman" w:eastAsia="Times New Roman" w:hAnsi="Times New Roman" w:cs="AsterV"/>
            <w:color w:val="0000FF"/>
            <w:sz w:val="24"/>
            <w:szCs w:val="24"/>
            <w:u w:val="single"/>
            <w:vertAlign w:val="superscript"/>
          </w:rPr>
          <w:t>85</w:t>
        </w:r>
      </w:hyperlink>
      <w:r w:rsidRPr="00F531B8">
        <w:rPr>
          <w:rFonts w:ascii="Times New Roman" w:eastAsia="Times New Roman" w:hAnsi="Times New Roman" w:cs="AsterV"/>
          <w:sz w:val="24"/>
          <w:szCs w:val="24"/>
        </w:rPr>
        <w:t xml:space="preserve"> :</w:t>
      </w:r>
    </w:p>
    <w:p w:rsidR="00F531B8" w:rsidRPr="00F531B8" w:rsidRDefault="003510C6" w:rsidP="00F531B8">
      <w:pPr>
        <w:autoSpaceDE w:val="0"/>
        <w:autoSpaceDN w:val="0"/>
        <w:adjustRightInd w:val="0"/>
        <w:spacing w:before="100" w:beforeAutospacing="1" w:after="60" w:line="240" w:lineRule="auto"/>
        <w:jc w:val="both"/>
        <w:rPr>
          <w:rFonts w:ascii="Times New Roman" w:eastAsia="Times New Roman" w:hAnsi="Times New Roman" w:cs="Times New Roman"/>
          <w:sz w:val="24"/>
          <w:szCs w:val="24"/>
        </w:rPr>
      </w:pPr>
      <w:hyperlink r:id="rId21" w:tgtFrame="middle" w:history="1">
        <w:r w:rsidR="00F531B8" w:rsidRPr="00F531B8">
          <w:rPr>
            <w:rFonts w:ascii="Times New Roman" w:eastAsia="Times New Roman" w:hAnsi="Times New Roman" w:cs="AsterV"/>
            <w:color w:val="0000FF"/>
            <w:sz w:val="24"/>
            <w:szCs w:val="24"/>
            <w:u w:val="single"/>
            <w:vertAlign w:val="superscript"/>
          </w:rPr>
          <w:t>86</w:t>
        </w:r>
      </w:hyperlink>
      <w:r w:rsidR="00F531B8" w:rsidRPr="00F531B8">
        <w:rPr>
          <w:rFonts w:ascii="Times New Roman" w:eastAsia="Times New Roman" w:hAnsi="Times New Roman" w:cs="AsterV"/>
          <w:sz w:val="24"/>
          <w:szCs w:val="24"/>
        </w:rPr>
        <w:t>[</w:t>
      </w:r>
      <w:r w:rsidR="00F531B8" w:rsidRPr="00F531B8">
        <w:rPr>
          <w:rFonts w:ascii="Times New Roman" w:eastAsia="Times New Roman" w:hAnsi="Times New Roman" w:cs="AsterV"/>
          <w:b/>
          <w:bCs/>
          <w:sz w:val="24"/>
          <w:szCs w:val="24"/>
        </w:rPr>
        <w:t>Provided</w:t>
      </w:r>
      <w:r w:rsidR="00F531B8" w:rsidRPr="00F531B8">
        <w:rPr>
          <w:rFonts w:ascii="Times New Roman" w:eastAsia="Times New Roman" w:hAnsi="Times New Roman" w:cs="AsterV"/>
          <w:b/>
          <w:bCs/>
          <w:iCs/>
          <w:sz w:val="24"/>
          <w:szCs w:val="24"/>
        </w:rPr>
        <w:t xml:space="preserve"> </w:t>
      </w:r>
      <w:r w:rsidR="00F531B8" w:rsidRPr="00F531B8">
        <w:rPr>
          <w:rFonts w:ascii="Times New Roman" w:eastAsia="Times New Roman" w:hAnsi="Times New Roman" w:cs="AsterV"/>
          <w:sz w:val="24"/>
          <w:szCs w:val="24"/>
        </w:rPr>
        <w:t>that where more than one price is determined by the most appropriate method, the arm’s length price shall be taken to be the arithmetical mean of such prices:</w:t>
      </w:r>
    </w:p>
    <w:p w:rsidR="00F531B8" w:rsidRPr="00F531B8" w:rsidRDefault="00F531B8" w:rsidP="00F531B8">
      <w:pPr>
        <w:autoSpaceDE w:val="0"/>
        <w:autoSpaceDN w:val="0"/>
        <w:adjustRightInd w:val="0"/>
        <w:spacing w:before="100" w:beforeAutospacing="1" w:after="6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b/>
          <w:bCs/>
          <w:sz w:val="24"/>
          <w:szCs w:val="24"/>
        </w:rPr>
        <w:t>Provided further</w:t>
      </w:r>
      <w:r w:rsidRPr="00F531B8">
        <w:rPr>
          <w:rFonts w:ascii="Times New Roman" w:eastAsia="Times New Roman" w:hAnsi="Times New Roman" w:cs="AsterV"/>
          <w:b/>
          <w:bCs/>
          <w:iCs/>
          <w:sz w:val="24"/>
          <w:szCs w:val="24"/>
        </w:rPr>
        <w:t xml:space="preserve"> </w:t>
      </w:r>
      <w:r w:rsidRPr="00F531B8">
        <w:rPr>
          <w:rFonts w:ascii="Times New Roman" w:eastAsia="Times New Roman" w:hAnsi="Times New Roman" w:cs="AsterV"/>
          <w:sz w:val="24"/>
          <w:szCs w:val="24"/>
        </w:rPr>
        <w:t xml:space="preserve">that if the variation between the arm’s length price so determined and price at which the international transaction has actually been undertaken does not exceed </w:t>
      </w:r>
      <w:hyperlink r:id="rId22" w:tgtFrame="middle" w:history="1">
        <w:r w:rsidRPr="00F531B8">
          <w:rPr>
            <w:rFonts w:ascii="Times New Roman" w:eastAsia="Times New Roman" w:hAnsi="Times New Roman" w:cs="AsterV"/>
            <w:color w:val="0000FF"/>
            <w:sz w:val="24"/>
            <w:szCs w:val="24"/>
            <w:u w:val="single"/>
            <w:vertAlign w:val="superscript"/>
          </w:rPr>
          <w:t>86a</w:t>
        </w:r>
      </w:hyperlink>
      <w:r w:rsidRPr="00F531B8">
        <w:rPr>
          <w:rFonts w:ascii="Times New Roman" w:eastAsia="Times New Roman" w:hAnsi="Times New Roman" w:cs="AsterV"/>
          <w:b/>
          <w:bCs/>
          <w:sz w:val="24"/>
          <w:szCs w:val="24"/>
        </w:rPr>
        <w:t>[</w:t>
      </w:r>
      <w:r w:rsidRPr="00F531B8">
        <w:rPr>
          <w:rFonts w:ascii="Times New Roman" w:eastAsia="Times New Roman" w:hAnsi="Times New Roman" w:cs="AsterV"/>
          <w:iCs/>
          <w:sz w:val="24"/>
          <w:szCs w:val="24"/>
        </w:rPr>
        <w:t>five per cent of the latter</w:t>
      </w:r>
      <w:r w:rsidRPr="00F531B8">
        <w:rPr>
          <w:rFonts w:ascii="Times New Roman" w:eastAsia="Times New Roman" w:hAnsi="Times New Roman" w:cs="AsterV"/>
          <w:b/>
          <w:bCs/>
          <w:sz w:val="24"/>
          <w:szCs w:val="24"/>
        </w:rPr>
        <w:t>]</w:t>
      </w:r>
      <w:r w:rsidRPr="00F531B8">
        <w:rPr>
          <w:rFonts w:ascii="Times New Roman" w:eastAsia="Times New Roman" w:hAnsi="Times New Roman" w:cs="AsterV"/>
          <w:sz w:val="24"/>
          <w:szCs w:val="24"/>
        </w:rPr>
        <w:t>, the price at which the international transaction has actually been undertaken shall be deemed to be the arm’s length price.]</w:t>
      </w:r>
    </w:p>
    <w:p w:rsidR="00F531B8" w:rsidRPr="00F531B8" w:rsidRDefault="00F531B8" w:rsidP="00F531B8">
      <w:pPr>
        <w:tabs>
          <w:tab w:val="right" w:pos="360"/>
          <w:tab w:val="left" w:pos="480"/>
        </w:tabs>
        <w:autoSpaceDE w:val="0"/>
        <w:autoSpaceDN w:val="0"/>
        <w:adjustRightInd w:val="0"/>
        <w:spacing w:before="100" w:beforeAutospacing="1" w:after="4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(3) Where during the course of any proceeding for the assessment of income, the Assessing Officer is, on the basis of material or information or document in his possession, of the opinion that—</w:t>
      </w:r>
    </w:p>
    <w:p w:rsidR="00F531B8" w:rsidRPr="00F531B8" w:rsidRDefault="00F531B8" w:rsidP="00F531B8">
      <w:pPr>
        <w:tabs>
          <w:tab w:val="right" w:pos="840"/>
          <w:tab w:val="left" w:pos="960"/>
        </w:tabs>
        <w:autoSpaceDE w:val="0"/>
        <w:autoSpaceDN w:val="0"/>
        <w:adjustRightInd w:val="0"/>
        <w:spacing w:after="4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a</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the price charged or paid in an international transaction has not been determined in accordance with sub-sections (1) and (2); or</w:t>
      </w:r>
    </w:p>
    <w:p w:rsidR="00F531B8" w:rsidRPr="00F531B8" w:rsidRDefault="00F531B8" w:rsidP="00F531B8">
      <w:pPr>
        <w:tabs>
          <w:tab w:val="right" w:pos="840"/>
          <w:tab w:val="left" w:pos="960"/>
        </w:tabs>
        <w:autoSpaceDE w:val="0"/>
        <w:autoSpaceDN w:val="0"/>
        <w:adjustRightInd w:val="0"/>
        <w:spacing w:after="4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b</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 xml:space="preserve">any information and document relating to an international transaction have not been kept and maintained by the assessee in accordance with the provisions contained in sub-section (1) of </w:t>
      </w:r>
      <w:hyperlink r:id="rId23" w:tgtFrame="top" w:history="1">
        <w:r w:rsidRPr="00F531B8">
          <w:rPr>
            <w:rFonts w:ascii="Times New Roman" w:eastAsia="Times New Roman" w:hAnsi="Times New Roman" w:cs="AsterV"/>
            <w:color w:val="0000FF"/>
            <w:sz w:val="24"/>
            <w:szCs w:val="24"/>
            <w:u w:val="single"/>
          </w:rPr>
          <w:t>section 92D</w:t>
        </w:r>
      </w:hyperlink>
      <w:r w:rsidRPr="00F531B8">
        <w:rPr>
          <w:rFonts w:ascii="Times New Roman" w:eastAsia="Times New Roman" w:hAnsi="Times New Roman" w:cs="AsterV"/>
          <w:sz w:val="24"/>
          <w:szCs w:val="24"/>
        </w:rPr>
        <w:t xml:space="preserve"> and the rules made in this behalf; or</w:t>
      </w:r>
    </w:p>
    <w:p w:rsidR="00F531B8" w:rsidRPr="00F531B8" w:rsidRDefault="00F531B8" w:rsidP="00F531B8">
      <w:pPr>
        <w:tabs>
          <w:tab w:val="right" w:pos="840"/>
          <w:tab w:val="left" w:pos="960"/>
        </w:tabs>
        <w:autoSpaceDE w:val="0"/>
        <w:autoSpaceDN w:val="0"/>
        <w:adjustRightInd w:val="0"/>
        <w:spacing w:after="4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c</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the information or data used in computation of the arm’s length price is not reliable or correct; or</w:t>
      </w:r>
    </w:p>
    <w:p w:rsidR="00F531B8" w:rsidRPr="00F531B8" w:rsidRDefault="00F531B8" w:rsidP="00F531B8">
      <w:pPr>
        <w:tabs>
          <w:tab w:val="right" w:pos="840"/>
          <w:tab w:val="left" w:pos="960"/>
        </w:tabs>
        <w:autoSpaceDE w:val="0"/>
        <w:autoSpaceDN w:val="0"/>
        <w:adjustRightInd w:val="0"/>
        <w:spacing w:after="4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lastRenderedPageBreak/>
        <w:tab/>
        <w:t>(</w:t>
      </w:r>
      <w:r w:rsidRPr="00F531B8">
        <w:rPr>
          <w:rFonts w:ascii="Times New Roman" w:eastAsia="Times New Roman" w:hAnsi="Times New Roman" w:cs="AsterV"/>
          <w:iCs/>
          <w:sz w:val="24"/>
          <w:szCs w:val="24"/>
        </w:rPr>
        <w:t>d</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 xml:space="preserve">the assessee has failed to furnish, within the specified time, any information or document which he was required to furnish by a notice issued under sub-section (3) of </w:t>
      </w:r>
      <w:hyperlink r:id="rId24" w:tgtFrame="top" w:history="1">
        <w:r w:rsidRPr="00F531B8">
          <w:rPr>
            <w:rFonts w:ascii="Times New Roman" w:eastAsia="Times New Roman" w:hAnsi="Times New Roman" w:cs="AsterV"/>
            <w:color w:val="0000FF"/>
            <w:sz w:val="24"/>
            <w:szCs w:val="24"/>
            <w:u w:val="single"/>
          </w:rPr>
          <w:t>section 92D</w:t>
        </w:r>
      </w:hyperlink>
      <w:r w:rsidRPr="00F531B8">
        <w:rPr>
          <w:rFonts w:ascii="Times New Roman" w:eastAsia="Times New Roman" w:hAnsi="Times New Roman" w:cs="AsterV"/>
          <w:sz w:val="24"/>
          <w:szCs w:val="24"/>
        </w:rPr>
        <w:t>,</w:t>
      </w:r>
    </w:p>
    <w:p w:rsidR="00F531B8" w:rsidRPr="00F531B8" w:rsidRDefault="00F531B8" w:rsidP="00F531B8">
      <w:pPr>
        <w:autoSpaceDE w:val="0"/>
        <w:autoSpaceDN w:val="0"/>
        <w:adjustRightInd w:val="0"/>
        <w:spacing w:before="100" w:beforeAutospacing="1" w:after="4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the Assessing Officer may proceed to determine the arm’s length price in relation to the said international transaction in accordance with sub-sections (1) and (2), on the basis of such material or information or document available with him:</w:t>
      </w:r>
    </w:p>
    <w:p w:rsidR="00F531B8" w:rsidRPr="00F531B8" w:rsidRDefault="00F531B8" w:rsidP="00F531B8">
      <w:pPr>
        <w:tabs>
          <w:tab w:val="right" w:pos="360"/>
          <w:tab w:val="left" w:pos="480"/>
        </w:tabs>
        <w:autoSpaceDE w:val="0"/>
        <w:autoSpaceDN w:val="0"/>
        <w:adjustRightInd w:val="0"/>
        <w:spacing w:before="100" w:beforeAutospacing="1" w:after="4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b/>
          <w:bCs/>
          <w:sz w:val="24"/>
          <w:szCs w:val="24"/>
        </w:rPr>
        <w:tab/>
        <w:t>Provided</w:t>
      </w:r>
      <w:r w:rsidRPr="00F531B8">
        <w:rPr>
          <w:rFonts w:ascii="Times New Roman" w:eastAsia="Times New Roman" w:hAnsi="Times New Roman" w:cs="AsterV"/>
          <w:sz w:val="24"/>
          <w:szCs w:val="24"/>
        </w:rPr>
        <w:t xml:space="preserve"> that an opportunity shall be given by the Assessing Officer by serving a notice calling upon the assessee to show cause, on a date and time to be specified in the notice, why the arm’s length price should not be so determined on the basis of material or information or document in the possession of the Assessing Officer.</w:t>
      </w:r>
    </w:p>
    <w:p w:rsidR="00F531B8" w:rsidRPr="00F531B8" w:rsidRDefault="00F531B8" w:rsidP="00F531B8">
      <w:pPr>
        <w:tabs>
          <w:tab w:val="right" w:pos="360"/>
          <w:tab w:val="left" w:pos="480"/>
        </w:tabs>
        <w:autoSpaceDE w:val="0"/>
        <w:autoSpaceDN w:val="0"/>
        <w:adjustRightInd w:val="0"/>
        <w:spacing w:before="100" w:beforeAutospacing="1" w:after="6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(4) Where an arm’s length price is determined by the Assessing Officer under sub-section (3), the Assessing Officer may compute the total income of the assessee having regard to the arm’s length price so determined :</w:t>
      </w:r>
    </w:p>
    <w:p w:rsidR="00F531B8" w:rsidRPr="00F531B8" w:rsidRDefault="00F531B8" w:rsidP="00F531B8">
      <w:pPr>
        <w:tabs>
          <w:tab w:val="right" w:pos="360"/>
          <w:tab w:val="left" w:pos="480"/>
        </w:tabs>
        <w:autoSpaceDE w:val="0"/>
        <w:autoSpaceDN w:val="0"/>
        <w:adjustRightInd w:val="0"/>
        <w:spacing w:before="100" w:beforeAutospacing="1" w:after="4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b/>
          <w:bCs/>
          <w:sz w:val="24"/>
          <w:szCs w:val="24"/>
        </w:rPr>
        <w:tab/>
        <w:t>Provided</w:t>
      </w:r>
      <w:r w:rsidRPr="00F531B8">
        <w:rPr>
          <w:rFonts w:ascii="Times New Roman" w:eastAsia="Times New Roman" w:hAnsi="Times New Roman" w:cs="AsterV"/>
          <w:sz w:val="24"/>
          <w:szCs w:val="24"/>
        </w:rPr>
        <w:t xml:space="preserve"> that no deduction under </w:t>
      </w:r>
      <w:hyperlink r:id="rId25" w:tgtFrame="top" w:history="1">
        <w:r w:rsidRPr="00F531B8">
          <w:rPr>
            <w:rFonts w:ascii="Times New Roman" w:eastAsia="Times New Roman" w:hAnsi="Times New Roman" w:cs="AsterV"/>
            <w:color w:val="0000FF"/>
            <w:sz w:val="24"/>
            <w:szCs w:val="24"/>
            <w:u w:val="single"/>
          </w:rPr>
          <w:t>section 10A</w:t>
        </w:r>
      </w:hyperlink>
      <w:r w:rsidRPr="00F531B8">
        <w:rPr>
          <w:rFonts w:ascii="Times New Roman" w:eastAsia="Times New Roman" w:hAnsi="Times New Roman" w:cs="AsterV"/>
          <w:sz w:val="24"/>
          <w:szCs w:val="24"/>
        </w:rPr>
        <w:t xml:space="preserve"> </w:t>
      </w:r>
      <w:hyperlink r:id="rId26" w:tgtFrame="middle" w:history="1">
        <w:r w:rsidRPr="00F531B8">
          <w:rPr>
            <w:rFonts w:ascii="Times New Roman" w:eastAsia="Times New Roman" w:hAnsi="Times New Roman" w:cs="AsterV"/>
            <w:color w:val="0000FF"/>
            <w:sz w:val="24"/>
            <w:szCs w:val="24"/>
            <w:u w:val="single"/>
            <w:vertAlign w:val="superscript"/>
          </w:rPr>
          <w:t>87</w:t>
        </w:r>
      </w:hyperlink>
      <w:r w:rsidRPr="00F531B8">
        <w:rPr>
          <w:rFonts w:ascii="Times New Roman" w:eastAsia="Times New Roman" w:hAnsi="Times New Roman" w:cs="AsterV"/>
          <w:sz w:val="24"/>
          <w:szCs w:val="24"/>
        </w:rPr>
        <w:t xml:space="preserve">[or </w:t>
      </w:r>
      <w:hyperlink r:id="rId27" w:tgtFrame="top" w:history="1">
        <w:r w:rsidRPr="00F531B8">
          <w:rPr>
            <w:rFonts w:ascii="Times New Roman" w:eastAsia="Times New Roman" w:hAnsi="Times New Roman" w:cs="AsterV"/>
            <w:color w:val="0000FF"/>
            <w:sz w:val="24"/>
            <w:szCs w:val="24"/>
            <w:u w:val="single"/>
          </w:rPr>
          <w:t>section 10AA</w:t>
        </w:r>
      </w:hyperlink>
      <w:r w:rsidRPr="00F531B8">
        <w:rPr>
          <w:rFonts w:ascii="Times New Roman" w:eastAsia="Times New Roman" w:hAnsi="Times New Roman" w:cs="AsterV"/>
          <w:sz w:val="24"/>
          <w:szCs w:val="24"/>
        </w:rPr>
        <w:t xml:space="preserve">] or </w:t>
      </w:r>
      <w:hyperlink r:id="rId28" w:tgtFrame="top" w:history="1">
        <w:r w:rsidRPr="00F531B8">
          <w:rPr>
            <w:rFonts w:ascii="Times New Roman" w:eastAsia="Times New Roman" w:hAnsi="Times New Roman" w:cs="AsterV"/>
            <w:color w:val="0000FF"/>
            <w:sz w:val="24"/>
            <w:szCs w:val="24"/>
            <w:u w:val="single"/>
          </w:rPr>
          <w:t>section 10B</w:t>
        </w:r>
      </w:hyperlink>
      <w:r w:rsidRPr="00F531B8">
        <w:rPr>
          <w:rFonts w:ascii="Times New Roman" w:eastAsia="Times New Roman" w:hAnsi="Times New Roman" w:cs="AsterV"/>
          <w:sz w:val="24"/>
          <w:szCs w:val="24"/>
        </w:rPr>
        <w:t xml:space="preserve"> or under Chapter VI-A shall be allowed in respect of the amount of income by which the total income of the assessee is enhanced after computation of income under this sub-section :</w:t>
      </w:r>
    </w:p>
    <w:p w:rsidR="00F531B8" w:rsidRPr="00F531B8" w:rsidRDefault="00F531B8" w:rsidP="00F531B8">
      <w:pPr>
        <w:tabs>
          <w:tab w:val="left" w:pos="240"/>
          <w:tab w:val="left" w:pos="360"/>
          <w:tab w:val="left" w:pos="480"/>
          <w:tab w:val="left" w:pos="600"/>
          <w:tab w:val="left" w:pos="720"/>
        </w:tabs>
        <w:autoSpaceDE w:val="0"/>
        <w:autoSpaceDN w:val="0"/>
        <w:adjustRightInd w:val="0"/>
        <w:spacing w:before="100" w:beforeAutospacing="1" w:after="4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b/>
          <w:bCs/>
          <w:sz w:val="24"/>
          <w:szCs w:val="24"/>
        </w:rPr>
        <w:t>Provided further</w:t>
      </w:r>
      <w:r w:rsidRPr="00F531B8">
        <w:rPr>
          <w:rFonts w:ascii="Times New Roman" w:eastAsia="Times New Roman" w:hAnsi="Times New Roman" w:cs="AsterV"/>
          <w:sz w:val="24"/>
          <w:szCs w:val="24"/>
        </w:rPr>
        <w:t xml:space="preserve"> that where the total income of an associated enterprise is computed under this sub-section on determination of the arm’s length price paid to another associated enterprise from which tax has been deducted </w:t>
      </w:r>
      <w:hyperlink r:id="rId29" w:tgtFrame="middle" w:history="1">
        <w:r w:rsidRPr="00F531B8">
          <w:rPr>
            <w:rFonts w:ascii="Times New Roman" w:eastAsia="Times New Roman" w:hAnsi="Times New Roman" w:cs="AsterV"/>
            <w:color w:val="0000FF"/>
            <w:sz w:val="24"/>
            <w:szCs w:val="24"/>
            <w:u w:val="single"/>
            <w:vertAlign w:val="superscript"/>
          </w:rPr>
          <w:t>88</w:t>
        </w:r>
      </w:hyperlink>
      <w:r w:rsidRPr="00F531B8">
        <w:rPr>
          <w:rFonts w:ascii="Times New Roman" w:eastAsia="Times New Roman" w:hAnsi="Times New Roman" w:cs="AsterV"/>
          <w:sz w:val="24"/>
          <w:szCs w:val="24"/>
        </w:rPr>
        <w:t>[or was deductible]</w:t>
      </w:r>
      <w:r w:rsidRPr="00F531B8">
        <w:rPr>
          <w:rFonts w:ascii="Times New Roman" w:eastAsia="Times New Roman" w:hAnsi="Times New Roman" w:cs="AsterV"/>
          <w:b/>
          <w:bCs/>
          <w:sz w:val="24"/>
          <w:szCs w:val="24"/>
        </w:rPr>
        <w:t xml:space="preserve"> </w:t>
      </w:r>
      <w:r w:rsidRPr="00F531B8">
        <w:rPr>
          <w:rFonts w:ascii="Times New Roman" w:eastAsia="Times New Roman" w:hAnsi="Times New Roman" w:cs="AsterV"/>
          <w:sz w:val="24"/>
          <w:szCs w:val="24"/>
        </w:rPr>
        <w:t>under the provisions of Chapter XVIIB, the income of the other associated enterprise shall not be recomputed by reason of such determination of arm’s length price in the case of the first mentioned enterprise.</w:t>
      </w:r>
    </w:p>
    <w:p w:rsidR="00F531B8" w:rsidRPr="00F531B8" w:rsidRDefault="003510C6" w:rsidP="00F531B8">
      <w:pPr>
        <w:tabs>
          <w:tab w:val="right" w:pos="360"/>
          <w:tab w:val="left" w:pos="480"/>
        </w:tabs>
        <w:autoSpaceDE w:val="0"/>
        <w:autoSpaceDN w:val="0"/>
        <w:adjustRightInd w:val="0"/>
        <w:spacing w:before="100" w:beforeAutospacing="1" w:after="40" w:line="240" w:lineRule="auto"/>
        <w:jc w:val="both"/>
        <w:rPr>
          <w:rFonts w:ascii="Times New Roman" w:eastAsia="Times New Roman" w:hAnsi="Times New Roman" w:cs="Times New Roman"/>
          <w:sz w:val="24"/>
          <w:szCs w:val="24"/>
        </w:rPr>
      </w:pPr>
      <w:hyperlink r:id="rId30" w:tgtFrame="middle" w:history="1">
        <w:r w:rsidR="00F531B8" w:rsidRPr="00F531B8">
          <w:rPr>
            <w:rFonts w:ascii="Times New Roman" w:eastAsia="Times New Roman" w:hAnsi="Times New Roman" w:cs="AsterV"/>
            <w:color w:val="0000FF"/>
            <w:sz w:val="24"/>
            <w:szCs w:val="24"/>
            <w:u w:val="single"/>
            <w:vertAlign w:val="superscript"/>
          </w:rPr>
          <w:t>89</w:t>
        </w:r>
      </w:hyperlink>
      <w:r w:rsidR="00F531B8" w:rsidRPr="00F531B8">
        <w:rPr>
          <w:rFonts w:ascii="Times New Roman" w:eastAsia="Times New Roman" w:hAnsi="Times New Roman" w:cs="AsterV"/>
          <w:sz w:val="24"/>
          <w:szCs w:val="24"/>
        </w:rPr>
        <w:t>[</w:t>
      </w:r>
      <w:r w:rsidR="00F531B8" w:rsidRPr="00F531B8">
        <w:rPr>
          <w:rFonts w:ascii="Times New Roman" w:eastAsia="Times New Roman" w:hAnsi="Times New Roman" w:cs="AsterV"/>
          <w:b/>
          <w:bCs/>
          <w:sz w:val="24"/>
          <w:szCs w:val="24"/>
        </w:rPr>
        <w:t>Reference to Transfer Pricing Officer.</w:t>
      </w:r>
    </w:p>
    <w:p w:rsidR="00F531B8" w:rsidRPr="00F531B8" w:rsidRDefault="00F531B8" w:rsidP="00F531B8">
      <w:pPr>
        <w:tabs>
          <w:tab w:val="left" w:pos="120"/>
          <w:tab w:val="left" w:pos="240"/>
          <w:tab w:val="left" w:pos="360"/>
          <w:tab w:val="left" w:pos="480"/>
          <w:tab w:val="left" w:pos="600"/>
          <w:tab w:val="left" w:pos="720"/>
          <w:tab w:val="left" w:pos="840"/>
          <w:tab w:val="left" w:pos="960"/>
        </w:tabs>
        <w:autoSpaceDE w:val="0"/>
        <w:autoSpaceDN w:val="0"/>
        <w:adjustRightInd w:val="0"/>
        <w:spacing w:before="100" w:beforeAutospacing="1" w:after="4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b/>
          <w:bCs/>
          <w:sz w:val="24"/>
          <w:szCs w:val="24"/>
        </w:rPr>
        <w:t xml:space="preserve">92CA. </w:t>
      </w:r>
      <w:r w:rsidRPr="00F531B8">
        <w:rPr>
          <w:rFonts w:ascii="Times New Roman" w:eastAsia="Times New Roman" w:hAnsi="Times New Roman" w:cs="AsterV"/>
          <w:sz w:val="24"/>
          <w:szCs w:val="24"/>
        </w:rPr>
        <w:t xml:space="preserve">(1) Where any person, being the assessee, has entered into an international transaction in any previous year, and the Assessing Officer considers it necessary or expedient so to do, he may, with the previous approval of the Commissioner, refer the computation of the arm’s length price in relation to the said international transaction under </w:t>
      </w:r>
      <w:hyperlink r:id="rId31" w:tgtFrame="top" w:history="1">
        <w:r w:rsidRPr="00F531B8">
          <w:rPr>
            <w:rFonts w:ascii="Times New Roman" w:eastAsia="Times New Roman" w:hAnsi="Times New Roman" w:cs="AsterV"/>
            <w:color w:val="0000FF"/>
            <w:sz w:val="24"/>
            <w:szCs w:val="24"/>
            <w:u w:val="single"/>
          </w:rPr>
          <w:t>section 92C</w:t>
        </w:r>
      </w:hyperlink>
      <w:r w:rsidRPr="00F531B8">
        <w:rPr>
          <w:rFonts w:ascii="Times New Roman" w:eastAsia="Times New Roman" w:hAnsi="Times New Roman" w:cs="AsterV"/>
          <w:sz w:val="24"/>
          <w:szCs w:val="24"/>
        </w:rPr>
        <w:t xml:space="preserve"> to the Transfer Pricing Officer.</w:t>
      </w:r>
    </w:p>
    <w:p w:rsidR="00F531B8" w:rsidRPr="00F531B8" w:rsidRDefault="00F531B8" w:rsidP="00F531B8">
      <w:pPr>
        <w:autoSpaceDE w:val="0"/>
        <w:autoSpaceDN w:val="0"/>
        <w:adjustRightInd w:val="0"/>
        <w:spacing w:before="100" w:beforeAutospacing="1" w:after="4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(2) Where a reference is made under sub-section (1), the Transfer Pricing Officer shall serve a notice on the assessee requiring him to produce or cause to be produced on a date to be specified therein, any evidence on which the assessee may rely in support of the computation made by him of the arm’s length price in relation to the international transaction referred to in sub-section (1).</w:t>
      </w:r>
    </w:p>
    <w:p w:rsidR="00F531B8" w:rsidRPr="00F531B8" w:rsidRDefault="003510C6" w:rsidP="00F531B8">
      <w:pPr>
        <w:autoSpaceDE w:val="0"/>
        <w:autoSpaceDN w:val="0"/>
        <w:adjustRightInd w:val="0"/>
        <w:spacing w:before="100" w:beforeAutospacing="1" w:after="40" w:line="240" w:lineRule="auto"/>
        <w:jc w:val="both"/>
        <w:rPr>
          <w:rFonts w:ascii="Times New Roman" w:eastAsia="Times New Roman" w:hAnsi="Times New Roman" w:cs="Times New Roman"/>
          <w:sz w:val="24"/>
          <w:szCs w:val="24"/>
        </w:rPr>
      </w:pPr>
      <w:hyperlink r:id="rId32" w:tgtFrame="middle" w:history="1">
        <w:r w:rsidR="00F531B8" w:rsidRPr="00F531B8">
          <w:rPr>
            <w:rFonts w:ascii="Times New Roman" w:eastAsia="Times New Roman" w:hAnsi="Times New Roman" w:cs="AsterV"/>
            <w:color w:val="0000FF"/>
            <w:sz w:val="24"/>
            <w:szCs w:val="24"/>
            <w:u w:val="single"/>
            <w:vertAlign w:val="superscript"/>
          </w:rPr>
          <w:t>89a</w:t>
        </w:r>
      </w:hyperlink>
      <w:r w:rsidR="00F531B8" w:rsidRPr="00F531B8">
        <w:rPr>
          <w:rFonts w:ascii="Times New Roman" w:eastAsia="Times New Roman" w:hAnsi="Times New Roman" w:cs="AsterV"/>
          <w:b/>
          <w:bCs/>
          <w:sz w:val="24"/>
          <w:szCs w:val="24"/>
        </w:rPr>
        <w:t>[</w:t>
      </w:r>
      <w:r w:rsidR="00F531B8" w:rsidRPr="00F531B8">
        <w:rPr>
          <w:rFonts w:ascii="Times New Roman" w:eastAsia="Times New Roman" w:hAnsi="Times New Roman" w:cs="AsterV"/>
          <w:iCs/>
          <w:sz w:val="24"/>
          <w:szCs w:val="24"/>
        </w:rPr>
        <w:t>(2A)</w:t>
      </w:r>
      <w:r w:rsidR="00F531B8" w:rsidRPr="00F531B8">
        <w:rPr>
          <w:rFonts w:ascii="Times New Roman" w:eastAsia="Times New Roman" w:hAnsi="Times New Roman" w:cs="AsterV"/>
          <w:sz w:val="24"/>
          <w:szCs w:val="24"/>
        </w:rPr>
        <w:t xml:space="preserve"> </w:t>
      </w:r>
      <w:r w:rsidR="00F531B8" w:rsidRPr="00F531B8">
        <w:rPr>
          <w:rFonts w:ascii="Times New Roman" w:eastAsia="Times New Roman" w:hAnsi="Times New Roman" w:cs="AsterV"/>
          <w:iCs/>
          <w:sz w:val="24"/>
          <w:szCs w:val="24"/>
        </w:rPr>
        <w:t>Where any other international transaction [other than an international transaction referred under sub-section (1)], comes to the notice of the Transfer Pricing Officer during the course of the proceedings before him, the provisions of this Chapter shall apply as if such other international transaction is an international transaction referred to him under sub-section (1)</w:t>
      </w:r>
      <w:r w:rsidR="00F531B8" w:rsidRPr="00F531B8">
        <w:rPr>
          <w:rFonts w:ascii="Times New Roman" w:eastAsia="Times New Roman" w:hAnsi="Times New Roman" w:cs="AsterV"/>
          <w:sz w:val="24"/>
          <w:szCs w:val="24"/>
        </w:rPr>
        <w:t>.</w:t>
      </w:r>
      <w:r w:rsidR="00F531B8" w:rsidRPr="00F531B8">
        <w:rPr>
          <w:rFonts w:ascii="Times New Roman" w:eastAsia="Times New Roman" w:hAnsi="Times New Roman" w:cs="AsterV"/>
          <w:b/>
          <w:bCs/>
          <w:sz w:val="24"/>
          <w:szCs w:val="24"/>
        </w:rPr>
        <w:t>]</w:t>
      </w:r>
    </w:p>
    <w:p w:rsidR="00F531B8" w:rsidRPr="00F531B8" w:rsidRDefault="00F531B8" w:rsidP="00F531B8">
      <w:pPr>
        <w:autoSpaceDE w:val="0"/>
        <w:autoSpaceDN w:val="0"/>
        <w:adjustRightInd w:val="0"/>
        <w:spacing w:before="100" w:beforeAutospacing="1" w:after="4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lastRenderedPageBreak/>
        <w:t xml:space="preserve">(3) On the date specified in the notice under sub-section (2), or as soon thereafter as may be, after hearing such evidence as the assessee may produce, including any information or documents referred to in sub-section (3) of </w:t>
      </w:r>
      <w:hyperlink r:id="rId33" w:tgtFrame="top" w:history="1">
        <w:r w:rsidRPr="00F531B8">
          <w:rPr>
            <w:rFonts w:ascii="Times New Roman" w:eastAsia="Times New Roman" w:hAnsi="Times New Roman" w:cs="AsterV"/>
            <w:color w:val="0000FF"/>
            <w:sz w:val="24"/>
            <w:szCs w:val="24"/>
            <w:u w:val="single"/>
          </w:rPr>
          <w:t>section 92D</w:t>
        </w:r>
      </w:hyperlink>
      <w:r w:rsidRPr="00F531B8">
        <w:rPr>
          <w:rFonts w:ascii="Times New Roman" w:eastAsia="Times New Roman" w:hAnsi="Times New Roman" w:cs="AsterV"/>
          <w:sz w:val="24"/>
          <w:szCs w:val="24"/>
        </w:rPr>
        <w:t xml:space="preserve"> and after considering such evidence as the Transfer Pricing Officer may require on any specified points and after taking into account all relevant materials which he has gathered, the Transfer Pricing Officer shall, by order in writing, determine the arm’s length price in relation to the international transaction in accordance with sub-section (3) of </w:t>
      </w:r>
      <w:hyperlink r:id="rId34" w:tgtFrame="top" w:history="1">
        <w:r w:rsidRPr="00F531B8">
          <w:rPr>
            <w:rFonts w:ascii="Times New Roman" w:eastAsia="Times New Roman" w:hAnsi="Times New Roman" w:cs="AsterV"/>
            <w:color w:val="0000FF"/>
            <w:sz w:val="24"/>
            <w:szCs w:val="24"/>
            <w:u w:val="single"/>
          </w:rPr>
          <w:t>section 92C</w:t>
        </w:r>
      </w:hyperlink>
      <w:r w:rsidRPr="00F531B8">
        <w:rPr>
          <w:rFonts w:ascii="Times New Roman" w:eastAsia="Times New Roman" w:hAnsi="Times New Roman" w:cs="AsterV"/>
          <w:sz w:val="24"/>
          <w:szCs w:val="24"/>
        </w:rPr>
        <w:t xml:space="preserve"> and send a copy of his order to the Assessing Officer and to the assessee.</w:t>
      </w:r>
    </w:p>
    <w:p w:rsidR="00F531B8" w:rsidRPr="00F531B8" w:rsidRDefault="003510C6" w:rsidP="00F531B8">
      <w:pPr>
        <w:autoSpaceDE w:val="0"/>
        <w:autoSpaceDN w:val="0"/>
        <w:adjustRightInd w:val="0"/>
        <w:spacing w:before="100" w:beforeAutospacing="1" w:after="60" w:line="240" w:lineRule="auto"/>
        <w:jc w:val="both"/>
        <w:rPr>
          <w:rFonts w:ascii="Times New Roman" w:eastAsia="Times New Roman" w:hAnsi="Times New Roman" w:cs="Times New Roman"/>
          <w:sz w:val="24"/>
          <w:szCs w:val="24"/>
        </w:rPr>
      </w:pPr>
      <w:hyperlink r:id="rId35" w:tgtFrame="middle" w:history="1">
        <w:r w:rsidR="00F531B8" w:rsidRPr="00F531B8">
          <w:rPr>
            <w:rFonts w:ascii="Times New Roman" w:eastAsia="Times New Roman" w:hAnsi="Times New Roman" w:cs="AsterV"/>
            <w:color w:val="0000FF"/>
            <w:sz w:val="24"/>
            <w:szCs w:val="24"/>
            <w:u w:val="single"/>
            <w:vertAlign w:val="superscript"/>
          </w:rPr>
          <w:t>90</w:t>
        </w:r>
      </w:hyperlink>
      <w:r w:rsidR="00F531B8" w:rsidRPr="00F531B8">
        <w:rPr>
          <w:rFonts w:ascii="Times New Roman" w:eastAsia="Times New Roman" w:hAnsi="Times New Roman" w:cs="AsterV"/>
          <w:sz w:val="24"/>
          <w:szCs w:val="24"/>
        </w:rPr>
        <w:t xml:space="preserve">[(3A) Where a reference was made under sub-section (1) before the 1st day of June, 2007 but the order under sub-section (3) has not been made by the Transfer Pricing Officer before the said date, or a reference under sub-section (1) is made on or after the 1st day of June, 2007, an order under sub-section (3) may be made at any time before sixty days prior to the date on which the period of limitation referred to in </w:t>
      </w:r>
      <w:hyperlink r:id="rId36" w:tgtFrame="top" w:history="1">
        <w:r w:rsidR="00F531B8" w:rsidRPr="00F531B8">
          <w:rPr>
            <w:rFonts w:ascii="Times New Roman" w:eastAsia="Times New Roman" w:hAnsi="Times New Roman" w:cs="AsterV"/>
            <w:color w:val="0000FF"/>
            <w:sz w:val="24"/>
            <w:szCs w:val="24"/>
            <w:u w:val="single"/>
          </w:rPr>
          <w:t>section 153</w:t>
        </w:r>
      </w:hyperlink>
      <w:r w:rsidR="00F531B8" w:rsidRPr="00F531B8">
        <w:rPr>
          <w:rFonts w:ascii="Times New Roman" w:eastAsia="Times New Roman" w:hAnsi="Times New Roman" w:cs="AsterV"/>
          <w:sz w:val="24"/>
          <w:szCs w:val="24"/>
        </w:rPr>
        <w:t xml:space="preserve">, or as the case may be, in </w:t>
      </w:r>
      <w:hyperlink r:id="rId37" w:tgtFrame="top" w:history="1">
        <w:r w:rsidR="00F531B8" w:rsidRPr="00F531B8">
          <w:rPr>
            <w:rFonts w:ascii="Times New Roman" w:eastAsia="Times New Roman" w:hAnsi="Times New Roman" w:cs="AsterV"/>
            <w:color w:val="0000FF"/>
            <w:sz w:val="24"/>
            <w:szCs w:val="24"/>
            <w:u w:val="single"/>
          </w:rPr>
          <w:t>section 153B</w:t>
        </w:r>
      </w:hyperlink>
      <w:r w:rsidR="00F531B8" w:rsidRPr="00F531B8">
        <w:rPr>
          <w:rFonts w:ascii="Times New Roman" w:eastAsia="Times New Roman" w:hAnsi="Times New Roman" w:cs="AsterV"/>
          <w:sz w:val="24"/>
          <w:szCs w:val="24"/>
        </w:rPr>
        <w:t xml:space="preserve"> for making the order of assessment or reassessment or recomputation or fresh assessment, as the case may be, expires.]</w:t>
      </w:r>
    </w:p>
    <w:p w:rsidR="00F531B8" w:rsidRPr="00F531B8" w:rsidRDefault="003510C6" w:rsidP="00F531B8">
      <w:pPr>
        <w:autoSpaceDE w:val="0"/>
        <w:autoSpaceDN w:val="0"/>
        <w:adjustRightInd w:val="0"/>
        <w:spacing w:before="100" w:beforeAutospacing="1" w:after="60" w:line="240" w:lineRule="auto"/>
        <w:jc w:val="both"/>
        <w:rPr>
          <w:rFonts w:ascii="Times New Roman" w:eastAsia="Times New Roman" w:hAnsi="Times New Roman" w:cs="Times New Roman"/>
          <w:sz w:val="24"/>
          <w:szCs w:val="24"/>
        </w:rPr>
      </w:pPr>
      <w:hyperlink r:id="rId38" w:tgtFrame="middle" w:history="1">
        <w:r w:rsidR="00F531B8" w:rsidRPr="00F531B8">
          <w:rPr>
            <w:rFonts w:ascii="Times New Roman" w:eastAsia="Times New Roman" w:hAnsi="Times New Roman" w:cs="AsterV"/>
            <w:color w:val="0000FF"/>
            <w:sz w:val="24"/>
            <w:szCs w:val="24"/>
            <w:u w:val="single"/>
            <w:vertAlign w:val="superscript"/>
          </w:rPr>
          <w:t>91</w:t>
        </w:r>
      </w:hyperlink>
      <w:r w:rsidR="00F531B8" w:rsidRPr="00F531B8">
        <w:rPr>
          <w:rFonts w:ascii="Times New Roman" w:eastAsia="Times New Roman" w:hAnsi="Times New Roman" w:cs="AsterV"/>
          <w:sz w:val="24"/>
          <w:szCs w:val="24"/>
        </w:rPr>
        <w:t xml:space="preserve">[(4) On receipt of the order under sub-section (3), the Assessing Officer shall proceed to compute the total income of the assessee under sub-section (4) of </w:t>
      </w:r>
      <w:hyperlink r:id="rId39" w:tgtFrame="top" w:history="1">
        <w:r w:rsidR="00F531B8" w:rsidRPr="00F531B8">
          <w:rPr>
            <w:rFonts w:ascii="Times New Roman" w:eastAsia="Times New Roman" w:hAnsi="Times New Roman" w:cs="AsterV"/>
            <w:color w:val="0000FF"/>
            <w:sz w:val="24"/>
            <w:szCs w:val="24"/>
            <w:u w:val="single"/>
          </w:rPr>
          <w:t>section 92C</w:t>
        </w:r>
      </w:hyperlink>
      <w:r w:rsidR="00F531B8" w:rsidRPr="00F531B8">
        <w:rPr>
          <w:rFonts w:ascii="Times New Roman" w:eastAsia="Times New Roman" w:hAnsi="Times New Roman" w:cs="AsterV"/>
          <w:sz w:val="24"/>
          <w:szCs w:val="24"/>
        </w:rPr>
        <w:t xml:space="preserve"> in conformity with the arm’s length price as so determined by the Transfer Pricing Officer.]</w:t>
      </w:r>
    </w:p>
    <w:p w:rsidR="00F531B8" w:rsidRPr="00F531B8" w:rsidRDefault="00F531B8" w:rsidP="00F531B8">
      <w:pPr>
        <w:autoSpaceDE w:val="0"/>
        <w:autoSpaceDN w:val="0"/>
        <w:adjustRightInd w:val="0"/>
        <w:spacing w:before="100" w:beforeAutospacing="1" w:after="4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 xml:space="preserve">(5) With a view to rectifying any mistake apparent from the record, the Transfer Pricing Officer may amend any order passed by him under sub-section (3), and the provisions of </w:t>
      </w:r>
      <w:hyperlink r:id="rId40" w:tgtFrame="top" w:history="1">
        <w:r w:rsidRPr="00F531B8">
          <w:rPr>
            <w:rFonts w:ascii="Times New Roman" w:eastAsia="Times New Roman" w:hAnsi="Times New Roman" w:cs="AsterV"/>
            <w:color w:val="0000FF"/>
            <w:sz w:val="24"/>
            <w:szCs w:val="24"/>
            <w:u w:val="single"/>
          </w:rPr>
          <w:t>section 154</w:t>
        </w:r>
      </w:hyperlink>
      <w:r w:rsidRPr="00F531B8">
        <w:rPr>
          <w:rFonts w:ascii="Times New Roman" w:eastAsia="Times New Roman" w:hAnsi="Times New Roman" w:cs="AsterV"/>
          <w:sz w:val="24"/>
          <w:szCs w:val="24"/>
        </w:rPr>
        <w:t xml:space="preserve"> shall, so far as may be, apply accordingly.</w:t>
      </w:r>
    </w:p>
    <w:p w:rsidR="00F531B8" w:rsidRPr="00F531B8" w:rsidRDefault="00F531B8" w:rsidP="00F531B8">
      <w:pPr>
        <w:autoSpaceDE w:val="0"/>
        <w:autoSpaceDN w:val="0"/>
        <w:adjustRightInd w:val="0"/>
        <w:spacing w:before="100" w:beforeAutospacing="1" w:after="4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(6) Where any amendment is made by the Transfer Pricing Officer under sub-section (5), he shall send a copy of his order to the Assessing Officer who shall thereafter proceed to amend the order of assessment in conformity with such order of the Transfer Pricing Officer.</w:t>
      </w:r>
    </w:p>
    <w:p w:rsidR="00F531B8" w:rsidRPr="00F531B8" w:rsidRDefault="00F531B8" w:rsidP="00F531B8">
      <w:pPr>
        <w:autoSpaceDE w:val="0"/>
        <w:autoSpaceDN w:val="0"/>
        <w:adjustRightInd w:val="0"/>
        <w:spacing w:before="100" w:beforeAutospacing="1" w:after="4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(7) The Transfer Pricing Officer may, for the purposes of determining the arm’s length price under this section, exercise all or any of the powers specified in clauses (</w:t>
      </w:r>
      <w:r w:rsidRPr="00F531B8">
        <w:rPr>
          <w:rFonts w:ascii="Times New Roman" w:eastAsia="Times New Roman" w:hAnsi="Times New Roman" w:cs="AsterV"/>
          <w:iCs/>
          <w:sz w:val="24"/>
          <w:szCs w:val="24"/>
        </w:rPr>
        <w:t>a</w:t>
      </w:r>
      <w:r w:rsidRPr="00F531B8">
        <w:rPr>
          <w:rFonts w:ascii="Times New Roman" w:eastAsia="Times New Roman" w:hAnsi="Times New Roman" w:cs="AsterV"/>
          <w:sz w:val="24"/>
          <w:szCs w:val="24"/>
        </w:rPr>
        <w:t>) to (</w:t>
      </w:r>
      <w:r w:rsidRPr="00F531B8">
        <w:rPr>
          <w:rFonts w:ascii="Times New Roman" w:eastAsia="Times New Roman" w:hAnsi="Times New Roman" w:cs="AsterV"/>
          <w:iCs/>
          <w:sz w:val="24"/>
          <w:szCs w:val="24"/>
        </w:rPr>
        <w:t>d</w:t>
      </w:r>
      <w:r w:rsidRPr="00F531B8">
        <w:rPr>
          <w:rFonts w:ascii="Times New Roman" w:eastAsia="Times New Roman" w:hAnsi="Times New Roman" w:cs="AsterV"/>
          <w:sz w:val="24"/>
          <w:szCs w:val="24"/>
        </w:rPr>
        <w:t xml:space="preserve">) of sub-section (1) of </w:t>
      </w:r>
      <w:hyperlink r:id="rId41" w:tgtFrame="top" w:history="1">
        <w:r w:rsidRPr="00F531B8">
          <w:rPr>
            <w:rFonts w:ascii="Times New Roman" w:eastAsia="Times New Roman" w:hAnsi="Times New Roman" w:cs="AsterV"/>
            <w:color w:val="0000FF"/>
            <w:sz w:val="24"/>
            <w:szCs w:val="24"/>
            <w:u w:val="single"/>
          </w:rPr>
          <w:t>section 131</w:t>
        </w:r>
      </w:hyperlink>
      <w:r w:rsidRPr="00F531B8">
        <w:rPr>
          <w:rFonts w:ascii="Times New Roman" w:eastAsia="Times New Roman" w:hAnsi="Times New Roman" w:cs="AsterV"/>
          <w:sz w:val="24"/>
          <w:szCs w:val="24"/>
        </w:rPr>
        <w:t xml:space="preserve"> or sub-section (6) of section 133 </w:t>
      </w:r>
      <w:hyperlink r:id="rId42" w:tgtFrame="middle" w:history="1">
        <w:r w:rsidRPr="00F531B8">
          <w:rPr>
            <w:rFonts w:ascii="Times New Roman" w:eastAsia="Times New Roman" w:hAnsi="Times New Roman" w:cs="AsterV"/>
            <w:color w:val="0000FF"/>
            <w:sz w:val="24"/>
            <w:szCs w:val="24"/>
            <w:u w:val="single"/>
            <w:vertAlign w:val="superscript"/>
          </w:rPr>
          <w:t>91a</w:t>
        </w:r>
      </w:hyperlink>
      <w:r w:rsidRPr="00F531B8">
        <w:rPr>
          <w:rFonts w:ascii="Times New Roman" w:eastAsia="Times New Roman" w:hAnsi="Times New Roman" w:cs="AsterV"/>
          <w:b/>
          <w:bCs/>
          <w:sz w:val="24"/>
          <w:szCs w:val="24"/>
        </w:rPr>
        <w:t>[</w:t>
      </w:r>
      <w:r w:rsidRPr="00F531B8">
        <w:rPr>
          <w:rFonts w:ascii="Times New Roman" w:eastAsia="Times New Roman" w:hAnsi="Times New Roman" w:cs="AsterV"/>
          <w:iCs/>
          <w:sz w:val="24"/>
          <w:szCs w:val="24"/>
        </w:rPr>
        <w:t xml:space="preserve">or </w:t>
      </w:r>
      <w:hyperlink r:id="rId43" w:tgtFrame="top" w:history="1">
        <w:r w:rsidRPr="00F531B8">
          <w:rPr>
            <w:rFonts w:ascii="Times New Roman" w:eastAsia="Times New Roman" w:hAnsi="Times New Roman" w:cs="AsterV"/>
            <w:iCs/>
            <w:color w:val="0000FF"/>
            <w:sz w:val="24"/>
            <w:szCs w:val="24"/>
            <w:u w:val="single"/>
          </w:rPr>
          <w:t>section 133A</w:t>
        </w:r>
      </w:hyperlink>
      <w:r w:rsidRPr="00F531B8">
        <w:rPr>
          <w:rFonts w:ascii="Times New Roman" w:eastAsia="Times New Roman" w:hAnsi="Times New Roman" w:cs="AsterV"/>
          <w:b/>
          <w:bCs/>
          <w:sz w:val="24"/>
          <w:szCs w:val="24"/>
        </w:rPr>
        <w:t>]</w:t>
      </w:r>
      <w:r w:rsidRPr="00F531B8">
        <w:rPr>
          <w:rFonts w:ascii="Times New Roman" w:eastAsia="Times New Roman" w:hAnsi="Times New Roman" w:cs="AsterV"/>
          <w:sz w:val="24"/>
          <w:szCs w:val="24"/>
        </w:rPr>
        <w:t>.</w:t>
      </w:r>
    </w:p>
    <w:p w:rsidR="00F531B8" w:rsidRPr="00F531B8" w:rsidRDefault="00F531B8" w:rsidP="00F531B8">
      <w:pPr>
        <w:autoSpaceDE w:val="0"/>
        <w:autoSpaceDN w:val="0"/>
        <w:adjustRightInd w:val="0"/>
        <w:spacing w:before="100" w:beforeAutospacing="1" w:after="4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iCs/>
          <w:sz w:val="24"/>
          <w:szCs w:val="24"/>
        </w:rPr>
        <w:t>Explanation.—</w:t>
      </w:r>
      <w:r w:rsidRPr="00F531B8">
        <w:rPr>
          <w:rFonts w:ascii="Times New Roman" w:eastAsia="Times New Roman" w:hAnsi="Times New Roman" w:cs="AsterV"/>
          <w:sz w:val="24"/>
          <w:szCs w:val="24"/>
        </w:rPr>
        <w:t>For the purposes of this section, “Transfer Pricing Officer” means a Joint Commissioner or Deputy Commissioner or Assistant Commissioner authorised by the Board</w:t>
      </w:r>
      <w:hyperlink r:id="rId44" w:tgtFrame="middle" w:history="1">
        <w:r w:rsidRPr="00F531B8">
          <w:rPr>
            <w:rFonts w:ascii="Times New Roman" w:eastAsia="Times New Roman" w:hAnsi="Times New Roman" w:cs="AsterV"/>
            <w:color w:val="0000FF"/>
            <w:sz w:val="24"/>
            <w:szCs w:val="24"/>
            <w:u w:val="single"/>
            <w:vertAlign w:val="superscript"/>
          </w:rPr>
          <w:t>92</w:t>
        </w:r>
      </w:hyperlink>
      <w:r w:rsidRPr="00F531B8">
        <w:rPr>
          <w:rFonts w:ascii="Times New Roman" w:eastAsia="Times New Roman" w:hAnsi="Times New Roman" w:cs="AsterV"/>
          <w:sz w:val="24"/>
          <w:szCs w:val="24"/>
        </w:rPr>
        <w:t xml:space="preserve"> to perform all or any of the functions of an Assessing Officer specified in </w:t>
      </w:r>
      <w:hyperlink r:id="rId45" w:tgtFrame="top" w:history="1">
        <w:r w:rsidRPr="00F531B8">
          <w:rPr>
            <w:rFonts w:ascii="Times New Roman" w:eastAsia="Times New Roman" w:hAnsi="Times New Roman" w:cs="AsterV"/>
            <w:color w:val="0000FF"/>
            <w:sz w:val="24"/>
            <w:szCs w:val="24"/>
            <w:u w:val="single"/>
          </w:rPr>
          <w:t>sections 92C</w:t>
        </w:r>
      </w:hyperlink>
      <w:r w:rsidRPr="00F531B8">
        <w:rPr>
          <w:rFonts w:ascii="Times New Roman" w:eastAsia="Times New Roman" w:hAnsi="Times New Roman" w:cs="AsterV"/>
          <w:sz w:val="24"/>
          <w:szCs w:val="24"/>
        </w:rPr>
        <w:t xml:space="preserve"> and </w:t>
      </w:r>
      <w:hyperlink r:id="rId46" w:tgtFrame="top" w:history="1">
        <w:r w:rsidRPr="00F531B8">
          <w:rPr>
            <w:rFonts w:ascii="Times New Roman" w:eastAsia="Times New Roman" w:hAnsi="Times New Roman" w:cs="AsterV"/>
            <w:color w:val="0000FF"/>
            <w:sz w:val="24"/>
            <w:szCs w:val="24"/>
            <w:u w:val="single"/>
          </w:rPr>
          <w:t>92D</w:t>
        </w:r>
      </w:hyperlink>
      <w:r w:rsidRPr="00F531B8">
        <w:rPr>
          <w:rFonts w:ascii="Times New Roman" w:eastAsia="Times New Roman" w:hAnsi="Times New Roman" w:cs="AsterV"/>
          <w:sz w:val="24"/>
          <w:szCs w:val="24"/>
        </w:rPr>
        <w:t xml:space="preserve"> in respect of any person or class of persons.]</w:t>
      </w:r>
    </w:p>
    <w:p w:rsidR="00F531B8" w:rsidRPr="00F531B8" w:rsidRDefault="003510C6" w:rsidP="00F531B8">
      <w:pPr>
        <w:autoSpaceDE w:val="0"/>
        <w:autoSpaceDN w:val="0"/>
        <w:adjustRightInd w:val="0"/>
        <w:spacing w:before="100" w:beforeAutospacing="1" w:after="80" w:line="240" w:lineRule="auto"/>
        <w:jc w:val="both"/>
        <w:rPr>
          <w:rFonts w:ascii="Times New Roman" w:eastAsia="Times New Roman" w:hAnsi="Times New Roman" w:cs="Times New Roman"/>
          <w:sz w:val="24"/>
          <w:szCs w:val="24"/>
        </w:rPr>
      </w:pPr>
      <w:hyperlink r:id="rId47" w:tgtFrame="middle" w:history="1">
        <w:r w:rsidR="00F531B8" w:rsidRPr="00F531B8">
          <w:rPr>
            <w:rFonts w:ascii="Times New Roman" w:eastAsia="Times New Roman" w:hAnsi="Times New Roman" w:cs="AsterV"/>
            <w:color w:val="0000FF"/>
            <w:sz w:val="24"/>
            <w:szCs w:val="24"/>
            <w:u w:val="single"/>
            <w:vertAlign w:val="superscript"/>
          </w:rPr>
          <w:t>93</w:t>
        </w:r>
      </w:hyperlink>
      <w:r w:rsidR="00F531B8" w:rsidRPr="00F531B8">
        <w:rPr>
          <w:rFonts w:ascii="Times New Roman" w:eastAsia="Times New Roman" w:hAnsi="Times New Roman" w:cs="AsterV"/>
          <w:sz w:val="24"/>
          <w:szCs w:val="24"/>
        </w:rPr>
        <w:t>[</w:t>
      </w:r>
      <w:r w:rsidR="00F531B8" w:rsidRPr="00F531B8">
        <w:rPr>
          <w:rFonts w:ascii="Times New Roman" w:eastAsia="Times New Roman" w:hAnsi="Times New Roman" w:cs="AsterV"/>
          <w:b/>
          <w:bCs/>
          <w:sz w:val="24"/>
          <w:szCs w:val="24"/>
        </w:rPr>
        <w:t>Power of Board to make safe harbour rules.</w:t>
      </w:r>
    </w:p>
    <w:p w:rsidR="00F531B8" w:rsidRPr="00F531B8" w:rsidRDefault="00F531B8" w:rsidP="00F531B8">
      <w:pPr>
        <w:tabs>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 w:val="left" w:pos="4920"/>
          <w:tab w:val="left" w:pos="5040"/>
          <w:tab w:val="left" w:pos="5160"/>
        </w:tabs>
        <w:autoSpaceDE w:val="0"/>
        <w:autoSpaceDN w:val="0"/>
        <w:adjustRightInd w:val="0"/>
        <w:spacing w:before="100" w:beforeAutospacing="1" w:after="6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b/>
          <w:bCs/>
          <w:sz w:val="24"/>
          <w:szCs w:val="24"/>
        </w:rPr>
        <w:t xml:space="preserve">92CB. </w:t>
      </w:r>
      <w:r w:rsidRPr="00F531B8">
        <w:rPr>
          <w:rFonts w:ascii="Times New Roman" w:eastAsia="Times New Roman" w:hAnsi="Times New Roman" w:cs="AsterV"/>
          <w:sz w:val="24"/>
          <w:szCs w:val="24"/>
        </w:rPr>
        <w:t xml:space="preserve">(1) The determination of arm’s length price under </w:t>
      </w:r>
      <w:hyperlink r:id="rId48" w:tgtFrame="top" w:history="1">
        <w:r w:rsidRPr="00F531B8">
          <w:rPr>
            <w:rFonts w:ascii="Times New Roman" w:eastAsia="Times New Roman" w:hAnsi="Times New Roman" w:cs="AsterV"/>
            <w:color w:val="0000FF"/>
            <w:sz w:val="24"/>
            <w:szCs w:val="24"/>
            <w:u w:val="single"/>
          </w:rPr>
          <w:t>section 92C</w:t>
        </w:r>
      </w:hyperlink>
      <w:r w:rsidRPr="00F531B8">
        <w:rPr>
          <w:rFonts w:ascii="Times New Roman" w:eastAsia="Times New Roman" w:hAnsi="Times New Roman" w:cs="AsterV"/>
          <w:sz w:val="24"/>
          <w:szCs w:val="24"/>
        </w:rPr>
        <w:t xml:space="preserve"> or </w:t>
      </w:r>
      <w:hyperlink r:id="rId49" w:tgtFrame="top" w:history="1">
        <w:r w:rsidRPr="00F531B8">
          <w:rPr>
            <w:rFonts w:ascii="Times New Roman" w:eastAsia="Times New Roman" w:hAnsi="Times New Roman" w:cs="AsterV"/>
            <w:color w:val="0000FF"/>
            <w:sz w:val="24"/>
            <w:szCs w:val="24"/>
            <w:u w:val="single"/>
          </w:rPr>
          <w:t>section 92CA</w:t>
        </w:r>
      </w:hyperlink>
      <w:r w:rsidRPr="00F531B8">
        <w:rPr>
          <w:rFonts w:ascii="Times New Roman" w:eastAsia="Times New Roman" w:hAnsi="Times New Roman" w:cs="AsterV"/>
          <w:sz w:val="24"/>
          <w:szCs w:val="24"/>
        </w:rPr>
        <w:t xml:space="preserve"> shall be subject to safe harbour rules.</w:t>
      </w:r>
    </w:p>
    <w:p w:rsidR="00F531B8" w:rsidRPr="00F531B8" w:rsidRDefault="00F531B8" w:rsidP="00F531B8">
      <w:pPr>
        <w:autoSpaceDE w:val="0"/>
        <w:autoSpaceDN w:val="0"/>
        <w:adjustRightInd w:val="0"/>
        <w:spacing w:before="100" w:beforeAutospacing="1" w:after="6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(2) The Board may, for the purposes of sub-section (1), make rules for safe harbour.</w:t>
      </w:r>
    </w:p>
    <w:p w:rsidR="00F531B8" w:rsidRPr="00F531B8" w:rsidRDefault="00F531B8" w:rsidP="00F531B8">
      <w:pPr>
        <w:autoSpaceDE w:val="0"/>
        <w:autoSpaceDN w:val="0"/>
        <w:adjustRightInd w:val="0"/>
        <w:spacing w:before="100" w:beforeAutospacing="1" w:after="6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iCs/>
          <w:sz w:val="24"/>
          <w:szCs w:val="24"/>
        </w:rPr>
        <w:lastRenderedPageBreak/>
        <w:t>Explanation.</w:t>
      </w:r>
      <w:r w:rsidRPr="00F531B8">
        <w:rPr>
          <w:rFonts w:ascii="Times New Roman" w:eastAsia="Times New Roman" w:hAnsi="Times New Roman" w:cs="AsterV"/>
          <w:sz w:val="24"/>
          <w:szCs w:val="24"/>
        </w:rPr>
        <w:t>—For the purposes of this section, “safe harbour” means circumstances in which the income-tax authorities shall accept the transfer price declared by the assessee.]</w:t>
      </w:r>
    </w:p>
    <w:p w:rsidR="00F531B8" w:rsidRPr="00F531B8" w:rsidRDefault="00F531B8" w:rsidP="00F531B8">
      <w:pPr>
        <w:tabs>
          <w:tab w:val="right" w:pos="360"/>
          <w:tab w:val="left" w:pos="480"/>
        </w:tabs>
        <w:autoSpaceDE w:val="0"/>
        <w:autoSpaceDN w:val="0"/>
        <w:adjustRightInd w:val="0"/>
        <w:spacing w:before="100" w:beforeAutospacing="1" w:after="4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b/>
          <w:bCs/>
          <w:sz w:val="24"/>
          <w:szCs w:val="24"/>
        </w:rPr>
        <w:t>Maintenance and keeping of information and document by persons entering into an international transaction.</w:t>
      </w:r>
    </w:p>
    <w:p w:rsidR="00F531B8" w:rsidRPr="00F531B8" w:rsidRDefault="00F531B8" w:rsidP="00F531B8">
      <w:pPr>
        <w:tabs>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 w:val="left" w:pos="4920"/>
          <w:tab w:val="left" w:pos="5040"/>
          <w:tab w:val="left" w:pos="5160"/>
        </w:tabs>
        <w:autoSpaceDE w:val="0"/>
        <w:autoSpaceDN w:val="0"/>
        <w:adjustRightInd w:val="0"/>
        <w:spacing w:before="100" w:beforeAutospacing="1" w:after="4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b/>
          <w:bCs/>
          <w:sz w:val="24"/>
          <w:szCs w:val="24"/>
        </w:rPr>
        <w:t xml:space="preserve">92D. </w:t>
      </w:r>
      <w:r w:rsidRPr="00F531B8">
        <w:rPr>
          <w:rFonts w:ascii="Times New Roman" w:eastAsia="Times New Roman" w:hAnsi="Times New Roman" w:cs="AsterV"/>
          <w:sz w:val="24"/>
          <w:szCs w:val="24"/>
        </w:rPr>
        <w:t>(1) Every person who has entered into an international transaction shall keep and maintain such information and document in respect thereof, as may be prescribed</w:t>
      </w:r>
      <w:hyperlink r:id="rId50" w:tgtFrame="middle" w:history="1">
        <w:r w:rsidRPr="00F531B8">
          <w:rPr>
            <w:rFonts w:ascii="Times New Roman" w:eastAsia="Times New Roman" w:hAnsi="Times New Roman" w:cs="AsterV"/>
            <w:color w:val="0000FF"/>
            <w:sz w:val="24"/>
            <w:szCs w:val="24"/>
            <w:u w:val="single"/>
            <w:vertAlign w:val="superscript"/>
          </w:rPr>
          <w:t>94</w:t>
        </w:r>
      </w:hyperlink>
      <w:r w:rsidRPr="00F531B8">
        <w:rPr>
          <w:rFonts w:ascii="Times New Roman" w:eastAsia="Times New Roman" w:hAnsi="Times New Roman" w:cs="AsterV"/>
          <w:sz w:val="24"/>
          <w:szCs w:val="24"/>
        </w:rPr>
        <w:t>.</w:t>
      </w:r>
    </w:p>
    <w:p w:rsidR="00F531B8" w:rsidRPr="00F531B8" w:rsidRDefault="00F531B8" w:rsidP="00F531B8">
      <w:pPr>
        <w:tabs>
          <w:tab w:val="right" w:pos="360"/>
          <w:tab w:val="left" w:pos="480"/>
        </w:tabs>
        <w:autoSpaceDE w:val="0"/>
        <w:autoSpaceDN w:val="0"/>
        <w:adjustRightInd w:val="0"/>
        <w:spacing w:before="100" w:beforeAutospacing="1" w:after="6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(2) Without prejudice to the provisions contained in sub-section (1), the Board may prescribe the period for which the information and document shall be kept and maintained under that sub-section.</w:t>
      </w:r>
    </w:p>
    <w:p w:rsidR="00F531B8" w:rsidRPr="00F531B8" w:rsidRDefault="00F531B8" w:rsidP="00F531B8">
      <w:pPr>
        <w:tabs>
          <w:tab w:val="right" w:pos="360"/>
          <w:tab w:val="left" w:pos="480"/>
        </w:tabs>
        <w:autoSpaceDE w:val="0"/>
        <w:autoSpaceDN w:val="0"/>
        <w:adjustRightInd w:val="0"/>
        <w:spacing w:before="100" w:beforeAutospacing="1" w:after="6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(3) The Assessing Officer or the Commissioner (Appeals) may, in the course of any proceeding under this Act, require any person who has entered into an international transaction to furnish any information or document in respect thereof, as may be prescribed under sub-section (1), within a period of thirty days from the date of receipt of a notice issued in this regard :</w:t>
      </w:r>
    </w:p>
    <w:p w:rsidR="00F531B8" w:rsidRPr="00F531B8" w:rsidRDefault="00F531B8" w:rsidP="00F531B8">
      <w:pPr>
        <w:tabs>
          <w:tab w:val="right" w:pos="360"/>
          <w:tab w:val="left" w:pos="480"/>
        </w:tabs>
        <w:autoSpaceDE w:val="0"/>
        <w:autoSpaceDN w:val="0"/>
        <w:adjustRightInd w:val="0"/>
        <w:spacing w:before="100" w:beforeAutospacing="1" w:after="6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b/>
          <w:bCs/>
          <w:sz w:val="24"/>
          <w:szCs w:val="24"/>
        </w:rPr>
        <w:t>Provided</w:t>
      </w:r>
      <w:r w:rsidRPr="00F531B8">
        <w:rPr>
          <w:rFonts w:ascii="Times New Roman" w:eastAsia="Times New Roman" w:hAnsi="Times New Roman" w:cs="AsterV"/>
          <w:sz w:val="24"/>
          <w:szCs w:val="24"/>
        </w:rPr>
        <w:t xml:space="preserve"> that the Assessing Officer or the Commissioner (Appeals) may, on an application made by such person, extend the period of thirty days by a further period not exceeding thirty days. </w:t>
      </w:r>
    </w:p>
    <w:p w:rsidR="00F531B8" w:rsidRPr="00F531B8" w:rsidRDefault="00F531B8" w:rsidP="00F531B8">
      <w:pPr>
        <w:tabs>
          <w:tab w:val="right" w:pos="360"/>
          <w:tab w:val="left" w:pos="480"/>
        </w:tabs>
        <w:autoSpaceDE w:val="0"/>
        <w:autoSpaceDN w:val="0"/>
        <w:adjustRightInd w:val="0"/>
        <w:spacing w:before="100" w:beforeAutospacing="1" w:after="6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b/>
          <w:bCs/>
          <w:sz w:val="24"/>
          <w:szCs w:val="24"/>
        </w:rPr>
        <w:t>Report from an accountant to be furnished by persons entering into international transaction.</w:t>
      </w:r>
    </w:p>
    <w:p w:rsidR="00F531B8" w:rsidRPr="00F531B8" w:rsidRDefault="00F531B8" w:rsidP="00F531B8">
      <w:pPr>
        <w:tabs>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 w:val="left" w:pos="4920"/>
          <w:tab w:val="left" w:pos="5040"/>
          <w:tab w:val="left" w:pos="5160"/>
        </w:tabs>
        <w:autoSpaceDE w:val="0"/>
        <w:autoSpaceDN w:val="0"/>
        <w:adjustRightInd w:val="0"/>
        <w:spacing w:before="100" w:beforeAutospacing="1" w:after="6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b/>
          <w:bCs/>
          <w:sz w:val="24"/>
          <w:szCs w:val="24"/>
        </w:rPr>
        <w:t xml:space="preserve">92E. </w:t>
      </w:r>
      <w:r w:rsidRPr="00F531B8">
        <w:rPr>
          <w:rFonts w:ascii="Times New Roman" w:eastAsia="Times New Roman" w:hAnsi="Times New Roman" w:cs="AsterV"/>
          <w:sz w:val="24"/>
          <w:szCs w:val="24"/>
        </w:rPr>
        <w:t>Every person who has entered into an international transaction during a previous year shall obtain a report from an accountant and furnish such report on or before the specified date in the prescribed form duly signed and verified in the prescribed manner by such accountant and setting forth such particulars as may be prescribed</w:t>
      </w:r>
      <w:hyperlink r:id="rId51" w:tgtFrame="middle" w:history="1">
        <w:r w:rsidRPr="00F531B8">
          <w:rPr>
            <w:rFonts w:ascii="Times New Roman" w:eastAsia="Times New Roman" w:hAnsi="Times New Roman" w:cs="AsterV"/>
            <w:color w:val="0000FF"/>
            <w:sz w:val="24"/>
            <w:szCs w:val="24"/>
            <w:u w:val="single"/>
            <w:vertAlign w:val="superscript"/>
          </w:rPr>
          <w:t>95</w:t>
        </w:r>
      </w:hyperlink>
      <w:r w:rsidRPr="00F531B8">
        <w:rPr>
          <w:rFonts w:ascii="Times New Roman" w:eastAsia="Times New Roman" w:hAnsi="Times New Roman" w:cs="AsterV"/>
          <w:sz w:val="24"/>
          <w:szCs w:val="24"/>
        </w:rPr>
        <w:t>.</w:t>
      </w:r>
    </w:p>
    <w:p w:rsidR="00F531B8" w:rsidRPr="00F531B8" w:rsidRDefault="00F531B8" w:rsidP="00F531B8">
      <w:pPr>
        <w:tabs>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 w:val="left" w:pos="4920"/>
          <w:tab w:val="left" w:pos="5040"/>
          <w:tab w:val="left" w:pos="5160"/>
        </w:tabs>
        <w:autoSpaceDE w:val="0"/>
        <w:autoSpaceDN w:val="0"/>
        <w:adjustRightInd w:val="0"/>
        <w:spacing w:before="100" w:beforeAutospacing="1" w:after="6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b/>
          <w:bCs/>
          <w:sz w:val="24"/>
          <w:szCs w:val="24"/>
        </w:rPr>
        <w:t>Definitions of certain terms relevant to computation of arm’s length price, etc.</w:t>
      </w:r>
    </w:p>
    <w:p w:rsidR="00F531B8" w:rsidRPr="00F531B8" w:rsidRDefault="00F531B8" w:rsidP="00F531B8">
      <w:pPr>
        <w:tabs>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 w:val="left" w:pos="4920"/>
          <w:tab w:val="left" w:pos="5040"/>
          <w:tab w:val="left" w:pos="5160"/>
        </w:tabs>
        <w:autoSpaceDE w:val="0"/>
        <w:autoSpaceDN w:val="0"/>
        <w:adjustRightInd w:val="0"/>
        <w:spacing w:before="100" w:beforeAutospacing="1" w:after="60" w:line="240" w:lineRule="auto"/>
        <w:jc w:val="both"/>
        <w:rPr>
          <w:rFonts w:ascii="Times New Roman" w:eastAsia="Times New Roman" w:hAnsi="Times New Roman" w:cs="Times New Roman"/>
          <w:sz w:val="24"/>
          <w:szCs w:val="24"/>
        </w:rPr>
      </w:pPr>
      <w:r w:rsidRPr="00F531B8">
        <w:rPr>
          <w:rFonts w:ascii="Times New Roman" w:eastAsia="Times New Roman" w:hAnsi="Times New Roman" w:cs="AsterV"/>
          <w:b/>
          <w:bCs/>
          <w:sz w:val="24"/>
          <w:szCs w:val="24"/>
        </w:rPr>
        <w:t xml:space="preserve">92F. </w:t>
      </w:r>
      <w:r w:rsidRPr="00F531B8">
        <w:rPr>
          <w:rFonts w:ascii="Times New Roman" w:eastAsia="Times New Roman" w:hAnsi="Times New Roman" w:cs="AsterV"/>
          <w:sz w:val="24"/>
          <w:szCs w:val="24"/>
        </w:rPr>
        <w:t xml:space="preserve">In </w:t>
      </w:r>
      <w:hyperlink r:id="rId52" w:tgtFrame="top" w:history="1">
        <w:r w:rsidRPr="00F531B8">
          <w:rPr>
            <w:rFonts w:ascii="Times New Roman" w:eastAsia="Times New Roman" w:hAnsi="Times New Roman" w:cs="AsterV"/>
            <w:color w:val="0000FF"/>
            <w:sz w:val="24"/>
            <w:szCs w:val="24"/>
            <w:u w:val="single"/>
          </w:rPr>
          <w:t>sections 92</w:t>
        </w:r>
      </w:hyperlink>
      <w:r w:rsidRPr="00F531B8">
        <w:rPr>
          <w:rFonts w:ascii="Times New Roman" w:eastAsia="Times New Roman" w:hAnsi="Times New Roman" w:cs="AsterV"/>
          <w:sz w:val="24"/>
          <w:szCs w:val="24"/>
        </w:rPr>
        <w:t xml:space="preserve">, </w:t>
      </w:r>
      <w:hyperlink r:id="rId53" w:tgtFrame="top" w:history="1">
        <w:r w:rsidRPr="00F531B8">
          <w:rPr>
            <w:rFonts w:ascii="Times New Roman" w:eastAsia="Times New Roman" w:hAnsi="Times New Roman" w:cs="AsterV"/>
            <w:color w:val="0000FF"/>
            <w:sz w:val="24"/>
            <w:szCs w:val="24"/>
            <w:u w:val="single"/>
          </w:rPr>
          <w:t>92A</w:t>
        </w:r>
      </w:hyperlink>
      <w:r w:rsidRPr="00F531B8">
        <w:rPr>
          <w:rFonts w:ascii="Times New Roman" w:eastAsia="Times New Roman" w:hAnsi="Times New Roman" w:cs="AsterV"/>
          <w:sz w:val="24"/>
          <w:szCs w:val="24"/>
        </w:rPr>
        <w:t xml:space="preserve">, </w:t>
      </w:r>
      <w:hyperlink r:id="rId54" w:tgtFrame="top" w:history="1">
        <w:r w:rsidRPr="00F531B8">
          <w:rPr>
            <w:rFonts w:ascii="Times New Roman" w:eastAsia="Times New Roman" w:hAnsi="Times New Roman" w:cs="AsterV"/>
            <w:color w:val="0000FF"/>
            <w:sz w:val="24"/>
            <w:szCs w:val="24"/>
            <w:u w:val="single"/>
          </w:rPr>
          <w:t>92B</w:t>
        </w:r>
      </w:hyperlink>
      <w:r w:rsidRPr="00F531B8">
        <w:rPr>
          <w:rFonts w:ascii="Times New Roman" w:eastAsia="Times New Roman" w:hAnsi="Times New Roman" w:cs="AsterV"/>
          <w:sz w:val="24"/>
          <w:szCs w:val="24"/>
        </w:rPr>
        <w:t xml:space="preserve">, </w:t>
      </w:r>
      <w:hyperlink r:id="rId55" w:tgtFrame="top" w:history="1">
        <w:r w:rsidRPr="00F531B8">
          <w:rPr>
            <w:rFonts w:ascii="Times New Roman" w:eastAsia="Times New Roman" w:hAnsi="Times New Roman" w:cs="AsterV"/>
            <w:color w:val="0000FF"/>
            <w:sz w:val="24"/>
            <w:szCs w:val="24"/>
            <w:u w:val="single"/>
          </w:rPr>
          <w:t>92C</w:t>
        </w:r>
      </w:hyperlink>
      <w:r w:rsidRPr="00F531B8">
        <w:rPr>
          <w:rFonts w:ascii="Times New Roman" w:eastAsia="Times New Roman" w:hAnsi="Times New Roman" w:cs="AsterV"/>
          <w:sz w:val="24"/>
          <w:szCs w:val="24"/>
        </w:rPr>
        <w:t xml:space="preserve">, </w:t>
      </w:r>
      <w:hyperlink r:id="rId56" w:tgtFrame="top" w:history="1">
        <w:r w:rsidRPr="00F531B8">
          <w:rPr>
            <w:rFonts w:ascii="Times New Roman" w:eastAsia="Times New Roman" w:hAnsi="Times New Roman" w:cs="AsterV"/>
            <w:color w:val="0000FF"/>
            <w:sz w:val="24"/>
            <w:szCs w:val="24"/>
            <w:u w:val="single"/>
          </w:rPr>
          <w:t>92D</w:t>
        </w:r>
      </w:hyperlink>
      <w:r w:rsidRPr="00F531B8">
        <w:rPr>
          <w:rFonts w:ascii="Times New Roman" w:eastAsia="Times New Roman" w:hAnsi="Times New Roman" w:cs="AsterV"/>
          <w:sz w:val="24"/>
          <w:szCs w:val="24"/>
        </w:rPr>
        <w:t xml:space="preserve"> and </w:t>
      </w:r>
      <w:hyperlink r:id="rId57" w:tgtFrame="top" w:history="1">
        <w:r w:rsidRPr="00F531B8">
          <w:rPr>
            <w:rFonts w:ascii="Times New Roman" w:eastAsia="Times New Roman" w:hAnsi="Times New Roman" w:cs="AsterV"/>
            <w:color w:val="0000FF"/>
            <w:sz w:val="24"/>
            <w:szCs w:val="24"/>
            <w:u w:val="single"/>
          </w:rPr>
          <w:t>92E</w:t>
        </w:r>
      </w:hyperlink>
      <w:r w:rsidRPr="00F531B8">
        <w:rPr>
          <w:rFonts w:ascii="Times New Roman" w:eastAsia="Times New Roman" w:hAnsi="Times New Roman" w:cs="AsterV"/>
          <w:sz w:val="24"/>
          <w:szCs w:val="24"/>
        </w:rPr>
        <w:t>, unless the context otherwise requires,—</w:t>
      </w:r>
    </w:p>
    <w:p w:rsidR="00F531B8" w:rsidRPr="00F531B8" w:rsidRDefault="00F531B8" w:rsidP="00F531B8">
      <w:pPr>
        <w:tabs>
          <w:tab w:val="right" w:pos="840"/>
          <w:tab w:val="left" w:pos="960"/>
        </w:tabs>
        <w:autoSpaceDE w:val="0"/>
        <w:autoSpaceDN w:val="0"/>
        <w:adjustRightInd w:val="0"/>
        <w:spacing w:after="6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i</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 xml:space="preserve">“accountant” shall have the same meaning as in the </w:t>
      </w:r>
      <w:r w:rsidRPr="00F531B8">
        <w:rPr>
          <w:rFonts w:ascii="Times New Roman" w:eastAsia="Times New Roman" w:hAnsi="Times New Roman" w:cs="AsterV"/>
          <w:iCs/>
          <w:sz w:val="24"/>
          <w:szCs w:val="24"/>
        </w:rPr>
        <w:t>Explanation</w:t>
      </w:r>
      <w:r w:rsidRPr="00F531B8">
        <w:rPr>
          <w:rFonts w:ascii="Times New Roman" w:eastAsia="Times New Roman" w:hAnsi="Times New Roman" w:cs="AsterV"/>
          <w:sz w:val="24"/>
          <w:szCs w:val="24"/>
        </w:rPr>
        <w:t xml:space="preserve"> below sub-section (2) of </w:t>
      </w:r>
      <w:hyperlink r:id="rId58" w:tgtFrame="top" w:history="1">
        <w:r w:rsidRPr="00F531B8">
          <w:rPr>
            <w:rFonts w:ascii="Times New Roman" w:eastAsia="Times New Roman" w:hAnsi="Times New Roman" w:cs="AsterV"/>
            <w:color w:val="0000FF"/>
            <w:sz w:val="24"/>
            <w:szCs w:val="24"/>
            <w:u w:val="single"/>
          </w:rPr>
          <w:t>section 288</w:t>
        </w:r>
      </w:hyperlink>
      <w:r w:rsidRPr="00F531B8">
        <w:rPr>
          <w:rFonts w:ascii="Times New Roman" w:eastAsia="Times New Roman" w:hAnsi="Times New Roman" w:cs="AsterV"/>
          <w:sz w:val="24"/>
          <w:szCs w:val="24"/>
        </w:rPr>
        <w:t>;</w:t>
      </w:r>
    </w:p>
    <w:p w:rsidR="00F531B8" w:rsidRPr="00F531B8" w:rsidRDefault="00F531B8" w:rsidP="00F531B8">
      <w:pPr>
        <w:tabs>
          <w:tab w:val="right" w:pos="840"/>
          <w:tab w:val="left" w:pos="960"/>
        </w:tabs>
        <w:autoSpaceDE w:val="0"/>
        <w:autoSpaceDN w:val="0"/>
        <w:adjustRightInd w:val="0"/>
        <w:spacing w:after="6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ii</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“arm’s length price” means a price which is applied or proposed to be applied in a transaction between persons other than associated enterprises, in uncontrolled conditions;</w:t>
      </w:r>
    </w:p>
    <w:p w:rsidR="00F531B8" w:rsidRPr="00F531B8" w:rsidRDefault="00F531B8" w:rsidP="00F531B8">
      <w:pPr>
        <w:tabs>
          <w:tab w:val="right" w:pos="840"/>
          <w:tab w:val="left" w:pos="960"/>
        </w:tabs>
        <w:autoSpaceDE w:val="0"/>
        <w:autoSpaceDN w:val="0"/>
        <w:adjustRightInd w:val="0"/>
        <w:spacing w:after="6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iii</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 xml:space="preserve">“enterprise” means a person (including a permanent establishment of such person) who is, or has been, or is proposed to be, engaged in any activity, relating to the production, storage, supply, distribution, acquisition or control of articles or goods, or know-how, patents, copyrights, trade-marks, licences, franchises or any other business or commercial rights of similar nature, or any data, documentation, drawing or specification relating to any patent, invention, model, design, secret formula or process, of which the other enterprise is the owner or in respect of which the other enterprise has exclusive rights, or the provision of services of any kind, </w:t>
      </w:r>
      <w:hyperlink r:id="rId59" w:tgtFrame="middle" w:history="1">
        <w:r w:rsidRPr="00F531B8">
          <w:rPr>
            <w:rFonts w:ascii="Times New Roman" w:eastAsia="Times New Roman" w:hAnsi="Times New Roman" w:cs="AsterV"/>
            <w:color w:val="0000FF"/>
            <w:sz w:val="24"/>
            <w:szCs w:val="24"/>
            <w:u w:val="single"/>
            <w:vertAlign w:val="superscript"/>
          </w:rPr>
          <w:t>96</w:t>
        </w:r>
      </w:hyperlink>
      <w:r w:rsidRPr="00F531B8">
        <w:rPr>
          <w:rFonts w:ascii="Times New Roman" w:eastAsia="Times New Roman" w:hAnsi="Times New Roman" w:cs="AsterV"/>
          <w:sz w:val="24"/>
          <w:szCs w:val="24"/>
        </w:rPr>
        <w:t xml:space="preserve">[or in </w:t>
      </w:r>
      <w:r w:rsidRPr="00F531B8">
        <w:rPr>
          <w:rFonts w:ascii="Times New Roman" w:eastAsia="Times New Roman" w:hAnsi="Times New Roman" w:cs="AsterV"/>
          <w:sz w:val="24"/>
          <w:szCs w:val="24"/>
        </w:rPr>
        <w:lastRenderedPageBreak/>
        <w:t>carrying out any work in pursuance of a contract,] or in investment, or providing loan or in the business of acquiring, holding, underwriting or dealing with shares, debentures or other securities of any other body corporate, whether such activity or business is carried on, directly or through one or more of its units or divisions or subsidiaries, or whether such unit or division or subsidiary is located at the same place where the enterprise is located or at a different place or places;</w:t>
      </w:r>
    </w:p>
    <w:p w:rsidR="00F531B8" w:rsidRPr="00F531B8" w:rsidRDefault="00F531B8" w:rsidP="00F531B8">
      <w:pPr>
        <w:tabs>
          <w:tab w:val="right" w:pos="840"/>
          <w:tab w:val="left" w:pos="960"/>
        </w:tabs>
        <w:autoSpaceDE w:val="0"/>
        <w:autoSpaceDN w:val="0"/>
        <w:adjustRightInd w:val="0"/>
        <w:spacing w:after="6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r>
      <w:hyperlink r:id="rId60" w:tgtFrame="middle" w:history="1">
        <w:r w:rsidRPr="00F531B8">
          <w:rPr>
            <w:rFonts w:ascii="Times New Roman" w:eastAsia="Times New Roman" w:hAnsi="Times New Roman" w:cs="AsterV"/>
            <w:color w:val="0000FF"/>
            <w:sz w:val="24"/>
            <w:szCs w:val="24"/>
            <w:u w:val="single"/>
            <w:vertAlign w:val="superscript"/>
          </w:rPr>
          <w:t>96a</w:t>
        </w:r>
      </w:hyperlink>
      <w:r w:rsidRPr="00F531B8">
        <w:rPr>
          <w:rFonts w:ascii="Times New Roman" w:eastAsia="Times New Roman" w:hAnsi="Times New Roman" w:cs="AsterV"/>
          <w:sz w:val="24"/>
          <w:szCs w:val="24"/>
        </w:rPr>
        <w:t>[(</w:t>
      </w:r>
      <w:r w:rsidRPr="00F531B8">
        <w:rPr>
          <w:rFonts w:ascii="Times New Roman" w:eastAsia="Times New Roman" w:hAnsi="Times New Roman" w:cs="AsterV"/>
          <w:iCs/>
          <w:sz w:val="24"/>
          <w:szCs w:val="24"/>
        </w:rPr>
        <w:t>iiia</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“permanent establishment”, referred to in clause (</w:t>
      </w:r>
      <w:r w:rsidRPr="00F531B8">
        <w:rPr>
          <w:rFonts w:ascii="Times New Roman" w:eastAsia="Times New Roman" w:hAnsi="Times New Roman" w:cs="AsterV"/>
          <w:iCs/>
          <w:sz w:val="24"/>
          <w:szCs w:val="24"/>
        </w:rPr>
        <w:t>iii</w:t>
      </w:r>
      <w:r w:rsidRPr="00F531B8">
        <w:rPr>
          <w:rFonts w:ascii="Times New Roman" w:eastAsia="Times New Roman" w:hAnsi="Times New Roman" w:cs="AsterV"/>
          <w:sz w:val="24"/>
          <w:szCs w:val="24"/>
        </w:rPr>
        <w:t>), includes a fixed place of business through which the business of the enterprise is wholly or partly carried on;]</w:t>
      </w:r>
    </w:p>
    <w:p w:rsidR="00F531B8" w:rsidRPr="00F531B8" w:rsidRDefault="00F531B8" w:rsidP="00F531B8">
      <w:pPr>
        <w:tabs>
          <w:tab w:val="right" w:pos="840"/>
          <w:tab w:val="left" w:pos="960"/>
        </w:tabs>
        <w:autoSpaceDE w:val="0"/>
        <w:autoSpaceDN w:val="0"/>
        <w:adjustRightInd w:val="0"/>
        <w:spacing w:after="6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r>
      <w:hyperlink r:id="rId61" w:tgtFrame="middle" w:history="1">
        <w:r w:rsidRPr="00F531B8">
          <w:rPr>
            <w:rFonts w:ascii="Times New Roman" w:eastAsia="Times New Roman" w:hAnsi="Times New Roman" w:cs="AsterV"/>
            <w:color w:val="0000FF"/>
            <w:sz w:val="24"/>
            <w:szCs w:val="24"/>
            <w:u w:val="single"/>
            <w:vertAlign w:val="superscript"/>
          </w:rPr>
          <w:t>97</w:t>
        </w:r>
      </w:hyperlink>
      <w:r w:rsidRPr="00F531B8">
        <w:rPr>
          <w:rFonts w:ascii="Times New Roman" w:eastAsia="Times New Roman" w:hAnsi="Times New Roman" w:cs="AsterV"/>
          <w:sz w:val="24"/>
          <w:szCs w:val="24"/>
        </w:rPr>
        <w:t>[(</w:t>
      </w:r>
      <w:r w:rsidRPr="00F531B8">
        <w:rPr>
          <w:rFonts w:ascii="Times New Roman" w:eastAsia="Times New Roman" w:hAnsi="Times New Roman" w:cs="AsterV"/>
          <w:iCs/>
          <w:sz w:val="24"/>
          <w:szCs w:val="24"/>
        </w:rPr>
        <w:t>iv</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 xml:space="preserve">“specified date” shall have the same meaning as assigned to “due date” in </w:t>
      </w:r>
      <w:r w:rsidRPr="00F531B8">
        <w:rPr>
          <w:rFonts w:ascii="Times New Roman" w:eastAsia="Times New Roman" w:hAnsi="Times New Roman" w:cs="AsterV"/>
          <w:iCs/>
          <w:sz w:val="24"/>
          <w:szCs w:val="24"/>
        </w:rPr>
        <w:t>Explanation 2</w:t>
      </w:r>
      <w:r w:rsidRPr="00F531B8">
        <w:rPr>
          <w:rFonts w:ascii="Times New Roman" w:eastAsia="Times New Roman" w:hAnsi="Times New Roman" w:cs="AsterV"/>
          <w:sz w:val="24"/>
          <w:szCs w:val="24"/>
        </w:rPr>
        <w:t xml:space="preserve"> below sub-section (1) of </w:t>
      </w:r>
      <w:hyperlink r:id="rId62" w:tgtFrame="top" w:history="1">
        <w:r w:rsidRPr="00F531B8">
          <w:rPr>
            <w:rFonts w:ascii="Times New Roman" w:eastAsia="Times New Roman" w:hAnsi="Times New Roman" w:cs="AsterV"/>
            <w:color w:val="0000FF"/>
            <w:sz w:val="24"/>
            <w:szCs w:val="24"/>
            <w:u w:val="single"/>
          </w:rPr>
          <w:t>section 139</w:t>
        </w:r>
      </w:hyperlink>
      <w:r w:rsidRPr="00F531B8">
        <w:rPr>
          <w:rFonts w:ascii="Times New Roman" w:eastAsia="Times New Roman" w:hAnsi="Times New Roman" w:cs="AsterV"/>
          <w:sz w:val="24"/>
          <w:szCs w:val="24"/>
        </w:rPr>
        <w:t>;]</w:t>
      </w:r>
    </w:p>
    <w:p w:rsidR="00F531B8" w:rsidRPr="00F531B8" w:rsidRDefault="00F531B8" w:rsidP="00F531B8">
      <w:pPr>
        <w:tabs>
          <w:tab w:val="right" w:pos="840"/>
          <w:tab w:val="left" w:pos="960"/>
        </w:tabs>
        <w:autoSpaceDE w:val="0"/>
        <w:autoSpaceDN w:val="0"/>
        <w:adjustRightInd w:val="0"/>
        <w:spacing w:after="60" w:line="240" w:lineRule="auto"/>
        <w:ind w:left="960" w:hanging="96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v</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“transaction” includes an arrangement, understanding or action in concert,—</w:t>
      </w:r>
    </w:p>
    <w:p w:rsidR="00F531B8" w:rsidRPr="00F531B8" w:rsidRDefault="00F531B8" w:rsidP="00F531B8">
      <w:pPr>
        <w:tabs>
          <w:tab w:val="right" w:pos="1200"/>
          <w:tab w:val="left" w:pos="1320"/>
        </w:tabs>
        <w:autoSpaceDE w:val="0"/>
        <w:autoSpaceDN w:val="0"/>
        <w:adjustRightInd w:val="0"/>
        <w:spacing w:after="60" w:line="240" w:lineRule="auto"/>
        <w:ind w:left="1320" w:hanging="72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A</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whether or not such arrangement, understanding or action is formal or in writing; or</w:t>
      </w:r>
    </w:p>
    <w:p w:rsidR="00F531B8" w:rsidRPr="00F531B8" w:rsidRDefault="00F531B8" w:rsidP="00F531B8">
      <w:pPr>
        <w:tabs>
          <w:tab w:val="right" w:pos="1200"/>
          <w:tab w:val="left" w:pos="1320"/>
        </w:tabs>
        <w:autoSpaceDE w:val="0"/>
        <w:autoSpaceDN w:val="0"/>
        <w:adjustRightInd w:val="0"/>
        <w:spacing w:after="60" w:line="240" w:lineRule="auto"/>
        <w:ind w:left="1320" w:hanging="720"/>
        <w:jc w:val="both"/>
        <w:rPr>
          <w:rFonts w:ascii="Times New Roman" w:eastAsia="Times New Roman" w:hAnsi="Times New Roman" w:cs="Times New Roman"/>
          <w:sz w:val="24"/>
          <w:szCs w:val="24"/>
        </w:rPr>
      </w:pPr>
      <w:r w:rsidRPr="00F531B8">
        <w:rPr>
          <w:rFonts w:ascii="Times New Roman" w:eastAsia="Times New Roman" w:hAnsi="Times New Roman" w:cs="AsterV"/>
          <w:sz w:val="24"/>
          <w:szCs w:val="24"/>
        </w:rPr>
        <w:tab/>
        <w:t>(</w:t>
      </w:r>
      <w:r w:rsidRPr="00F531B8">
        <w:rPr>
          <w:rFonts w:ascii="Times New Roman" w:eastAsia="Times New Roman" w:hAnsi="Times New Roman" w:cs="AsterV"/>
          <w:iCs/>
          <w:sz w:val="24"/>
          <w:szCs w:val="24"/>
        </w:rPr>
        <w:t>B</w:t>
      </w:r>
      <w:r w:rsidRPr="00F531B8">
        <w:rPr>
          <w:rFonts w:ascii="Times New Roman" w:eastAsia="Times New Roman" w:hAnsi="Times New Roman" w:cs="AsterV"/>
          <w:sz w:val="24"/>
          <w:szCs w:val="24"/>
        </w:rPr>
        <w:t>)</w:t>
      </w:r>
      <w:r w:rsidRPr="00F531B8">
        <w:rPr>
          <w:rFonts w:ascii="Times New Roman" w:eastAsia="Times New Roman" w:hAnsi="Times New Roman" w:cs="AsterV"/>
          <w:sz w:val="24"/>
          <w:szCs w:val="24"/>
        </w:rPr>
        <w:tab/>
        <w:t>whether or not such arrangement, understanding or action is intended to be enforceable by legal proceeding.]</w:t>
      </w:r>
    </w:p>
    <w:p w:rsidR="00D56DCE" w:rsidRDefault="00D56DCE"/>
    <w:sectPr w:rsidR="00D56DCE" w:rsidSect="00D56DCE">
      <w:headerReference w:type="even" r:id="rId63"/>
      <w:headerReference w:type="default" r:id="rId64"/>
      <w:footerReference w:type="even" r:id="rId65"/>
      <w:footerReference w:type="default" r:id="rId66"/>
      <w:headerReference w:type="first" r:id="rId67"/>
      <w:footerReference w:type="first" r:id="rId6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16C0" w:rsidRDefault="007516C0" w:rsidP="001920DF">
      <w:pPr>
        <w:spacing w:after="0" w:line="240" w:lineRule="auto"/>
      </w:pPr>
      <w:r>
        <w:separator/>
      </w:r>
    </w:p>
  </w:endnote>
  <w:endnote w:type="continuationSeparator" w:id="1">
    <w:p w:rsidR="007516C0" w:rsidRDefault="007516C0" w:rsidP="001920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AsterV">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0DF" w:rsidRDefault="001920D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0DF" w:rsidRDefault="001920D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0DF" w:rsidRDefault="001920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16C0" w:rsidRDefault="007516C0" w:rsidP="001920DF">
      <w:pPr>
        <w:spacing w:after="0" w:line="240" w:lineRule="auto"/>
      </w:pPr>
      <w:r>
        <w:separator/>
      </w:r>
    </w:p>
  </w:footnote>
  <w:footnote w:type="continuationSeparator" w:id="1">
    <w:p w:rsidR="007516C0" w:rsidRDefault="007516C0" w:rsidP="001920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0DF" w:rsidRDefault="001920D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09157" o:spid="_x0000_s3074" type="#_x0000_t136" style="position:absolute;margin-left:0;margin-top:0;width:518.4pt;height:141.35pt;rotation:315;z-index:-251654144;mso-position-horizontal:center;mso-position-horizontal-relative:margin;mso-position-vertical:center;mso-position-vertical-relative:margin" o:allowincell="f" fillcolor="#4bacc6 [3208]" stroked="f">
          <v:fill opacity=".5"/>
          <v:textpath style="font-family:&quot;Calibri&quot;;font-size:1pt" string="Devang Sheth"/>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0DF" w:rsidRDefault="001920D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09158" o:spid="_x0000_s3075" type="#_x0000_t136" style="position:absolute;margin-left:0;margin-top:0;width:518.4pt;height:141.35pt;rotation:315;z-index:-251652096;mso-position-horizontal:center;mso-position-horizontal-relative:margin;mso-position-vertical:center;mso-position-vertical-relative:margin" o:allowincell="f" fillcolor="#4bacc6 [3208]" stroked="f">
          <v:fill opacity=".5"/>
          <v:textpath style="font-family:&quot;Calibri&quot;;font-size:1pt" string="Devang Sheth"/>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0DF" w:rsidRDefault="001920D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09156" o:spid="_x0000_s3073" type="#_x0000_t136" style="position:absolute;margin-left:0;margin-top:0;width:518.4pt;height:141.35pt;rotation:315;z-index:-251656192;mso-position-horizontal:center;mso-position-horizontal-relative:margin;mso-position-vertical:center;mso-position-vertical-relative:margin" o:allowincell="f" fillcolor="#4bacc6 [3208]" stroked="f">
          <v:fill opacity=".5"/>
          <v:textpath style="font-family:&quot;Calibri&quot;;font-size:1pt" string="Devang Sheth"/>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1" w:cryptProviderType="rsaFull" w:cryptAlgorithmClass="hash" w:cryptAlgorithmType="typeAny" w:cryptAlgorithmSid="4" w:cryptSpinCount="50000" w:hash="EhXjaOwQMjP2ilbeP5DwS/HZOUw=" w:salt="uaOR7WD7oN0iQSA2ydwj1w=="/>
  <w:defaultTabStop w:val="720"/>
  <w:characterSpacingControl w:val="doNotCompress"/>
  <w:hdrShapeDefaults>
    <o:shapedefaults v:ext="edit" spidmax="4098"/>
    <o:shapelayout v:ext="edit">
      <o:idmap v:ext="edit" data="3"/>
    </o:shapelayout>
  </w:hdrShapeDefaults>
  <w:footnotePr>
    <w:footnote w:id="0"/>
    <w:footnote w:id="1"/>
  </w:footnotePr>
  <w:endnotePr>
    <w:endnote w:id="0"/>
    <w:endnote w:id="1"/>
  </w:endnotePr>
  <w:compat/>
  <w:rsids>
    <w:rsidRoot w:val="00F531B8"/>
    <w:rsid w:val="001920DF"/>
    <w:rsid w:val="001C7236"/>
    <w:rsid w:val="003510C6"/>
    <w:rsid w:val="0066393F"/>
    <w:rsid w:val="007516C0"/>
    <w:rsid w:val="00D56DCE"/>
    <w:rsid w:val="00F531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D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531B8"/>
    <w:rPr>
      <w:color w:val="0000FF"/>
      <w:u w:val="single"/>
    </w:rPr>
  </w:style>
  <w:style w:type="character" w:customStyle="1" w:styleId="grame">
    <w:name w:val="grame"/>
    <w:basedOn w:val="DefaultParagraphFont"/>
    <w:rsid w:val="00F531B8"/>
  </w:style>
  <w:style w:type="paragraph" w:styleId="Header">
    <w:name w:val="header"/>
    <w:basedOn w:val="Normal"/>
    <w:link w:val="HeaderChar"/>
    <w:uiPriority w:val="99"/>
    <w:semiHidden/>
    <w:unhideWhenUsed/>
    <w:rsid w:val="001920D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920DF"/>
  </w:style>
  <w:style w:type="paragraph" w:styleId="Footer">
    <w:name w:val="footer"/>
    <w:basedOn w:val="Normal"/>
    <w:link w:val="FooterChar"/>
    <w:uiPriority w:val="99"/>
    <w:semiHidden/>
    <w:unhideWhenUsed/>
    <w:rsid w:val="001920D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920DF"/>
  </w:style>
</w:styles>
</file>

<file path=word/webSettings.xml><?xml version="1.0" encoding="utf-8"?>
<w:webSettings xmlns:r="http://schemas.openxmlformats.org/officeDocument/2006/relationships" xmlns:w="http://schemas.openxmlformats.org/wordprocessingml/2006/main">
  <w:divs>
    <w:div w:id="347030315">
      <w:bodyDiv w:val="1"/>
      <w:marLeft w:val="0"/>
      <w:marRight w:val="0"/>
      <w:marTop w:val="0"/>
      <w:marBottom w:val="0"/>
      <w:divBdr>
        <w:top w:val="none" w:sz="0" w:space="0" w:color="auto"/>
        <w:left w:val="none" w:sz="0" w:space="0" w:color="auto"/>
        <w:bottom w:val="none" w:sz="0" w:space="0" w:color="auto"/>
        <w:right w:val="none" w:sz="0" w:space="0" w:color="auto"/>
      </w:divBdr>
    </w:div>
    <w:div w:id="440540959">
      <w:bodyDiv w:val="1"/>
      <w:marLeft w:val="0"/>
      <w:marRight w:val="0"/>
      <w:marTop w:val="0"/>
      <w:marBottom w:val="0"/>
      <w:divBdr>
        <w:top w:val="none" w:sz="0" w:space="0" w:color="auto"/>
        <w:left w:val="none" w:sz="0" w:space="0" w:color="auto"/>
        <w:bottom w:val="none" w:sz="0" w:space="0" w:color="auto"/>
        <w:right w:val="none" w:sz="0" w:space="0" w:color="auto"/>
      </w:divBdr>
    </w:div>
    <w:div w:id="448821500">
      <w:bodyDiv w:val="1"/>
      <w:marLeft w:val="0"/>
      <w:marRight w:val="0"/>
      <w:marTop w:val="0"/>
      <w:marBottom w:val="0"/>
      <w:divBdr>
        <w:top w:val="none" w:sz="0" w:space="0" w:color="auto"/>
        <w:left w:val="none" w:sz="0" w:space="0" w:color="auto"/>
        <w:bottom w:val="none" w:sz="0" w:space="0" w:color="auto"/>
        <w:right w:val="none" w:sz="0" w:space="0" w:color="auto"/>
      </w:divBdr>
    </w:div>
    <w:div w:id="649359636">
      <w:bodyDiv w:val="1"/>
      <w:marLeft w:val="0"/>
      <w:marRight w:val="0"/>
      <w:marTop w:val="0"/>
      <w:marBottom w:val="0"/>
      <w:divBdr>
        <w:top w:val="none" w:sz="0" w:space="0" w:color="auto"/>
        <w:left w:val="none" w:sz="0" w:space="0" w:color="auto"/>
        <w:bottom w:val="none" w:sz="0" w:space="0" w:color="auto"/>
        <w:right w:val="none" w:sz="0" w:space="0" w:color="auto"/>
      </w:divBdr>
    </w:div>
    <w:div w:id="726997613">
      <w:bodyDiv w:val="1"/>
      <w:marLeft w:val="0"/>
      <w:marRight w:val="0"/>
      <w:marTop w:val="0"/>
      <w:marBottom w:val="0"/>
      <w:divBdr>
        <w:top w:val="none" w:sz="0" w:space="0" w:color="auto"/>
        <w:left w:val="none" w:sz="0" w:space="0" w:color="auto"/>
        <w:bottom w:val="none" w:sz="0" w:space="0" w:color="auto"/>
        <w:right w:val="none" w:sz="0" w:space="0" w:color="auto"/>
      </w:divBdr>
    </w:div>
    <w:div w:id="1301106938">
      <w:bodyDiv w:val="1"/>
      <w:marLeft w:val="0"/>
      <w:marRight w:val="0"/>
      <w:marTop w:val="0"/>
      <w:marBottom w:val="0"/>
      <w:divBdr>
        <w:top w:val="none" w:sz="0" w:space="0" w:color="auto"/>
        <w:left w:val="none" w:sz="0" w:space="0" w:color="auto"/>
        <w:bottom w:val="none" w:sz="0" w:space="0" w:color="auto"/>
        <w:right w:val="none" w:sz="0" w:space="0" w:color="auto"/>
      </w:divBdr>
    </w:div>
    <w:div w:id="1653176407">
      <w:bodyDiv w:val="1"/>
      <w:marLeft w:val="0"/>
      <w:marRight w:val="0"/>
      <w:marTop w:val="0"/>
      <w:marBottom w:val="0"/>
      <w:divBdr>
        <w:top w:val="none" w:sz="0" w:space="0" w:color="auto"/>
        <w:left w:val="none" w:sz="0" w:space="0" w:color="auto"/>
        <w:bottom w:val="none" w:sz="0" w:space="0" w:color="auto"/>
        <w:right w:val="none" w:sz="0" w:space="0" w:color="auto"/>
      </w:divBdr>
    </w:div>
    <w:div w:id="1754349356">
      <w:bodyDiv w:val="1"/>
      <w:marLeft w:val="0"/>
      <w:marRight w:val="0"/>
      <w:marTop w:val="0"/>
      <w:marBottom w:val="0"/>
      <w:divBdr>
        <w:top w:val="none" w:sz="0" w:space="0" w:color="auto"/>
        <w:left w:val="none" w:sz="0" w:space="0" w:color="auto"/>
        <w:bottom w:val="none" w:sz="0" w:space="0" w:color="auto"/>
        <w:right w:val="none" w:sz="0" w:space="0" w:color="auto"/>
      </w:divBdr>
    </w:div>
    <w:div w:id="191177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aw.incometaxindia.gov.in/DIT/HtmlFileProcess.aspx?FooterPath=D:%5CWebSites%5CDITTaxmann%5CAct2010%5CDirectTaxLaws%5CITACT%5CHTMLFiles%5C2011&amp;DFile=ftn80section80v.htm&amp;tar=middle" TargetMode="External"/><Relationship Id="rId18" Type="http://schemas.openxmlformats.org/officeDocument/2006/relationships/hyperlink" Target="http://law.incometaxindia.gov.in/DIT/HtmlFileProcess.aspx?FooterPath=D:%5CWebSites%5CDITTaxmann%5CAct2010%5CDirectTaxLaws%5CITACT%5CHTMLFiles%5C2011&amp;DFile=ftn81section80v.htm&amp;tar=middle" TargetMode="External"/><Relationship Id="rId26" Type="http://schemas.openxmlformats.org/officeDocument/2006/relationships/hyperlink" Target="http://law.incometaxindia.gov.in/DIT/HtmlFileProcess.aspx?FooterPath=D:%5CWebSites%5CDITTaxmann%5CAct2010%5CDirectTaxLaws%5CITACT%5CHTMLFiles%5C2011&amp;DFile=ftn85section80v.htm&amp;tar=middle" TargetMode="External"/><Relationship Id="rId39" Type="http://schemas.openxmlformats.org/officeDocument/2006/relationships/hyperlink" Target="http://law.incometaxindia.gov.in/DIT/HtmlFileProcess.aspx?FooterPath=D:%5CWebSites%5CDITTaxmann%5CAct2010%5CDirectTaxLaws%5CITACT%5CHTMLFiles%5C2011&amp;DFile=section92c.htm&amp;tar=top" TargetMode="External"/><Relationship Id="rId21" Type="http://schemas.openxmlformats.org/officeDocument/2006/relationships/hyperlink" Target="http://law.incometaxindia.gov.in/DIT/HtmlFileProcess.aspx?FooterPath=D:%5CWebSites%5CDITTaxmann%5CAct2010%5CDirectTaxLaws%5CITACT%5CHTMLFiles%5C2011&amp;DFile=ftn83section80v.htm&amp;tar=middle" TargetMode="External"/><Relationship Id="rId34" Type="http://schemas.openxmlformats.org/officeDocument/2006/relationships/hyperlink" Target="http://law.incometaxindia.gov.in/DIT/HtmlFileProcess.aspx?FooterPath=D:%5CWebSites%5CDITTaxmann%5CAct2010%5CDirectTaxLaws%5CITACT%5CHTMLFiles%5C2011&amp;DFile=section92c.htm&amp;tar=top" TargetMode="External"/><Relationship Id="rId42" Type="http://schemas.openxmlformats.org/officeDocument/2006/relationships/hyperlink" Target="http://law.incometaxindia.gov.in/DIT/HtmlFileProcess.aspx?FooterPath=D:%5CWebSites%5CDITTaxmann%5CAct2010%5CDirectTaxLaws%5CITACT%5CHTMLFiles%5C2011&amp;DFile=ftn91section80v.htm&amp;tar=middle" TargetMode="External"/><Relationship Id="rId47" Type="http://schemas.openxmlformats.org/officeDocument/2006/relationships/hyperlink" Target="http://law.incometaxindia.gov.in/DIT/HtmlFileProcess.aspx?FooterPath=D:%5CWebSites%5CDITTaxmann%5CAct2010%5CDirectTaxLaws%5CITACT%5CHTMLFiles%5C2011&amp;DFile=ftn93section80v.htm&amp;tar=middle" TargetMode="External"/><Relationship Id="rId50" Type="http://schemas.openxmlformats.org/officeDocument/2006/relationships/hyperlink" Target="http://law.incometaxindia.gov.in/DIT/HtmlFileProcess.aspx?FooterPath=D:%5CWebSites%5CDITTaxmann%5CAct2010%5CDirectTaxLaws%5CITACT%5CHTMLFiles%5C2011&amp;DFile=ftn94section80v.htm&amp;tar=middle" TargetMode="External"/><Relationship Id="rId55" Type="http://schemas.openxmlformats.org/officeDocument/2006/relationships/hyperlink" Target="http://law.incometaxindia.gov.in/DIT/HtmlFileProcess.aspx?FooterPath=D:%5CWebSites%5CDITTaxmann%5CAct2010%5CDirectTaxLaws%5CITACT%5CHTMLFiles%5C2011&amp;DFile=section92c.htm&amp;tar=top" TargetMode="External"/><Relationship Id="rId63" Type="http://schemas.openxmlformats.org/officeDocument/2006/relationships/header" Target="header1.xml"/><Relationship Id="rId68" Type="http://schemas.openxmlformats.org/officeDocument/2006/relationships/footer" Target="footer3.xml"/><Relationship Id="rId7" Type="http://schemas.openxmlformats.org/officeDocument/2006/relationships/hyperlink" Target="http://law.incometaxindia.gov.in/DIT/HtmlFileProcess.aspx?FooterPath=D:%5CWebSites%5CDITTaxmann%5CAct2010%5CDirectTaxLaws%5CITACT%5CHTMLFiles%5C2011&amp;DFile=section92.htm&amp;tar=top" TargetMode="External"/><Relationship Id="rId2" Type="http://schemas.openxmlformats.org/officeDocument/2006/relationships/styles" Target="styles.xml"/><Relationship Id="rId16" Type="http://schemas.openxmlformats.org/officeDocument/2006/relationships/hyperlink" Target="http://law.incometaxindia.gov.in/DIT/HtmlFileProcess.aspx?FooterPath=D:%5CWebSites%5CDITTaxmann%5CAct2010%5CDirectTaxLaws%5CITACT%5CHTMLFiles%5C2011&amp;DFile=section92d.htm&amp;tar=top" TargetMode="External"/><Relationship Id="rId29" Type="http://schemas.openxmlformats.org/officeDocument/2006/relationships/hyperlink" Target="http://law.incometaxindia.gov.in/DIT/HtmlFileProcess.aspx?FooterPath=D:%5CWebSites%5CDITTaxmann%5CAct2010%5CDirectTaxLaws%5CITACT%5CHTMLFiles%5C2011&amp;DFile=ftn86section80v.htm&amp;tar=middle"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law.incometaxindia.gov.in/DIT/HtmlFileProcess.aspx?FooterPath=D:%5CWebSites%5CDITTaxmann%5CAct2010%5CDirectTaxLaws%5CITACT%5CHTMLFiles%5C2011&amp;DFile=section92e.htm&amp;tar=top" TargetMode="External"/><Relationship Id="rId24" Type="http://schemas.openxmlformats.org/officeDocument/2006/relationships/hyperlink" Target="http://law.incometaxindia.gov.in/DIT/HtmlFileProcess.aspx?FooterPath=D:%5CWebSites%5CDITTaxmann%5CAct2010%5CDirectTaxLaws%5CITACT%5CHTMLFiles%5C2011&amp;DFile=section92d.htm&amp;tar=top" TargetMode="External"/><Relationship Id="rId32" Type="http://schemas.openxmlformats.org/officeDocument/2006/relationships/hyperlink" Target="http://law.incometaxindia.gov.in/DIT/HtmlFileProcess.aspx?FooterPath=D:%5CWebSites%5CDITTaxmann%5CAct2010%5CDirectTaxLaws%5CITACT%5CHTMLFiles%5C2011&amp;DFile=ftn88section80v.htm&amp;tar=middle" TargetMode="External"/><Relationship Id="rId37" Type="http://schemas.openxmlformats.org/officeDocument/2006/relationships/hyperlink" Target="http://law.incometaxindia.gov.in/DIT/HtmlFileProcess.aspx?FooterPath=D:%5CWebSites%5CDITTaxmann%5CAct2010%5CDirectTaxLaws%5CITACT%5CHTMLFiles%5C2011&amp;DFile=section153b.htm&amp;tar=top" TargetMode="External"/><Relationship Id="rId40" Type="http://schemas.openxmlformats.org/officeDocument/2006/relationships/hyperlink" Target="http://law.incometaxindia.gov.in/DIT/HtmlFileProcess.aspx?FooterPath=D:%5CWebSites%5CDITTaxmann%5CAct2010%5CDirectTaxLaws%5CITACT%5CHTMLFiles%5C2011&amp;DFile=section154.htm&amp;tar=top" TargetMode="External"/><Relationship Id="rId45" Type="http://schemas.openxmlformats.org/officeDocument/2006/relationships/hyperlink" Target="http://law.incometaxindia.gov.in/DIT/HtmlFileProcess.aspx?FooterPath=D:%5CWebSites%5CDITTaxmann%5CAct2010%5CDirectTaxLaws%5CITACT%5CHTMLFiles%5C2011&amp;DFile=section92c.htm&amp;tar=top" TargetMode="External"/><Relationship Id="rId53" Type="http://schemas.openxmlformats.org/officeDocument/2006/relationships/hyperlink" Target="http://law.incometaxindia.gov.in/DIT/HtmlFileProcess.aspx?FooterPath=D:%5CWebSites%5CDITTaxmann%5CAct2010%5CDirectTaxLaws%5CITACT%5CHTMLFiles%5C2011&amp;DFile=section92a.htm&amp;tar=top" TargetMode="External"/><Relationship Id="rId58" Type="http://schemas.openxmlformats.org/officeDocument/2006/relationships/hyperlink" Target="http://law.incometaxindia.gov.in/DIT/HtmlFileProcess.aspx?FooterPath=D:%5CWebSites%5CDITTaxmann%5CAct2010%5CDirectTaxLaws%5CITACT%5CHTMLFiles%5C2011&amp;DFile=section288.htm&amp;tar=top" TargetMode="External"/><Relationship Id="rId66"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law.incometaxindia.gov.in/DIT/HtmlFileProcess.aspx?FooterPath=D:%5CWebSites%5CDITTaxmann%5CAct2010%5CDirectTaxLaws%5CITACT%5CHTMLFiles%5C2011&amp;DFile=section92c.htm&amp;tar=top" TargetMode="External"/><Relationship Id="rId23" Type="http://schemas.openxmlformats.org/officeDocument/2006/relationships/hyperlink" Target="http://law.incometaxindia.gov.in/DIT/HtmlFileProcess.aspx?FooterPath=D:%5CWebSites%5CDITTaxmann%5CAct2010%5CDirectTaxLaws%5CITACT%5CHTMLFiles%5C2011&amp;DFile=section92d.htm&amp;tar=top" TargetMode="External"/><Relationship Id="rId28" Type="http://schemas.openxmlformats.org/officeDocument/2006/relationships/hyperlink" Target="http://law.incometaxindia.gov.in/DIT/HtmlFileProcess.aspx?FooterPath=D:%5CWebSites%5CDITTaxmann%5CAct2010%5CDirectTaxLaws%5CITACT%5CHTMLFiles%5C2011&amp;DFile=section10b.htm&amp;tar=top" TargetMode="External"/><Relationship Id="rId36" Type="http://schemas.openxmlformats.org/officeDocument/2006/relationships/hyperlink" Target="http://law.incometaxindia.gov.in/DIT/HtmlFileProcess.aspx?FooterPath=D:%5CWebSites%5CDITTaxmann%5CAct2010%5CDirectTaxLaws%5CITACT%5CHTMLFiles%5C2011&amp;DFile=section153.htm&amp;tar=top" TargetMode="External"/><Relationship Id="rId49" Type="http://schemas.openxmlformats.org/officeDocument/2006/relationships/hyperlink" Target="http://law.incometaxindia.gov.in/DIT/HtmlFileProcess.aspx?FooterPath=D:%5CWebSites%5CDITTaxmann%5CAct2010%5CDirectTaxLaws%5CITACT%5CHTMLFiles%5C2011&amp;DFile=section92ca.htm&amp;tar=top" TargetMode="External"/><Relationship Id="rId57" Type="http://schemas.openxmlformats.org/officeDocument/2006/relationships/hyperlink" Target="http://law.incometaxindia.gov.in/DIT/HtmlFileProcess.aspx?FooterPath=D:%5CWebSites%5CDITTaxmann%5CAct2010%5CDirectTaxLaws%5CITACT%5CHTMLFiles%5C2011&amp;DFile=section92e.htm&amp;tar=top" TargetMode="External"/><Relationship Id="rId61" Type="http://schemas.openxmlformats.org/officeDocument/2006/relationships/hyperlink" Target="http://law.incometaxindia.gov.in/DIT/HtmlFileProcess.aspx?FooterPath=D:%5CWebSites%5CDITTaxmann%5CAct2010%5CDirectTaxLaws%5CITACT%5CHTMLFiles%5C2011&amp;DFile=ftn97section80v.htm&amp;tar=middle" TargetMode="External"/><Relationship Id="rId10" Type="http://schemas.openxmlformats.org/officeDocument/2006/relationships/hyperlink" Target="http://law.incometaxindia.gov.in/DIT/HtmlFileProcess.aspx?FooterPath=D:%5CWebSites%5CDITTaxmann%5CAct2010%5CDirectTaxLaws%5CITACT%5CHTMLFiles%5C2011&amp;DFile=section92d.htm&amp;tar=top" TargetMode="External"/><Relationship Id="rId19" Type="http://schemas.openxmlformats.org/officeDocument/2006/relationships/hyperlink" Target="http://law.incometaxindia.gov.in/DIT/HtmlFileProcess.aspx?FooterPath=D:%5CWebSites%5CDITTaxmann%5CAct2010%5CDirectTaxLaws%5CITACT%5CHTMLFiles%5C2011&amp;DFile=ftn81section80v.htm&amp;tar=middle" TargetMode="External"/><Relationship Id="rId31" Type="http://schemas.openxmlformats.org/officeDocument/2006/relationships/hyperlink" Target="http://law.incometaxindia.gov.in/DIT/HtmlFileProcess.aspx?FooterPath=D:%5CWebSites%5CDITTaxmann%5CAct2010%5CDirectTaxLaws%5CITACT%5CHTMLFiles%5C2011&amp;DFile=section92c.htm&amp;tar=top" TargetMode="External"/><Relationship Id="rId44" Type="http://schemas.openxmlformats.org/officeDocument/2006/relationships/hyperlink" Target="http://law.incometaxindia.gov.in/DIT/HtmlFileProcess.aspx?FooterPath=D:%5CWebSites%5CDITTaxmann%5CAct2010%5CDirectTaxLaws%5CITACT%5CHTMLFiles%5C2011&amp;DFile=ftn92section80v.htm&amp;tar=middle" TargetMode="External"/><Relationship Id="rId52" Type="http://schemas.openxmlformats.org/officeDocument/2006/relationships/hyperlink" Target="http://law.incometaxindia.gov.in/DIT/HtmlFileProcess.aspx?FooterPath=D:%5CWebSites%5CDITTaxmann%5CAct2010%5CDirectTaxLaws%5CITACT%5CHTMLFiles%5C2011&amp;DFile=section92.htm&amp;tar=top" TargetMode="External"/><Relationship Id="rId60" Type="http://schemas.openxmlformats.org/officeDocument/2006/relationships/hyperlink" Target="http://law.incometaxindia.gov.in/DIT/HtmlFileProcess.aspx?FooterPath=D:%5CWebSites%5CDITTaxmann%5CAct2010%5CDirectTaxLaws%5CITACT%5CHTMLFiles%5C2011&amp;DFile=ftn96asection80v.htm&amp;tar=middle"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law.incometaxindia.gov.in/DIT/HtmlFileProcess.aspx?FooterPath=D:%5CWebSites%5CDITTaxmann%5CAct2010%5CDirectTaxLaws%5CITACT%5CHTMLFiles%5C2011&amp;DFile=section92c.htm&amp;tar=top" TargetMode="External"/><Relationship Id="rId14" Type="http://schemas.openxmlformats.org/officeDocument/2006/relationships/hyperlink" Target="http://law.incometaxindia.gov.in/DIT/HtmlFileProcess.aspx?FooterPath=D:%5CWebSites%5CDITTaxmann%5CAct2010%5CDirectTaxLaws%5CITACT%5CHTMLFiles%5C2011&amp;DFile=section92.htm&amp;tar=top" TargetMode="External"/><Relationship Id="rId22" Type="http://schemas.openxmlformats.org/officeDocument/2006/relationships/hyperlink" Target="http://law.incometaxindia.gov.in/DIT/HtmlFileProcess.aspx?FooterPath=D:%5CWebSites%5CDITTaxmann%5CAct2010%5CDirectTaxLaws%5CITACT%5CHTMLFiles%5C2011&amp;DFile=ftn84section80v.htm&amp;tar=middle" TargetMode="External"/><Relationship Id="rId27" Type="http://schemas.openxmlformats.org/officeDocument/2006/relationships/hyperlink" Target="http://law.incometaxindia.gov.in/DIT/HtmlFileProcess.aspx?FooterPath=D:%5CWebSites%5CDITTaxmann%5CAct2010%5CDirectTaxLaws%5CITACT%5CHTMLFiles%5C2011&amp;DFile=section10aa.htm&amp;tar=top" TargetMode="External"/><Relationship Id="rId30" Type="http://schemas.openxmlformats.org/officeDocument/2006/relationships/hyperlink" Target="http://law.incometaxindia.gov.in/DIT/HtmlFileProcess.aspx?FooterPath=D:%5CWebSites%5CDITTaxmann%5CAct2010%5CDirectTaxLaws%5CITACT%5CHTMLFiles%5C2011&amp;DFile=ftn87section80v.htm&amp;tar=middle" TargetMode="External"/><Relationship Id="rId35" Type="http://schemas.openxmlformats.org/officeDocument/2006/relationships/hyperlink" Target="http://law.incometaxindia.gov.in/DIT/HtmlFileProcess.aspx?FooterPath=D:%5CWebSites%5CDITTaxmann%5CAct2010%5CDirectTaxLaws%5CITACT%5CHTMLFiles%5C2011&amp;DFile=ftn89section80v.htm&amp;tar=middle" TargetMode="External"/><Relationship Id="rId43" Type="http://schemas.openxmlformats.org/officeDocument/2006/relationships/hyperlink" Target="http://law.incometaxindia.gov.in/DIT/HtmlFileProcess.aspx?FooterPath=D:%5CWebSites%5CDITTaxmann%5CAct2010%5CDirectTaxLaws%5CITACT%5CHTMLFiles%5C2011&amp;DFile=section133a.htm&amp;tar=top" TargetMode="External"/><Relationship Id="rId48" Type="http://schemas.openxmlformats.org/officeDocument/2006/relationships/hyperlink" Target="http://law.incometaxindia.gov.in/DIT/HtmlFileProcess.aspx?FooterPath=D:%5CWebSites%5CDITTaxmann%5CAct2010%5CDirectTaxLaws%5CITACT%5CHTMLFiles%5C2011&amp;DFile=section92c.htm&amp;tar=top" TargetMode="External"/><Relationship Id="rId56" Type="http://schemas.openxmlformats.org/officeDocument/2006/relationships/hyperlink" Target="http://law.incometaxindia.gov.in/DIT/HtmlFileProcess.aspx?FooterPath=D:%5CWebSites%5CDITTaxmann%5CAct2010%5CDirectTaxLaws%5CITACT%5CHTMLFiles%5C2011&amp;DFile=section92d.htm&amp;tar=top" TargetMode="External"/><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hyperlink" Target="http://law.incometaxindia.gov.in/DIT/HtmlFileProcess.aspx?FooterPath=D:%5CWebSites%5CDITTaxmann%5CAct2010%5CDirectTaxLaws%5CITACT%5CHTMLFiles%5C2011&amp;DFile=section92b.htm&amp;tar=top" TargetMode="External"/><Relationship Id="rId51" Type="http://schemas.openxmlformats.org/officeDocument/2006/relationships/hyperlink" Target="http://law.incometaxindia.gov.in/DIT/HtmlFileProcess.aspx?FooterPath=D:%5CWebSites%5CDITTaxmann%5CAct2010%5CDirectTaxLaws%5CITACT%5CHTMLFiles%5C2011&amp;DFile=ftn95section80v.htm&amp;tar=middle" TargetMode="External"/><Relationship Id="rId3" Type="http://schemas.openxmlformats.org/officeDocument/2006/relationships/settings" Target="settings.xml"/><Relationship Id="rId12" Type="http://schemas.openxmlformats.org/officeDocument/2006/relationships/hyperlink" Target="http://law.incometaxindia.gov.in/DIT/HtmlFileProcess.aspx?FooterPath=D:%5CWebSites%5CDITTaxmann%5CAct2010%5CDirectTaxLaws%5CITACT%5CHTMLFiles%5C2011&amp;DFile=section92f.htm&amp;tar=top" TargetMode="External"/><Relationship Id="rId17" Type="http://schemas.openxmlformats.org/officeDocument/2006/relationships/hyperlink" Target="http://law.incometaxindia.gov.in/DIT/HtmlFileProcess.aspx?FooterPath=D:%5CWebSites%5CDITTaxmann%5CAct2010%5CDirectTaxLaws%5CITACT%5CHTMLFiles%5C2011&amp;DFile=section92e.htm&amp;tar=top" TargetMode="External"/><Relationship Id="rId25" Type="http://schemas.openxmlformats.org/officeDocument/2006/relationships/hyperlink" Target="http://law.incometaxindia.gov.in/DIT/HtmlFileProcess.aspx?FooterPath=D:%5CWebSites%5CDITTaxmann%5CAct2010%5CDirectTaxLaws%5CITACT%5CHTMLFiles%5C2011&amp;DFile=section10a.htm&amp;tar=top" TargetMode="External"/><Relationship Id="rId33" Type="http://schemas.openxmlformats.org/officeDocument/2006/relationships/hyperlink" Target="http://law.incometaxindia.gov.in/DIT/HtmlFileProcess.aspx?FooterPath=D:%5CWebSites%5CDITTaxmann%5CAct2010%5CDirectTaxLaws%5CITACT%5CHTMLFiles%5C2011&amp;DFile=section92d.htm&amp;tar=top" TargetMode="External"/><Relationship Id="rId38" Type="http://schemas.openxmlformats.org/officeDocument/2006/relationships/hyperlink" Target="http://law.incometaxindia.gov.in/DIT/HtmlFileProcess.aspx?FooterPath=D:%5CWebSites%5CDITTaxmann%5CAct2010%5CDirectTaxLaws%5CITACT%5CHTMLFiles%5C2011&amp;DFile=ftn90section80v.htm&amp;tar=middle" TargetMode="External"/><Relationship Id="rId46" Type="http://schemas.openxmlformats.org/officeDocument/2006/relationships/hyperlink" Target="http://law.incometaxindia.gov.in/DIT/HtmlFileProcess.aspx?FooterPath=D:%5CWebSites%5CDITTaxmann%5CAct2010%5CDirectTaxLaws%5CITACT%5CHTMLFiles%5C2011&amp;DFile=section92d.htm&amp;tar=top" TargetMode="External"/><Relationship Id="rId59" Type="http://schemas.openxmlformats.org/officeDocument/2006/relationships/hyperlink" Target="http://law.incometaxindia.gov.in/DIT/HtmlFileProcess.aspx?FooterPath=D:%5CWebSites%5CDITTaxmann%5CAct2010%5CDirectTaxLaws%5CITACT%5CHTMLFiles%5C2011&amp;DFile=ftn96section80v.htm&amp;tar=middle" TargetMode="External"/><Relationship Id="rId67" Type="http://schemas.openxmlformats.org/officeDocument/2006/relationships/header" Target="header3.xml"/><Relationship Id="rId20" Type="http://schemas.openxmlformats.org/officeDocument/2006/relationships/hyperlink" Target="http://law.incometaxindia.gov.in/DIT/HtmlFileProcess.aspx?FooterPath=D:%5CWebSites%5CDITTaxmann%5CAct2010%5CDirectTaxLaws%5CITACT%5CHTMLFiles%5C2011&amp;DFile=ftn82section80v.htm&amp;tar=middle" TargetMode="External"/><Relationship Id="rId41" Type="http://schemas.openxmlformats.org/officeDocument/2006/relationships/hyperlink" Target="http://law.incometaxindia.gov.in/DIT/HtmlFileProcess.aspx?FooterPath=D:%5CWebSites%5CDITTaxmann%5CAct2010%5CDirectTaxLaws%5CITACT%5CHTMLFiles%5C2011&amp;DFile=section131.htm&amp;tar=top" TargetMode="External"/><Relationship Id="rId54" Type="http://schemas.openxmlformats.org/officeDocument/2006/relationships/hyperlink" Target="http://law.incometaxindia.gov.in/DIT/HtmlFileProcess.aspx?FooterPath=D:%5CWebSites%5CDITTaxmann%5CAct2010%5CDirectTaxLaws%5CITACT%5CHTMLFiles%5C2011&amp;DFile=section92b.htm&amp;tar=top" TargetMode="External"/><Relationship Id="rId62" Type="http://schemas.openxmlformats.org/officeDocument/2006/relationships/hyperlink" Target="http://law.incometaxindia.gov.in/DIT/HtmlFileProcess.aspx?FooterPath=D:%5CWebSites%5CDITTaxmann%5CAct2010%5CDirectTaxLaws%5CITACT%5CHTMLFiles%5C2011&amp;DFile=section139.htm&amp;tar=top"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C1E2D-0966-4A40-9C37-C12FA5543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4450</Words>
  <Characters>25365</Characters>
  <Application>Microsoft Office Word</Application>
  <DocSecurity>8</DocSecurity>
  <Lines>211</Lines>
  <Paragraphs>59</Paragraphs>
  <ScaleCrop>false</ScaleCrop>
  <Company/>
  <LinksUpToDate>false</LinksUpToDate>
  <CharactersWithSpaces>29756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2011-12-15T04:04:00Z</cp:lastPrinted>
  <dcterms:created xsi:type="dcterms:W3CDTF">2011-12-15T03:57:00Z</dcterms:created>
  <dcterms:modified xsi:type="dcterms:W3CDTF">2011-12-15T05:21:00Z</dcterms:modified>
</cp:coreProperties>
</file>