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ADC" w:rsidRPr="0065570C" w:rsidRDefault="00EF2ADC">
      <w:pPr>
        <w:rPr>
          <w:rFonts w:ascii="Bookman Old Style" w:hAnsi="Bookman Old Style"/>
          <w:b/>
        </w:rPr>
      </w:pPr>
      <w:r w:rsidRPr="00EF2ADC">
        <w:rPr>
          <w:rFonts w:ascii="Bookman Old Style" w:hAnsi="Bookman Old Style"/>
        </w:rPr>
        <w:tab/>
      </w:r>
      <w:r w:rsidRPr="00EF2ADC">
        <w:rPr>
          <w:rFonts w:ascii="Bookman Old Style" w:hAnsi="Bookman Old Style"/>
        </w:rPr>
        <w:tab/>
      </w:r>
      <w:r w:rsidRPr="00EF2ADC">
        <w:rPr>
          <w:rFonts w:ascii="Bookman Old Style" w:hAnsi="Bookman Old Style"/>
        </w:rPr>
        <w:tab/>
      </w:r>
      <w:r w:rsidRPr="00EF2ADC">
        <w:rPr>
          <w:rFonts w:ascii="Bookman Old Style" w:hAnsi="Bookman Old Style"/>
        </w:rPr>
        <w:tab/>
      </w:r>
      <w:r w:rsidRPr="00EF2ADC">
        <w:rPr>
          <w:rFonts w:ascii="Bookman Old Style" w:hAnsi="Bookman Old Style"/>
          <w:b/>
          <w:u w:val="single"/>
        </w:rPr>
        <w:t>Sec 40</w:t>
      </w:r>
      <w:r w:rsidR="00DF777C">
        <w:rPr>
          <w:rFonts w:ascii="Bookman Old Style" w:hAnsi="Bookman Old Style"/>
          <w:b/>
          <w:u w:val="single"/>
        </w:rPr>
        <w:t>-</w:t>
      </w:r>
      <w:r w:rsidRPr="00EF2ADC">
        <w:rPr>
          <w:rFonts w:ascii="Bookman Old Style" w:hAnsi="Bookman Old Style"/>
          <w:b/>
          <w:u w:val="single"/>
        </w:rPr>
        <w:t>Amounts not deductible</w:t>
      </w:r>
    </w:p>
    <w:p w:rsidR="0065570C" w:rsidRDefault="0065570C">
      <w:pPr>
        <w:rPr>
          <w:rFonts w:ascii="Bookman Old Style" w:hAnsi="Bookman Old Style"/>
          <w:b/>
          <w:u w:val="single"/>
        </w:rPr>
      </w:pPr>
      <w:r>
        <w:rPr>
          <w:rFonts w:ascii="Bookman Old Style" w:hAnsi="Bookman Old Style"/>
          <w:b/>
          <w:u w:val="single"/>
        </w:rPr>
        <w:t>Objective:</w:t>
      </w:r>
    </w:p>
    <w:p w:rsidR="0065570C" w:rsidRDefault="0065570C" w:rsidP="0065570C">
      <w:pPr>
        <w:pStyle w:val="ListParagraph"/>
        <w:numPr>
          <w:ilvl w:val="0"/>
          <w:numId w:val="5"/>
        </w:numPr>
        <w:rPr>
          <w:rFonts w:ascii="Bookman Old Style" w:hAnsi="Bookman Old Style"/>
        </w:rPr>
      </w:pPr>
      <w:r w:rsidRPr="0065570C">
        <w:rPr>
          <w:rFonts w:ascii="Bookman Old Style" w:hAnsi="Bookman Old Style"/>
        </w:rPr>
        <w:t>To disallow expenses paid without deducting TDS</w:t>
      </w:r>
    </w:p>
    <w:p w:rsidR="0065570C" w:rsidRPr="0065570C" w:rsidRDefault="0065570C" w:rsidP="0065570C">
      <w:pPr>
        <w:pStyle w:val="ListParagraph"/>
        <w:numPr>
          <w:ilvl w:val="0"/>
          <w:numId w:val="5"/>
        </w:numPr>
        <w:rPr>
          <w:rFonts w:ascii="Bookman Old Style" w:hAnsi="Bookman Old Style"/>
        </w:rPr>
      </w:pPr>
      <w:r>
        <w:rPr>
          <w:rFonts w:ascii="Bookman Old Style" w:hAnsi="Bookman Old Style"/>
        </w:rPr>
        <w:t>To disallow payment of salaries etc. to partners over and above the limits.</w:t>
      </w:r>
    </w:p>
    <w:p w:rsidR="00EF2ADC" w:rsidRDefault="00EF2ADC">
      <w:pPr>
        <w:rPr>
          <w:rFonts w:ascii="Bookman Old Style" w:hAnsi="Bookman Old Style"/>
          <w:b/>
          <w:u w:val="single"/>
        </w:rPr>
      </w:pPr>
      <w:r>
        <w:rPr>
          <w:rFonts w:ascii="Bookman Old Style" w:hAnsi="Bookman Old Style"/>
          <w:b/>
          <w:u w:val="single"/>
        </w:rPr>
        <w:t>Definition:</w:t>
      </w:r>
    </w:p>
    <w:p w:rsidR="00EF2ADC" w:rsidRPr="00EF2ADC" w:rsidRDefault="00EF2ADC" w:rsidP="00EF2ADC">
      <w:pPr>
        <w:adjustRightInd w:val="0"/>
        <w:spacing w:before="40" w:after="60" w:line="240" w:lineRule="auto"/>
        <w:jc w:val="both"/>
        <w:rPr>
          <w:rFonts w:ascii="Times New Roman" w:eastAsia="Times New Roman" w:hAnsi="Times New Roman" w:cs="AsterV"/>
          <w:b/>
          <w:bCs/>
          <w:sz w:val="24"/>
          <w:szCs w:val="24"/>
        </w:rPr>
      </w:pPr>
      <w:r w:rsidRPr="00EF2ADC">
        <w:rPr>
          <w:rFonts w:ascii="Times New Roman" w:eastAsia="Times New Roman" w:hAnsi="Times New Roman" w:cs="AsterV"/>
          <w:b/>
          <w:bCs/>
          <w:sz w:val="24"/>
          <w:szCs w:val="24"/>
        </w:rPr>
        <w:t>Amounts not deductible.</w:t>
      </w:r>
    </w:p>
    <w:p w:rsidR="00EF2ADC" w:rsidRPr="00EF2ADC" w:rsidRDefault="00EF2ADC" w:rsidP="00EF2ADC">
      <w:pPr>
        <w:tabs>
          <w:tab w:val="left" w:pos="240"/>
          <w:tab w:val="left" w:pos="360"/>
          <w:tab w:val="left" w:pos="480"/>
          <w:tab w:val="left" w:pos="600"/>
          <w:tab w:val="left" w:pos="720"/>
        </w:tabs>
        <w:adjustRightInd w:val="0"/>
        <w:spacing w:after="60" w:line="240" w:lineRule="auto"/>
        <w:jc w:val="both"/>
        <w:rPr>
          <w:rFonts w:ascii="Times New Roman" w:eastAsia="Times New Roman" w:hAnsi="Times New Roman" w:cs="AsterV"/>
          <w:sz w:val="24"/>
          <w:szCs w:val="24"/>
        </w:rPr>
      </w:pPr>
      <w:r w:rsidRPr="00EF2ADC">
        <w:rPr>
          <w:rFonts w:ascii="Times New Roman" w:eastAsia="Times New Roman" w:hAnsi="Times New Roman" w:cs="AsterV"/>
          <w:b/>
          <w:bCs/>
          <w:sz w:val="24"/>
          <w:szCs w:val="24"/>
        </w:rPr>
        <w:t>40.</w:t>
      </w:r>
      <w:r w:rsidRPr="00EF2ADC">
        <w:rPr>
          <w:rFonts w:ascii="Times New Roman" w:eastAsia="Times New Roman" w:hAnsi="Times New Roman" w:cs="AsterV"/>
          <w:sz w:val="24"/>
          <w:szCs w:val="24"/>
        </w:rPr>
        <w:t xml:space="preserve"> Notwithstanding anything to the contrary in sections 30 to </w:t>
      </w:r>
      <w:hyperlink r:id="rId5" w:tgtFrame="middle" w:history="1">
        <w:r w:rsidRPr="00EF2ADC">
          <w:rPr>
            <w:rFonts w:ascii="Times New Roman" w:eastAsia="Times New Roman" w:hAnsi="Times New Roman" w:cs="AsterV"/>
            <w:color w:val="0000FF"/>
            <w:sz w:val="24"/>
            <w:szCs w:val="24"/>
            <w:u w:val="single"/>
            <w:vertAlign w:val="superscript"/>
          </w:rPr>
          <w:t>88</w:t>
        </w:r>
      </w:hyperlink>
      <w:r w:rsidRPr="00EF2ADC">
        <w:rPr>
          <w:rFonts w:ascii="Times New Roman" w:eastAsia="Times New Roman" w:hAnsi="Times New Roman" w:cs="AsterV"/>
          <w:sz w:val="24"/>
          <w:szCs w:val="24"/>
        </w:rPr>
        <w:t>[38], the following amounts shall not be deducted in computing the income chargeable under the head “Profits and gains of business or profession”,—</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6" w:tgtFrame="middle" w:history="1">
        <w:r w:rsidRPr="00EF2ADC">
          <w:rPr>
            <w:rFonts w:ascii="Times New Roman" w:eastAsia="Times New Roman" w:hAnsi="Times New Roman" w:cs="AsterV"/>
            <w:color w:val="0000FF"/>
            <w:sz w:val="24"/>
            <w:szCs w:val="24"/>
            <w:u w:val="single"/>
            <w:vertAlign w:val="superscript"/>
          </w:rPr>
          <w:t>89</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a</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in the case of any assessee—</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7" w:tgtFrame="middle" w:history="1">
        <w:r w:rsidRPr="00EF2ADC">
          <w:rPr>
            <w:rFonts w:ascii="Times New Roman" w:eastAsia="Times New Roman" w:hAnsi="Times New Roman" w:cs="AsterV"/>
            <w:color w:val="0000FF"/>
            <w:sz w:val="24"/>
            <w:szCs w:val="24"/>
            <w:u w:val="single"/>
            <w:vertAlign w:val="superscript"/>
          </w:rPr>
          <w:t>90</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interest (not being interest on a loan issued for public subscription before the 1st day of April, 1938), royalty, fees for technical services or other sum chargeable under this Act, which is payable,—</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0065570C" w:rsidRPr="00EF2ADC">
        <w:rPr>
          <w:rFonts w:ascii="Times New Roman" w:eastAsia="Times New Roman" w:hAnsi="Times New Roman" w:cs="AsterV"/>
          <w:sz w:val="24"/>
          <w:szCs w:val="24"/>
        </w:rPr>
        <w:t>(</w:t>
      </w:r>
      <w:r w:rsidR="0065570C" w:rsidRPr="00EF2ADC">
        <w:rPr>
          <w:rFonts w:ascii="Times New Roman" w:eastAsia="Times New Roman" w:hAnsi="Times New Roman" w:cs="AsterV"/>
          <w:i/>
          <w:iCs/>
          <w:sz w:val="24"/>
          <w:szCs w:val="24"/>
        </w:rPr>
        <w:t>A</w:t>
      </w:r>
      <w:r w:rsidR="0065570C" w:rsidRPr="00EF2ADC">
        <w:rPr>
          <w:rFonts w:ascii="Times New Roman" w:eastAsia="Times New Roman" w:hAnsi="Times New Roman" w:cs="AsterV"/>
          <w:sz w:val="24"/>
          <w:szCs w:val="24"/>
        </w:rPr>
        <w:t>)</w:t>
      </w:r>
      <w:r w:rsidR="0065570C" w:rsidRPr="00EF2ADC">
        <w:rPr>
          <w:rFonts w:ascii="Times New Roman" w:eastAsia="Times New Roman" w:hAnsi="Times New Roman" w:cs="AsterV"/>
          <w:sz w:val="24"/>
          <w:szCs w:val="24"/>
        </w:rPr>
        <w:tab/>
        <w:t>Outside India; or</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B</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r>
      <w:r w:rsidR="0065570C" w:rsidRPr="00EF2ADC">
        <w:rPr>
          <w:rFonts w:ascii="Times New Roman" w:eastAsia="Times New Roman" w:hAnsi="Times New Roman" w:cs="AsterV"/>
          <w:sz w:val="24"/>
          <w:szCs w:val="24"/>
        </w:rPr>
        <w:t>In</w:t>
      </w:r>
      <w:smartTag w:uri="urn:schemas-microsoft-com:office:smarttags" w:element="place">
        <w:smartTag w:uri="urn:schemas-microsoft-com:office:smarttags" w:element="country-region">
          <w:r w:rsidRPr="00EF2ADC">
            <w:rPr>
              <w:rFonts w:ascii="Times New Roman" w:eastAsia="Times New Roman" w:hAnsi="Times New Roman" w:cs="AsterV"/>
              <w:sz w:val="24"/>
              <w:szCs w:val="24"/>
            </w:rPr>
            <w:t>India</w:t>
          </w:r>
        </w:smartTag>
      </w:smartTag>
      <w:r w:rsidRPr="00EF2ADC">
        <w:rPr>
          <w:rFonts w:ascii="Times New Roman" w:eastAsia="Times New Roman" w:hAnsi="Times New Roman" w:cs="AsterV"/>
          <w:sz w:val="24"/>
          <w:szCs w:val="24"/>
        </w:rPr>
        <w:t xml:space="preserve"> to a non-resident, not being a company or to a foreign company,</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i/>
          <w:iCs/>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r w:rsidR="0065570C" w:rsidRPr="00EF2ADC">
        <w:rPr>
          <w:rFonts w:ascii="Times New Roman" w:eastAsia="Times New Roman" w:hAnsi="Times New Roman" w:cs="AsterV"/>
          <w:sz w:val="24"/>
          <w:szCs w:val="24"/>
        </w:rPr>
        <w:t>On</w:t>
      </w:r>
      <w:r w:rsidRPr="00EF2ADC">
        <w:rPr>
          <w:rFonts w:ascii="Times New Roman" w:eastAsia="Times New Roman" w:hAnsi="Times New Roman" w:cs="AsterV"/>
          <w:sz w:val="24"/>
          <w:szCs w:val="24"/>
        </w:rPr>
        <w:t xml:space="preserve"> which tax is deductible at source under Chapter XVII-B and such tax has not been deducted or, after deduction, has not been paid during the previous year, or in the subsequent year before the expiry of the time prescribed under sub-section (1) of </w:t>
      </w:r>
      <w:hyperlink r:id="rId8" w:tgtFrame="top" w:history="1">
        <w:r w:rsidRPr="00EF2ADC">
          <w:rPr>
            <w:rFonts w:ascii="Times New Roman" w:eastAsia="Times New Roman" w:hAnsi="Times New Roman" w:cs="AsterV"/>
            <w:color w:val="0000FF"/>
            <w:sz w:val="24"/>
            <w:szCs w:val="24"/>
            <w:u w:val="single"/>
          </w:rPr>
          <w:t>section 200</w:t>
        </w:r>
      </w:hyperlink>
      <w:r w:rsidRPr="00EF2ADC">
        <w:rPr>
          <w:rFonts w:ascii="Times New Roman" w:eastAsia="Times New Roman" w:hAnsi="Times New Roman" w:cs="AsterV"/>
          <w:sz w:val="24"/>
          <w:szCs w:val="24"/>
        </w:rPr>
        <w:t xml:space="preserve"> :</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i/>
          <w:iCs/>
          <w:sz w:val="24"/>
          <w:szCs w:val="24"/>
        </w:rPr>
        <w:tab/>
      </w:r>
      <w:r w:rsidRPr="00EF2ADC">
        <w:rPr>
          <w:rFonts w:ascii="Times New Roman" w:eastAsia="Times New Roman" w:hAnsi="Times New Roman" w:cs="AsterV"/>
          <w:i/>
          <w:iCs/>
          <w:sz w:val="24"/>
          <w:szCs w:val="24"/>
        </w:rPr>
        <w:tab/>
      </w:r>
      <w:r w:rsidRPr="00EF2ADC">
        <w:rPr>
          <w:rFonts w:ascii="Times New Roman" w:eastAsia="Times New Roman" w:hAnsi="Times New Roman" w:cs="AsterV"/>
          <w:b/>
          <w:bCs/>
          <w:sz w:val="24"/>
          <w:szCs w:val="24"/>
        </w:rPr>
        <w:t>Provided</w:t>
      </w:r>
      <w:r w:rsidRPr="00EF2ADC">
        <w:rPr>
          <w:rFonts w:ascii="Times New Roman" w:eastAsia="Times New Roman" w:hAnsi="Times New Roman" w:cs="AsterV"/>
          <w:sz w:val="24"/>
          <w:szCs w:val="24"/>
        </w:rPr>
        <w:t xml:space="preserve"> that where in respect of any such sum, tax has been deducted in any subsequent year or, has been deducted in the previous year but paid in any subsequent year after the expiry of the time prescribed under sub-section (1) of </w:t>
      </w:r>
      <w:hyperlink r:id="rId9" w:tgtFrame="top" w:history="1">
        <w:r w:rsidRPr="00EF2ADC">
          <w:rPr>
            <w:rFonts w:ascii="Times New Roman" w:eastAsia="Times New Roman" w:hAnsi="Times New Roman" w:cs="AsterV"/>
            <w:color w:val="0000FF"/>
            <w:sz w:val="24"/>
            <w:szCs w:val="24"/>
            <w:u w:val="single"/>
          </w:rPr>
          <w:t>section 200</w:t>
        </w:r>
      </w:hyperlink>
      <w:r w:rsidRPr="00EF2ADC">
        <w:rPr>
          <w:rFonts w:ascii="Times New Roman" w:eastAsia="Times New Roman" w:hAnsi="Times New Roman" w:cs="AsterV"/>
          <w:sz w:val="24"/>
          <w:szCs w:val="24"/>
        </w:rPr>
        <w:t>, such sum shall be allowed as a deduction in computing the income of the previous year in which such tax has been paid.</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A</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“royalty” shall have the same meaning as in </w:t>
      </w:r>
      <w:r w:rsidRPr="00EF2ADC">
        <w:rPr>
          <w:rFonts w:ascii="Times New Roman" w:eastAsia="Times New Roman" w:hAnsi="Times New Roman" w:cs="AsterV"/>
          <w:i/>
          <w:iCs/>
          <w:sz w:val="24"/>
          <w:szCs w:val="24"/>
        </w:rPr>
        <w:t>Explanation2</w:t>
      </w:r>
      <w:r w:rsidRPr="00EF2ADC">
        <w:rPr>
          <w:rFonts w:ascii="Times New Roman" w:eastAsia="Times New Roman" w:hAnsi="Times New Roman" w:cs="AsterV"/>
          <w:sz w:val="24"/>
          <w:szCs w:val="24"/>
        </w:rPr>
        <w:t xml:space="preserve"> to clause (</w:t>
      </w:r>
      <w:r w:rsidRPr="00EF2ADC">
        <w:rPr>
          <w:rFonts w:ascii="Times New Roman" w:eastAsia="Times New Roman" w:hAnsi="Times New Roman" w:cs="AsterV"/>
          <w:i/>
          <w:iCs/>
          <w:sz w:val="24"/>
          <w:szCs w:val="24"/>
        </w:rPr>
        <w:t>vi</w:t>
      </w:r>
      <w:r w:rsidRPr="00EF2ADC">
        <w:rPr>
          <w:rFonts w:ascii="Times New Roman" w:eastAsia="Times New Roman" w:hAnsi="Times New Roman" w:cs="AsterV"/>
          <w:sz w:val="24"/>
          <w:szCs w:val="24"/>
        </w:rPr>
        <w:t xml:space="preserve">) of sub-section (1) of </w:t>
      </w:r>
      <w:hyperlink r:id="rId10" w:tgtFrame="top" w:history="1">
        <w:r w:rsidRPr="00EF2ADC">
          <w:rPr>
            <w:rFonts w:ascii="Times New Roman" w:eastAsia="Times New Roman" w:hAnsi="Times New Roman" w:cs="AsterV"/>
            <w:color w:val="0000FF"/>
            <w:sz w:val="24"/>
            <w:szCs w:val="24"/>
            <w:u w:val="single"/>
          </w:rPr>
          <w:t>section 9</w:t>
        </w:r>
      </w:hyperlink>
      <w:r w:rsidRPr="00EF2ADC">
        <w:rPr>
          <w:rFonts w:ascii="Times New Roman" w:eastAsia="Times New Roman" w:hAnsi="Times New Roman" w:cs="AsterV"/>
          <w:sz w:val="24"/>
          <w:szCs w:val="24"/>
        </w:rPr>
        <w:t>;</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B</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“fees for technical services” shall have the same meaning as in </w:t>
      </w:r>
      <w:r w:rsidRPr="00EF2ADC">
        <w:rPr>
          <w:rFonts w:ascii="Times New Roman" w:eastAsia="Times New Roman" w:hAnsi="Times New Roman" w:cs="AsterV"/>
          <w:i/>
          <w:iCs/>
          <w:sz w:val="24"/>
          <w:szCs w:val="24"/>
        </w:rPr>
        <w:t>Explanation2</w:t>
      </w:r>
      <w:r w:rsidRPr="00EF2ADC">
        <w:rPr>
          <w:rFonts w:ascii="Times New Roman" w:eastAsia="Times New Roman" w:hAnsi="Times New Roman" w:cs="AsterV"/>
          <w:sz w:val="24"/>
          <w:szCs w:val="24"/>
        </w:rPr>
        <w:t xml:space="preserve"> to clause (</w:t>
      </w:r>
      <w:r w:rsidRPr="00EF2ADC">
        <w:rPr>
          <w:rFonts w:ascii="Times New Roman" w:eastAsia="Times New Roman" w:hAnsi="Times New Roman" w:cs="AsterV"/>
          <w:i/>
          <w:iCs/>
          <w:sz w:val="24"/>
          <w:szCs w:val="24"/>
        </w:rPr>
        <w:t>vii</w:t>
      </w:r>
      <w:r w:rsidRPr="00EF2ADC">
        <w:rPr>
          <w:rFonts w:ascii="Times New Roman" w:eastAsia="Times New Roman" w:hAnsi="Times New Roman" w:cs="AsterV"/>
          <w:sz w:val="24"/>
          <w:szCs w:val="24"/>
        </w:rPr>
        <w:t xml:space="preserve">) of sub-section (1) of </w:t>
      </w:r>
      <w:hyperlink r:id="rId11" w:tgtFrame="top" w:history="1">
        <w:r w:rsidRPr="00EF2ADC">
          <w:rPr>
            <w:rFonts w:ascii="Times New Roman" w:eastAsia="Times New Roman" w:hAnsi="Times New Roman" w:cs="AsterV"/>
            <w:color w:val="0000FF"/>
            <w:sz w:val="24"/>
            <w:szCs w:val="24"/>
            <w:u w:val="single"/>
          </w:rPr>
          <w:t>section 9;</w:t>
        </w:r>
      </w:hyperlink>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i/>
          <w:iCs/>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ia</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any interest, commission or brokerage, </w:t>
      </w:r>
      <w:hyperlink r:id="rId12" w:tgtFrame="middle" w:history="1">
        <w:r w:rsidRPr="00EF2ADC">
          <w:rPr>
            <w:rFonts w:ascii="Times New Roman" w:eastAsia="Times New Roman" w:hAnsi="Times New Roman" w:cs="AsterV"/>
            <w:color w:val="0000FF"/>
            <w:sz w:val="24"/>
            <w:szCs w:val="24"/>
            <w:u w:val="single"/>
            <w:vertAlign w:val="superscript"/>
          </w:rPr>
          <w:t>91</w:t>
        </w:r>
      </w:hyperlink>
      <w:r w:rsidRPr="00EF2ADC">
        <w:rPr>
          <w:rFonts w:ascii="Times New Roman" w:eastAsia="Times New Roman" w:hAnsi="Times New Roman" w:cs="AsterV"/>
          <w:sz w:val="24"/>
          <w:szCs w:val="24"/>
        </w:rPr>
        <w:t xml:space="preserve">[rent, royalty,] fees for professional services or fees for technical services payable to a resident, or amounts payable to a contractor or sub-contractor, being resident, for carrying out any work (including supply of labour for carrying out any work), on which tax is deductible at source under Chapter XVII-B and such tax has not been deducted or, after deduction, </w:t>
      </w:r>
      <w:hyperlink r:id="rId13" w:tgtFrame="middle" w:history="1">
        <w:r w:rsidRPr="00EF2ADC">
          <w:rPr>
            <w:rFonts w:ascii="Times New Roman" w:eastAsia="Times New Roman" w:hAnsi="Times New Roman" w:cs="AsterV"/>
            <w:color w:val="0000FF"/>
            <w:sz w:val="24"/>
            <w:szCs w:val="24"/>
            <w:u w:val="single"/>
            <w:vertAlign w:val="superscript"/>
          </w:rPr>
          <w:t>92</w:t>
        </w:r>
      </w:hyperlink>
      <w:r w:rsidRPr="00EF2ADC">
        <w:rPr>
          <w:rFonts w:ascii="Times New Roman" w:eastAsia="Times New Roman" w:hAnsi="Times New Roman" w:cs="AsterV"/>
          <w:b/>
          <w:bCs/>
          <w:sz w:val="24"/>
          <w:szCs w:val="24"/>
        </w:rPr>
        <w:t>[</w:t>
      </w:r>
      <w:r w:rsidRPr="00EF2ADC">
        <w:rPr>
          <w:rFonts w:ascii="Times New Roman" w:eastAsia="Times New Roman" w:hAnsi="Times New Roman" w:cs="AsterV"/>
          <w:i/>
          <w:iCs/>
          <w:sz w:val="24"/>
          <w:szCs w:val="24"/>
        </w:rPr>
        <w:t xml:space="preserve">has not been paid on or before the due date specified in sub-section (1) of </w:t>
      </w:r>
      <w:hyperlink r:id="rId14" w:tgtFrame="top" w:history="1">
        <w:r w:rsidRPr="00EF2ADC">
          <w:rPr>
            <w:rFonts w:ascii="Times New Roman" w:eastAsia="Times New Roman" w:hAnsi="Times New Roman" w:cs="AsterV"/>
            <w:i/>
            <w:iCs/>
            <w:color w:val="0000FF"/>
            <w:sz w:val="24"/>
            <w:szCs w:val="24"/>
            <w:u w:val="single"/>
          </w:rPr>
          <w:t>section 139</w:t>
        </w:r>
      </w:hyperlink>
      <w:r w:rsidRPr="00EF2ADC">
        <w:rPr>
          <w:rFonts w:ascii="Times New Roman" w:eastAsia="Times New Roman" w:hAnsi="Times New Roman" w:cs="AsterV"/>
          <w:i/>
          <w:iCs/>
          <w:sz w:val="24"/>
          <w:szCs w:val="24"/>
        </w:rPr>
        <w:t xml:space="preserve"> :</w:t>
      </w:r>
      <w:r w:rsidRPr="00EF2ADC">
        <w:rPr>
          <w:rFonts w:ascii="Times New Roman" w:eastAsia="Times New Roman" w:hAnsi="Times New Roman" w:cs="AsterV"/>
          <w:b/>
          <w:bCs/>
          <w:sz w:val="24"/>
          <w:szCs w:val="24"/>
        </w:rPr>
        <w:t>]</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hyperlink r:id="rId15" w:tgtFrame="middle" w:history="1">
        <w:r w:rsidRPr="00EF2ADC">
          <w:rPr>
            <w:rFonts w:ascii="Times New Roman" w:eastAsia="Times New Roman" w:hAnsi="Times New Roman" w:cs="AsterV"/>
            <w:color w:val="0000FF"/>
            <w:sz w:val="24"/>
            <w:szCs w:val="24"/>
            <w:u w:val="single"/>
            <w:vertAlign w:val="superscript"/>
          </w:rPr>
          <w:t>93</w:t>
        </w:r>
      </w:hyperlink>
      <w:r w:rsidRPr="00EF2ADC">
        <w:rPr>
          <w:rFonts w:ascii="Times New Roman" w:eastAsia="Times New Roman" w:hAnsi="Times New Roman" w:cs="AsterV"/>
          <w:b/>
          <w:bCs/>
          <w:sz w:val="24"/>
          <w:szCs w:val="24"/>
        </w:rPr>
        <w:t xml:space="preserve">[Provided </w:t>
      </w:r>
      <w:r w:rsidRPr="00EF2ADC">
        <w:rPr>
          <w:rFonts w:ascii="Times New Roman" w:eastAsia="Times New Roman" w:hAnsi="Times New Roman" w:cs="AsterV"/>
          <w:i/>
          <w:iCs/>
          <w:sz w:val="24"/>
          <w:szCs w:val="24"/>
        </w:rPr>
        <w:t xml:space="preserve">that where in respect of any such sum, tax has been deducted in any subsequent year, or has been deducted during the previous year but paid after the due date specified in sub-section (1) of </w:t>
      </w:r>
      <w:hyperlink r:id="rId16" w:tgtFrame="top" w:history="1">
        <w:r w:rsidRPr="00EF2ADC">
          <w:rPr>
            <w:rFonts w:ascii="Times New Roman" w:eastAsia="Times New Roman" w:hAnsi="Times New Roman" w:cs="AsterV"/>
            <w:i/>
            <w:iCs/>
            <w:color w:val="0000FF"/>
            <w:sz w:val="24"/>
            <w:szCs w:val="24"/>
            <w:u w:val="single"/>
          </w:rPr>
          <w:t>section 139</w:t>
        </w:r>
      </w:hyperlink>
      <w:r w:rsidRPr="00EF2ADC">
        <w:rPr>
          <w:rFonts w:ascii="Times New Roman" w:eastAsia="Times New Roman" w:hAnsi="Times New Roman" w:cs="AsterV"/>
          <w:i/>
          <w:iCs/>
          <w:sz w:val="24"/>
          <w:szCs w:val="24"/>
        </w:rPr>
        <w:t>, such sum shall be allowed as a deduction in computing the income of the previous year in which such tax has been paid.</w:t>
      </w:r>
      <w:r w:rsidRPr="00EF2ADC">
        <w:rPr>
          <w:rFonts w:ascii="Times New Roman" w:eastAsia="Times New Roman" w:hAnsi="Times New Roman" w:cs="AsterV"/>
          <w:b/>
          <w:bCs/>
          <w:sz w:val="24"/>
          <w:szCs w:val="24"/>
        </w:rPr>
        <w:t>]</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lastRenderedPageBreak/>
        <w:tab/>
      </w:r>
      <w:r w:rsidRPr="00EF2ADC">
        <w:rPr>
          <w:rFonts w:ascii="Times New Roman" w:eastAsia="Times New Roman" w:hAnsi="Times New Roman" w:cs="AsterV"/>
          <w:sz w:val="24"/>
          <w:szCs w:val="24"/>
        </w:rPr>
        <w:tab/>
      </w:r>
      <w:r w:rsidRPr="00EF2ADC">
        <w:rPr>
          <w:rFonts w:ascii="Times New Roman" w:eastAsia="Times New Roman" w:hAnsi="Times New Roman" w:cs="AsterV"/>
          <w:i/>
          <w:iCs/>
          <w:sz w:val="24"/>
          <w:szCs w:val="24"/>
        </w:rPr>
        <w:t>Explanation.</w:t>
      </w:r>
      <w:r w:rsidRPr="00EF2ADC">
        <w:rPr>
          <w:rFonts w:ascii="Times New Roman" w:eastAsia="Times New Roman" w:hAnsi="Times New Roman" w:cs="AsterV"/>
          <w:sz w:val="24"/>
          <w:szCs w:val="24"/>
        </w:rPr>
        <w:t>—For the purposes of this sub-clause,—</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“commission or brokerage” shall have the same meaning as in clause (</w:t>
      </w:r>
      <w:r w:rsidRPr="00EF2ADC">
        <w:rPr>
          <w:rFonts w:ascii="Times New Roman" w:eastAsia="Times New Roman" w:hAnsi="Times New Roman" w:cs="AsterV"/>
          <w:i/>
          <w:iCs/>
          <w:sz w:val="24"/>
          <w:szCs w:val="24"/>
        </w:rPr>
        <w:t>i</w:t>
      </w:r>
      <w:r w:rsidRPr="00EF2ADC">
        <w:rPr>
          <w:rFonts w:ascii="Times New Roman" w:eastAsia="Times New Roman" w:hAnsi="Times New Roman" w:cs="AsterV"/>
          <w:sz w:val="24"/>
          <w:szCs w:val="24"/>
        </w:rPr>
        <w:t xml:space="preserve">) of the </w:t>
      </w:r>
      <w:r w:rsidRPr="00EF2ADC">
        <w:rPr>
          <w:rFonts w:ascii="Times New Roman" w:eastAsia="Times New Roman" w:hAnsi="Times New Roman" w:cs="AsterV"/>
          <w:i/>
          <w:iCs/>
          <w:sz w:val="24"/>
          <w:szCs w:val="24"/>
        </w:rPr>
        <w:t>Explanation</w:t>
      </w:r>
      <w:r w:rsidRPr="00EF2ADC">
        <w:rPr>
          <w:rFonts w:ascii="Times New Roman" w:eastAsia="Times New Roman" w:hAnsi="Times New Roman" w:cs="AsterV"/>
          <w:sz w:val="24"/>
          <w:szCs w:val="24"/>
        </w:rPr>
        <w:t xml:space="preserve"> to </w:t>
      </w:r>
      <w:hyperlink r:id="rId17" w:tgtFrame="top" w:history="1">
        <w:r w:rsidRPr="00EF2ADC">
          <w:rPr>
            <w:rFonts w:ascii="Times New Roman" w:eastAsia="Times New Roman" w:hAnsi="Times New Roman" w:cs="AsterV"/>
            <w:color w:val="0000FF"/>
            <w:sz w:val="24"/>
            <w:szCs w:val="24"/>
            <w:u w:val="single"/>
          </w:rPr>
          <w:t>section 194H</w:t>
        </w:r>
      </w:hyperlink>
      <w:r w:rsidRPr="00EF2ADC">
        <w:rPr>
          <w:rFonts w:ascii="Times New Roman" w:eastAsia="Times New Roman" w:hAnsi="Times New Roman" w:cs="AsterV"/>
          <w:sz w:val="24"/>
          <w:szCs w:val="24"/>
        </w:rPr>
        <w:t>;</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“fees for technical services” shall have the same meaning as in </w:t>
      </w:r>
      <w:r w:rsidRPr="00EF2ADC">
        <w:rPr>
          <w:rFonts w:ascii="Times New Roman" w:eastAsia="Times New Roman" w:hAnsi="Times New Roman" w:cs="AsterV"/>
          <w:i/>
          <w:iCs/>
          <w:sz w:val="24"/>
          <w:szCs w:val="24"/>
        </w:rPr>
        <w:t>Explanation2</w:t>
      </w:r>
      <w:r w:rsidRPr="00EF2ADC">
        <w:rPr>
          <w:rFonts w:ascii="Times New Roman" w:eastAsia="Times New Roman" w:hAnsi="Times New Roman" w:cs="AsterV"/>
          <w:sz w:val="24"/>
          <w:szCs w:val="24"/>
        </w:rPr>
        <w:t xml:space="preserve"> to clause (</w:t>
      </w:r>
      <w:r w:rsidRPr="00EF2ADC">
        <w:rPr>
          <w:rFonts w:ascii="Times New Roman" w:eastAsia="Times New Roman" w:hAnsi="Times New Roman" w:cs="AsterV"/>
          <w:i/>
          <w:iCs/>
          <w:sz w:val="24"/>
          <w:szCs w:val="24"/>
        </w:rPr>
        <w:t>vii</w:t>
      </w:r>
      <w:r w:rsidRPr="00EF2ADC">
        <w:rPr>
          <w:rFonts w:ascii="Times New Roman" w:eastAsia="Times New Roman" w:hAnsi="Times New Roman" w:cs="AsterV"/>
          <w:sz w:val="24"/>
          <w:szCs w:val="24"/>
        </w:rPr>
        <w:t xml:space="preserve">) of sub-section (1) of </w:t>
      </w:r>
      <w:hyperlink r:id="rId18" w:tgtFrame="top" w:history="1">
        <w:r w:rsidRPr="00EF2ADC">
          <w:rPr>
            <w:rFonts w:ascii="Times New Roman" w:eastAsia="Times New Roman" w:hAnsi="Times New Roman" w:cs="AsterV"/>
            <w:color w:val="0000FF"/>
            <w:sz w:val="24"/>
            <w:szCs w:val="24"/>
            <w:u w:val="single"/>
          </w:rPr>
          <w:t>section 9</w:t>
        </w:r>
      </w:hyperlink>
      <w:r w:rsidRPr="00EF2ADC">
        <w:rPr>
          <w:rFonts w:ascii="Times New Roman" w:eastAsia="Times New Roman" w:hAnsi="Times New Roman" w:cs="AsterV"/>
          <w:sz w:val="24"/>
          <w:szCs w:val="24"/>
        </w:rPr>
        <w:t>;</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“professional services” shall have the same meaning as in clause (</w:t>
      </w:r>
      <w:r w:rsidRPr="00EF2ADC">
        <w:rPr>
          <w:rFonts w:ascii="Times New Roman" w:eastAsia="Times New Roman" w:hAnsi="Times New Roman" w:cs="AsterV"/>
          <w:i/>
          <w:iCs/>
          <w:sz w:val="24"/>
          <w:szCs w:val="24"/>
        </w:rPr>
        <w:t>a</w:t>
      </w:r>
      <w:r w:rsidRPr="00EF2ADC">
        <w:rPr>
          <w:rFonts w:ascii="Times New Roman" w:eastAsia="Times New Roman" w:hAnsi="Times New Roman" w:cs="AsterV"/>
          <w:sz w:val="24"/>
          <w:szCs w:val="24"/>
        </w:rPr>
        <w:t xml:space="preserve">) of the </w:t>
      </w:r>
      <w:r w:rsidRPr="00EF2ADC">
        <w:rPr>
          <w:rFonts w:ascii="Times New Roman" w:eastAsia="Times New Roman" w:hAnsi="Times New Roman" w:cs="AsterV"/>
          <w:i/>
          <w:iCs/>
          <w:sz w:val="24"/>
          <w:szCs w:val="24"/>
        </w:rPr>
        <w:t>Explanation</w:t>
      </w:r>
      <w:r w:rsidRPr="00EF2ADC">
        <w:rPr>
          <w:rFonts w:ascii="Times New Roman" w:eastAsia="Times New Roman" w:hAnsi="Times New Roman" w:cs="AsterV"/>
          <w:sz w:val="24"/>
          <w:szCs w:val="24"/>
        </w:rPr>
        <w:t xml:space="preserve"> to </w:t>
      </w:r>
      <w:hyperlink r:id="rId19" w:tgtFrame="top" w:history="1">
        <w:r w:rsidRPr="00EF2ADC">
          <w:rPr>
            <w:rFonts w:ascii="Times New Roman" w:eastAsia="Times New Roman" w:hAnsi="Times New Roman" w:cs="AsterV"/>
            <w:color w:val="0000FF"/>
            <w:sz w:val="24"/>
            <w:szCs w:val="24"/>
            <w:u w:val="single"/>
          </w:rPr>
          <w:t>section 194J</w:t>
        </w:r>
      </w:hyperlink>
      <w:r w:rsidRPr="00EF2ADC">
        <w:rPr>
          <w:rFonts w:ascii="Times New Roman" w:eastAsia="Times New Roman" w:hAnsi="Times New Roman" w:cs="AsterV"/>
          <w:sz w:val="24"/>
          <w:szCs w:val="24"/>
        </w:rPr>
        <w:t>;</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iv</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“work” shall have the same meaning as in </w:t>
      </w:r>
      <w:r w:rsidRPr="00EF2ADC">
        <w:rPr>
          <w:rFonts w:ascii="Times New Roman" w:eastAsia="Times New Roman" w:hAnsi="Times New Roman" w:cs="AsterV"/>
          <w:i/>
          <w:iCs/>
          <w:sz w:val="24"/>
          <w:szCs w:val="24"/>
        </w:rPr>
        <w:t xml:space="preserve">ExplanationIII </w:t>
      </w:r>
      <w:r w:rsidRPr="00EF2ADC">
        <w:rPr>
          <w:rFonts w:ascii="Times New Roman" w:eastAsia="Times New Roman" w:hAnsi="Times New Roman" w:cs="AsterV"/>
          <w:sz w:val="24"/>
          <w:szCs w:val="24"/>
        </w:rPr>
        <w:t xml:space="preserve">to </w:t>
      </w:r>
      <w:hyperlink r:id="rId20" w:tgtFrame="top" w:history="1">
        <w:r w:rsidRPr="00EF2ADC">
          <w:rPr>
            <w:rFonts w:ascii="Times New Roman" w:eastAsia="Times New Roman" w:hAnsi="Times New Roman" w:cs="AsterV"/>
            <w:color w:val="0000FF"/>
            <w:sz w:val="24"/>
            <w:szCs w:val="24"/>
            <w:u w:val="single"/>
          </w:rPr>
          <w:t>section 194C</w:t>
        </w:r>
      </w:hyperlink>
      <w:r w:rsidRPr="00EF2ADC">
        <w:rPr>
          <w:rFonts w:ascii="Times New Roman" w:eastAsia="Times New Roman" w:hAnsi="Times New Roman" w:cs="AsterV"/>
          <w:sz w:val="24"/>
          <w:szCs w:val="24"/>
        </w:rPr>
        <w:t>;</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21" w:tgtFrame="middle" w:history="1">
        <w:r w:rsidRPr="00EF2ADC">
          <w:rPr>
            <w:rFonts w:ascii="Times New Roman" w:eastAsia="Times New Roman" w:hAnsi="Times New Roman" w:cs="AsterV"/>
            <w:color w:val="0000FF"/>
            <w:sz w:val="24"/>
            <w:szCs w:val="24"/>
            <w:u w:val="single"/>
            <w:vertAlign w:val="superscript"/>
          </w:rPr>
          <w:t>94</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v</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“rent” shall have the same meaning as in clause (</w:t>
      </w:r>
      <w:r w:rsidRPr="00EF2ADC">
        <w:rPr>
          <w:rFonts w:ascii="Times New Roman" w:eastAsia="Times New Roman" w:hAnsi="Times New Roman" w:cs="AsterV"/>
          <w:i/>
          <w:iCs/>
          <w:sz w:val="24"/>
          <w:szCs w:val="24"/>
        </w:rPr>
        <w:t>i</w:t>
      </w:r>
      <w:r w:rsidRPr="00EF2ADC">
        <w:rPr>
          <w:rFonts w:ascii="Times New Roman" w:eastAsia="Times New Roman" w:hAnsi="Times New Roman" w:cs="AsterV"/>
          <w:sz w:val="24"/>
          <w:szCs w:val="24"/>
        </w:rPr>
        <w:t xml:space="preserve">) to the </w:t>
      </w:r>
      <w:r w:rsidRPr="00EF2ADC">
        <w:rPr>
          <w:rFonts w:ascii="Times New Roman" w:eastAsia="Times New Roman" w:hAnsi="Times New Roman" w:cs="AsterV"/>
          <w:i/>
          <w:iCs/>
          <w:sz w:val="24"/>
          <w:szCs w:val="24"/>
        </w:rPr>
        <w:t xml:space="preserve">Explanation </w:t>
      </w:r>
      <w:r w:rsidRPr="00EF2ADC">
        <w:rPr>
          <w:rFonts w:ascii="Times New Roman" w:eastAsia="Times New Roman" w:hAnsi="Times New Roman" w:cs="AsterV"/>
          <w:sz w:val="24"/>
          <w:szCs w:val="24"/>
        </w:rPr>
        <w:t xml:space="preserve">to </w:t>
      </w:r>
      <w:hyperlink r:id="rId22" w:tgtFrame="top" w:history="1">
        <w:r w:rsidRPr="00EF2ADC">
          <w:rPr>
            <w:rFonts w:ascii="Times New Roman" w:eastAsia="Times New Roman" w:hAnsi="Times New Roman" w:cs="AsterV"/>
            <w:color w:val="0000FF"/>
            <w:sz w:val="24"/>
            <w:szCs w:val="24"/>
            <w:u w:val="single"/>
          </w:rPr>
          <w:t>section 194-I</w:t>
        </w:r>
      </w:hyperlink>
      <w:r w:rsidRPr="00EF2ADC">
        <w:rPr>
          <w:rFonts w:ascii="Times New Roman" w:eastAsia="Times New Roman" w:hAnsi="Times New Roman" w:cs="AsterV"/>
          <w:sz w:val="24"/>
          <w:szCs w:val="24"/>
        </w:rPr>
        <w:t>;</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vi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“royalty” shall have the same meaning as in </w:t>
      </w:r>
      <w:r w:rsidRPr="00EF2ADC">
        <w:rPr>
          <w:rFonts w:ascii="Times New Roman" w:eastAsia="Times New Roman" w:hAnsi="Times New Roman" w:cs="AsterV"/>
          <w:i/>
          <w:iCs/>
          <w:sz w:val="24"/>
          <w:szCs w:val="24"/>
        </w:rPr>
        <w:t xml:space="preserve">Explanation 2 </w:t>
      </w:r>
      <w:r w:rsidRPr="00EF2ADC">
        <w:rPr>
          <w:rFonts w:ascii="Times New Roman" w:eastAsia="Times New Roman" w:hAnsi="Times New Roman" w:cs="AsterV"/>
          <w:sz w:val="24"/>
          <w:szCs w:val="24"/>
        </w:rPr>
        <w:t>to clause (</w:t>
      </w:r>
      <w:r w:rsidRPr="00EF2ADC">
        <w:rPr>
          <w:rFonts w:ascii="Times New Roman" w:eastAsia="Times New Roman" w:hAnsi="Times New Roman" w:cs="AsterV"/>
          <w:i/>
          <w:iCs/>
          <w:sz w:val="24"/>
          <w:szCs w:val="24"/>
        </w:rPr>
        <w:t>vi</w:t>
      </w:r>
      <w:r w:rsidRPr="00EF2ADC">
        <w:rPr>
          <w:rFonts w:ascii="Times New Roman" w:eastAsia="Times New Roman" w:hAnsi="Times New Roman" w:cs="AsterV"/>
          <w:sz w:val="24"/>
          <w:szCs w:val="24"/>
        </w:rPr>
        <w:t xml:space="preserve">) of sub-section (1) of </w:t>
      </w:r>
      <w:hyperlink r:id="rId23" w:tgtFrame="top" w:history="1">
        <w:r w:rsidRPr="00EF2ADC">
          <w:rPr>
            <w:rFonts w:ascii="Times New Roman" w:eastAsia="Times New Roman" w:hAnsi="Times New Roman" w:cs="AsterV"/>
            <w:color w:val="0000FF"/>
            <w:sz w:val="24"/>
            <w:szCs w:val="24"/>
            <w:u w:val="single"/>
          </w:rPr>
          <w:t>section 9;]</w:t>
        </w:r>
      </w:hyperlink>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ib</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r>
      <w:hyperlink r:id="rId24" w:tgtFrame="middle" w:history="1">
        <w:r w:rsidRPr="00EF2ADC">
          <w:rPr>
            <w:rFonts w:ascii="Times New Roman" w:eastAsia="Times New Roman" w:hAnsi="Times New Roman" w:cs="AsterV"/>
            <w:color w:val="0000FF"/>
            <w:sz w:val="24"/>
            <w:szCs w:val="24"/>
            <w:u w:val="single"/>
            <w:vertAlign w:val="superscript"/>
          </w:rPr>
          <w:t>95</w:t>
        </w:r>
      </w:hyperlink>
      <w:r w:rsidRPr="00EF2ADC">
        <w:rPr>
          <w:rFonts w:ascii="Times New Roman" w:eastAsia="Times New Roman" w:hAnsi="Times New Roman" w:cs="AsterV"/>
          <w:sz w:val="24"/>
          <w:szCs w:val="24"/>
        </w:rPr>
        <w:t>[***]]</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25" w:tgtFrame="middle" w:history="1">
        <w:r w:rsidRPr="00EF2ADC">
          <w:rPr>
            <w:rFonts w:ascii="Times New Roman" w:eastAsia="Times New Roman" w:hAnsi="Times New Roman" w:cs="AsterV"/>
            <w:color w:val="0000FF"/>
            <w:sz w:val="24"/>
            <w:szCs w:val="24"/>
            <w:u w:val="single"/>
            <w:vertAlign w:val="superscript"/>
          </w:rPr>
          <w:t>96</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ic</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sum paid on account of fringe benefit tax under Chapter XIIH;]</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26" w:tgtFrame="middle" w:history="1">
        <w:r w:rsidRPr="00EF2ADC">
          <w:rPr>
            <w:rFonts w:ascii="Times New Roman" w:eastAsia="Times New Roman" w:hAnsi="Times New Roman" w:cs="AsterV"/>
            <w:color w:val="0000FF"/>
            <w:sz w:val="24"/>
            <w:szCs w:val="24"/>
            <w:u w:val="single"/>
            <w:vertAlign w:val="superscript"/>
          </w:rPr>
          <w:t>97</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sum paid on account of any rate or tax levied</w:t>
      </w:r>
      <w:hyperlink r:id="rId27" w:tgtFrame="middle" w:history="1">
        <w:r w:rsidRPr="00EF2ADC">
          <w:rPr>
            <w:rFonts w:ascii="Times New Roman" w:eastAsia="Times New Roman" w:hAnsi="Times New Roman" w:cs="AsterV"/>
            <w:color w:val="0000FF"/>
            <w:sz w:val="24"/>
            <w:szCs w:val="24"/>
            <w:u w:val="single"/>
            <w:vertAlign w:val="superscript"/>
          </w:rPr>
          <w:t>98</w:t>
        </w:r>
      </w:hyperlink>
      <w:r w:rsidRPr="00EF2ADC">
        <w:rPr>
          <w:rFonts w:ascii="Times New Roman" w:eastAsia="Times New Roman" w:hAnsi="Times New Roman" w:cs="AsterV"/>
          <w:sz w:val="24"/>
          <w:szCs w:val="24"/>
        </w:rPr>
        <w:t xml:space="preserve"> on the profits or gains of any business or profession</w:t>
      </w:r>
      <w:hyperlink r:id="rId28" w:tgtFrame="middle" w:history="1">
        <w:r w:rsidRPr="00EF2ADC">
          <w:rPr>
            <w:rFonts w:ascii="Times New Roman" w:eastAsia="Times New Roman" w:hAnsi="Times New Roman" w:cs="AsterV"/>
            <w:color w:val="0000FF"/>
            <w:sz w:val="24"/>
            <w:szCs w:val="24"/>
            <w:u w:val="single"/>
            <w:vertAlign w:val="superscript"/>
          </w:rPr>
          <w:t>98</w:t>
        </w:r>
      </w:hyperlink>
      <w:r w:rsidRPr="00EF2ADC">
        <w:rPr>
          <w:rFonts w:ascii="Times New Roman" w:eastAsia="Times New Roman" w:hAnsi="Times New Roman" w:cs="AsterV"/>
          <w:sz w:val="24"/>
          <w:szCs w:val="24"/>
        </w:rPr>
        <w:t xml:space="preserve"> or assessed at a proportion of, or otherwise on the basis of, any such profits or gains.</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hyperlink r:id="rId29" w:tgtFrame="middle" w:history="1">
        <w:r w:rsidRPr="00EF2ADC">
          <w:rPr>
            <w:rFonts w:ascii="Times New Roman" w:eastAsia="Times New Roman" w:hAnsi="Times New Roman" w:cs="AsterV"/>
            <w:color w:val="0000FF"/>
            <w:sz w:val="24"/>
            <w:szCs w:val="24"/>
            <w:u w:val="single"/>
            <w:vertAlign w:val="superscript"/>
          </w:rPr>
          <w:t>99</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Explanation 1.—</w:t>
      </w:r>
      <w:r w:rsidRPr="00EF2ADC">
        <w:rPr>
          <w:rFonts w:ascii="Times New Roman" w:eastAsia="Times New Roman" w:hAnsi="Times New Roman" w:cs="AsterV"/>
          <w:sz w:val="24"/>
          <w:szCs w:val="24"/>
        </w:rPr>
        <w:t xml:space="preserve">For the removal of doubts, it is hereby declared that for the purposes of this sub-clause, any sum paid on account of any rate or tax levied includes and shall be deemed always to have included any sum eligible for relief of tax under </w:t>
      </w:r>
      <w:hyperlink r:id="rId30" w:tgtFrame="top" w:history="1">
        <w:r w:rsidRPr="00EF2ADC">
          <w:rPr>
            <w:rFonts w:ascii="Times New Roman" w:eastAsia="Times New Roman" w:hAnsi="Times New Roman" w:cs="AsterV"/>
            <w:color w:val="0000FF"/>
            <w:sz w:val="24"/>
            <w:szCs w:val="24"/>
            <w:u w:val="single"/>
          </w:rPr>
          <w:t>section 90</w:t>
        </w:r>
      </w:hyperlink>
      <w:r w:rsidRPr="00EF2ADC">
        <w:rPr>
          <w:rFonts w:ascii="Times New Roman" w:eastAsia="Times New Roman" w:hAnsi="Times New Roman" w:cs="AsterV"/>
          <w:sz w:val="24"/>
          <w:szCs w:val="24"/>
        </w:rPr>
        <w:t xml:space="preserve"> or, as the case may be, deduction from the Indian income-tax payable under </w:t>
      </w:r>
      <w:hyperlink r:id="rId31" w:tgtFrame="top" w:history="1">
        <w:r w:rsidRPr="00EF2ADC">
          <w:rPr>
            <w:rFonts w:ascii="Times New Roman" w:eastAsia="Times New Roman" w:hAnsi="Times New Roman" w:cs="AsterV"/>
            <w:color w:val="0000FF"/>
            <w:sz w:val="24"/>
            <w:szCs w:val="24"/>
            <w:u w:val="single"/>
          </w:rPr>
          <w:t>section 91</w:t>
        </w:r>
      </w:hyperlink>
      <w:r w:rsidRPr="00EF2ADC">
        <w:rPr>
          <w:rFonts w:ascii="Times New Roman" w:eastAsia="Times New Roman" w:hAnsi="Times New Roman" w:cs="AsterV"/>
          <w:sz w:val="24"/>
          <w:szCs w:val="24"/>
        </w:rPr>
        <w:t>.]</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hyperlink r:id="rId32" w:tgtFrame="middle" w:history="1">
        <w:r w:rsidRPr="00EF2ADC">
          <w:rPr>
            <w:rFonts w:ascii="Times New Roman" w:eastAsia="Times New Roman" w:hAnsi="Times New Roman" w:cs="AsterV"/>
            <w:color w:val="0000FF"/>
            <w:sz w:val="24"/>
            <w:szCs w:val="24"/>
            <w:u w:val="single"/>
            <w:vertAlign w:val="superscript"/>
          </w:rPr>
          <w:t>1</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Explanation 2.—</w:t>
      </w:r>
      <w:r w:rsidRPr="00EF2ADC">
        <w:rPr>
          <w:rFonts w:ascii="Times New Roman" w:eastAsia="Times New Roman" w:hAnsi="Times New Roman" w:cs="AsterV"/>
          <w:sz w:val="24"/>
          <w:szCs w:val="24"/>
        </w:rPr>
        <w:t xml:space="preserve">For the removal of doubts, it is hereby declared that for the purposes of this sub-clause, any sum paid on account of any rate or tax levied includes any sum eligible for relief of tax under </w:t>
      </w:r>
      <w:hyperlink r:id="rId33" w:tgtFrame="top" w:history="1">
        <w:r w:rsidRPr="00EF2ADC">
          <w:rPr>
            <w:rFonts w:ascii="Times New Roman" w:eastAsia="Times New Roman" w:hAnsi="Times New Roman" w:cs="AsterV"/>
            <w:color w:val="0000FF"/>
            <w:sz w:val="24"/>
            <w:szCs w:val="24"/>
            <w:u w:val="single"/>
          </w:rPr>
          <w:t>section 90A</w:t>
        </w:r>
      </w:hyperlink>
      <w:r w:rsidRPr="00EF2ADC">
        <w:rPr>
          <w:rFonts w:ascii="Times New Roman" w:eastAsia="Times New Roman" w:hAnsi="Times New Roman" w:cs="AsterV"/>
          <w:sz w:val="24"/>
          <w:szCs w:val="24"/>
        </w:rPr>
        <w:t>;]</w:t>
      </w:r>
    </w:p>
    <w:p w:rsidR="00EF2ADC" w:rsidRPr="00EF2ADC" w:rsidRDefault="00EF2ADC" w:rsidP="00EF2ADC">
      <w:pPr>
        <w:tabs>
          <w:tab w:val="right" w:pos="1200"/>
          <w:tab w:val="left" w:pos="1320"/>
        </w:tabs>
        <w:adjustRightInd w:val="0"/>
        <w:spacing w:after="60" w:line="240" w:lineRule="auto"/>
        <w:ind w:left="1320" w:hanging="78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34" w:tgtFrame="middle" w:history="1">
        <w:r w:rsidRPr="00EF2ADC">
          <w:rPr>
            <w:rFonts w:ascii="Times New Roman" w:eastAsia="Times New Roman" w:hAnsi="Times New Roman" w:cs="AsterV"/>
            <w:color w:val="0000FF"/>
            <w:sz w:val="24"/>
            <w:szCs w:val="24"/>
            <w:u w:val="single"/>
            <w:vertAlign w:val="superscript"/>
          </w:rPr>
          <w:t>2</w:t>
        </w:r>
      </w:hyperlink>
      <w:r w:rsidRPr="00EF2ADC">
        <w:rPr>
          <w:rFonts w:ascii="Times New Roman" w:eastAsia="Times New Roman" w:hAnsi="Times New Roman" w:cs="AsterV"/>
          <w:sz w:val="24"/>
          <w:szCs w:val="24"/>
        </w:rPr>
        <w:t>[</w:t>
      </w:r>
      <w:hyperlink r:id="rId35" w:tgtFrame="middle" w:history="1">
        <w:r w:rsidRPr="00EF2ADC">
          <w:rPr>
            <w:rFonts w:ascii="Times New Roman" w:eastAsia="Times New Roman" w:hAnsi="Times New Roman" w:cs="AsterV"/>
            <w:color w:val="0000FF"/>
            <w:sz w:val="24"/>
            <w:szCs w:val="24"/>
            <w:u w:val="single"/>
            <w:vertAlign w:val="superscript"/>
          </w:rPr>
          <w:t>3</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iia</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sum paid on account of wealth-tax.</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r w:rsidRPr="00EF2ADC">
        <w:rPr>
          <w:rFonts w:ascii="Times New Roman" w:eastAsia="Times New Roman" w:hAnsi="Times New Roman" w:cs="AsterV"/>
          <w:i/>
          <w:iCs/>
          <w:sz w:val="24"/>
          <w:szCs w:val="24"/>
        </w:rPr>
        <w:t>Explanation.</w:t>
      </w:r>
      <w:r w:rsidRPr="00EF2ADC">
        <w:rPr>
          <w:rFonts w:ascii="Times New Roman" w:eastAsia="Times New Roman" w:hAnsi="Times New Roman" w:cs="AsterV"/>
          <w:sz w:val="24"/>
          <w:szCs w:val="24"/>
        </w:rPr>
        <w:t>—For the purposes of this sub-clause, “wealth-tax” means wealth-tax chargeable under the Wealth-tax Act, 1957 (27 of 1957), or any tax of a similar character chargeable under any law in force in any country outside India or any tax chargeable under such law with reference to the value of the assets of, or the capital employed in, a business or profession carried on by the assessee, whether or not the debts of the business or profession are allowed as a deduction in computing the amount with reference to which such tax is charged, but does not include any tax chargeable with reference to the value of any particular asset of the business or profession;]</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36" w:tgtFrame="middle" w:history="1">
        <w:r w:rsidRPr="00EF2ADC">
          <w:rPr>
            <w:rFonts w:ascii="Times New Roman" w:eastAsia="Times New Roman" w:hAnsi="Times New Roman" w:cs="AsterV"/>
            <w:color w:val="0000FF"/>
            <w:sz w:val="24"/>
            <w:szCs w:val="24"/>
            <w:u w:val="single"/>
            <w:vertAlign w:val="superscript"/>
          </w:rPr>
          <w:t>4</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iii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payment which is chargeable under the head “Salaries”, if it is payable—</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A</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outside </w:t>
      </w:r>
      <w:smartTag w:uri="urn:schemas-microsoft-com:office:smarttags" w:element="place">
        <w:smartTag w:uri="urn:schemas-microsoft-com:office:smarttags" w:element="country-region">
          <w:r w:rsidRPr="00EF2ADC">
            <w:rPr>
              <w:rFonts w:ascii="Times New Roman" w:eastAsia="Times New Roman" w:hAnsi="Times New Roman" w:cs="AsterV"/>
              <w:sz w:val="24"/>
              <w:szCs w:val="24"/>
            </w:rPr>
            <w:t>India</w:t>
          </w:r>
        </w:smartTag>
      </w:smartTag>
      <w:r w:rsidRPr="00EF2ADC">
        <w:rPr>
          <w:rFonts w:ascii="Times New Roman" w:eastAsia="Times New Roman" w:hAnsi="Times New Roman" w:cs="AsterV"/>
          <w:sz w:val="24"/>
          <w:szCs w:val="24"/>
        </w:rPr>
        <w:t>; or</w:t>
      </w:r>
    </w:p>
    <w:p w:rsidR="00EF2ADC" w:rsidRPr="00EF2ADC" w:rsidRDefault="00EF2ADC" w:rsidP="00EF2ADC">
      <w:pPr>
        <w:tabs>
          <w:tab w:val="right" w:pos="1560"/>
          <w:tab w:val="left" w:pos="1680"/>
        </w:tabs>
        <w:adjustRightInd w:val="0"/>
        <w:spacing w:after="60" w:line="240" w:lineRule="auto"/>
        <w:ind w:left="168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B</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to a non-resident,</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t>and if the tax has not been paid thereon nor deducted therefrom under Chapter XVII-B;]</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iv</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any payment to a provident or other fund established for the benefit of employees of the assessee, unless the assessee has made effective arrangements to secure that </w:t>
      </w:r>
      <w:r w:rsidRPr="00EF2ADC">
        <w:rPr>
          <w:rFonts w:ascii="Times New Roman" w:eastAsia="Times New Roman" w:hAnsi="Times New Roman" w:cs="AsterV"/>
          <w:sz w:val="24"/>
          <w:szCs w:val="24"/>
        </w:rPr>
        <w:lastRenderedPageBreak/>
        <w:t>tax shall be deducted at source from any payments made from the fund which are chargeable to tax under the head “Salaries”;</w:t>
      </w:r>
    </w:p>
    <w:p w:rsidR="00EF2ADC" w:rsidRPr="00EF2ADC" w:rsidRDefault="00EF2ADC" w:rsidP="00EF2ADC">
      <w:pPr>
        <w:tabs>
          <w:tab w:val="right" w:pos="1200"/>
          <w:tab w:val="left" w:pos="1320"/>
        </w:tabs>
        <w:adjustRightInd w:val="0"/>
        <w:spacing w:after="40" w:line="240" w:lineRule="auto"/>
        <w:ind w:left="1320" w:hanging="720"/>
        <w:jc w:val="both"/>
        <w:rPr>
          <w:rFonts w:ascii="Times New Roman" w:eastAsia="Times New Roman" w:hAnsi="Times New Roman" w:cs="AsterV"/>
          <w:i/>
          <w:iCs/>
          <w:sz w:val="24"/>
          <w:szCs w:val="24"/>
        </w:rPr>
      </w:pPr>
      <w:r w:rsidRPr="00EF2ADC">
        <w:rPr>
          <w:rFonts w:ascii="Times New Roman" w:eastAsia="Times New Roman" w:hAnsi="Times New Roman" w:cs="AsterV"/>
          <w:i/>
          <w:iCs/>
          <w:sz w:val="24"/>
          <w:szCs w:val="24"/>
        </w:rPr>
        <w:tab/>
      </w:r>
      <w:hyperlink r:id="rId37" w:tgtFrame="middle" w:history="1">
        <w:r w:rsidRPr="00EF2ADC">
          <w:rPr>
            <w:rFonts w:ascii="Times New Roman" w:eastAsia="Times New Roman" w:hAnsi="Times New Roman" w:cs="AsterV"/>
            <w:color w:val="0000FF"/>
            <w:sz w:val="24"/>
            <w:szCs w:val="24"/>
            <w:u w:val="single"/>
            <w:vertAlign w:val="superscript"/>
          </w:rPr>
          <w:t>5</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v</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tax actually paid by an employer referred to in clause (</w:t>
      </w:r>
      <w:r w:rsidRPr="00EF2ADC">
        <w:rPr>
          <w:rFonts w:ascii="Times New Roman" w:eastAsia="Times New Roman" w:hAnsi="Times New Roman" w:cs="AsterV"/>
          <w:i/>
          <w:iCs/>
          <w:sz w:val="24"/>
          <w:szCs w:val="24"/>
        </w:rPr>
        <w:t>10CC</w:t>
      </w:r>
      <w:r w:rsidRPr="00EF2ADC">
        <w:rPr>
          <w:rFonts w:ascii="Times New Roman" w:eastAsia="Times New Roman" w:hAnsi="Times New Roman" w:cs="AsterV"/>
          <w:sz w:val="24"/>
          <w:szCs w:val="24"/>
        </w:rPr>
        <w:t xml:space="preserve">) of </w:t>
      </w:r>
      <w:hyperlink r:id="rId38" w:tgtFrame="top" w:history="1">
        <w:r w:rsidRPr="00EF2ADC">
          <w:rPr>
            <w:rFonts w:ascii="Times New Roman" w:eastAsia="Times New Roman" w:hAnsi="Times New Roman" w:cs="AsterV"/>
            <w:color w:val="0000FF"/>
            <w:sz w:val="24"/>
            <w:szCs w:val="24"/>
            <w:u w:val="single"/>
          </w:rPr>
          <w:t>section 10</w:t>
        </w:r>
      </w:hyperlink>
      <w:r w:rsidRPr="00EF2ADC">
        <w:rPr>
          <w:rFonts w:ascii="Times New Roman" w:eastAsia="Times New Roman" w:hAnsi="Times New Roman" w:cs="AsterV"/>
          <w:sz w:val="24"/>
          <w:szCs w:val="24"/>
        </w:rPr>
        <w:t>;]</w:t>
      </w:r>
    </w:p>
    <w:p w:rsidR="00EF2ADC" w:rsidRPr="00EF2ADC" w:rsidRDefault="00EF2ADC" w:rsidP="00EF2ADC">
      <w:pPr>
        <w:tabs>
          <w:tab w:val="right" w:pos="840"/>
          <w:tab w:val="left" w:pos="960"/>
        </w:tabs>
        <w:adjustRightInd w:val="0"/>
        <w:spacing w:after="7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39" w:tgtFrame="middle" w:history="1">
        <w:r w:rsidRPr="00EF2ADC">
          <w:rPr>
            <w:rFonts w:ascii="Times New Roman" w:eastAsia="Times New Roman" w:hAnsi="Times New Roman" w:cs="AsterV"/>
            <w:color w:val="0000FF"/>
            <w:sz w:val="24"/>
            <w:szCs w:val="24"/>
            <w:u w:val="single"/>
            <w:vertAlign w:val="superscript"/>
          </w:rPr>
          <w:t>6</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b</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in the case of any firm assessable as such,—</w:t>
      </w:r>
    </w:p>
    <w:p w:rsidR="00EF2ADC" w:rsidRPr="00EF2ADC" w:rsidRDefault="00EF2ADC" w:rsidP="00EF2ADC">
      <w:pPr>
        <w:tabs>
          <w:tab w:val="right" w:pos="1200"/>
          <w:tab w:val="left" w:pos="1320"/>
        </w:tabs>
        <w:adjustRightInd w:val="0"/>
        <w:spacing w:after="7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payment of salary, bonus, commission or remuneration, by whatever name called (hereinafter referred to as “remuneration”) to any partner who is not a working partner; or</w:t>
      </w:r>
    </w:p>
    <w:p w:rsidR="00EF2ADC" w:rsidRPr="00EF2ADC" w:rsidRDefault="00EF2ADC" w:rsidP="00EF2ADC">
      <w:pPr>
        <w:tabs>
          <w:tab w:val="right" w:pos="1200"/>
          <w:tab w:val="left" w:pos="1320"/>
        </w:tabs>
        <w:adjustRightInd w:val="0"/>
        <w:spacing w:after="7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payment of remuneration to any partner who is a working partner, or of interest to any partner, which, in either case, is not authorised by, or is not in accordance with, the terms of the partnership deed; or</w:t>
      </w:r>
    </w:p>
    <w:p w:rsidR="00EF2ADC" w:rsidRPr="00EF2ADC" w:rsidRDefault="00EF2ADC" w:rsidP="00EF2ADC">
      <w:pPr>
        <w:tabs>
          <w:tab w:val="right" w:pos="1200"/>
          <w:tab w:val="left" w:pos="1320"/>
        </w:tabs>
        <w:adjustRightInd w:val="0"/>
        <w:spacing w:after="7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payment of remuneration to any partner who is a working partner, or of interest to any partner, which, in either case, is authorised by, and is in accordance with, the terms of the partnership deed, but which relates to any period (falling prior to the date of such partnership deed) for which such payment was not authorised by, or is not in accordance with, any earlier partnership deed, so, however, that the period of authorisation for such payment by any earlier partnership deed does not cover any period prior to the date of such earlier partnership deed; or</w:t>
      </w:r>
    </w:p>
    <w:p w:rsidR="00EF2ADC" w:rsidRPr="00EF2ADC" w:rsidRDefault="00EF2ADC" w:rsidP="00EF2ADC">
      <w:pPr>
        <w:tabs>
          <w:tab w:val="right" w:pos="1200"/>
          <w:tab w:val="left" w:pos="1320"/>
        </w:tabs>
        <w:adjustRightInd w:val="0"/>
        <w:spacing w:after="7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iv</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 xml:space="preserve">any payment of interest to any partner which is authorised by, and is in accordance with, the terms of the partnership deed and relates to any period falling after the date of such partnership deed in so far as such amount exceeds the amount calculated at the rate of </w:t>
      </w:r>
      <w:hyperlink r:id="rId40" w:tgtFrame="middle" w:history="1">
        <w:r w:rsidRPr="00EF2ADC">
          <w:rPr>
            <w:rFonts w:ascii="Times New Roman" w:eastAsia="Times New Roman" w:hAnsi="Times New Roman" w:cs="AsterV"/>
            <w:color w:val="0000FF"/>
            <w:sz w:val="24"/>
            <w:szCs w:val="24"/>
            <w:u w:val="single"/>
            <w:vertAlign w:val="superscript"/>
          </w:rPr>
          <w:t>7</w:t>
        </w:r>
      </w:hyperlink>
      <w:r w:rsidRPr="00EF2ADC">
        <w:rPr>
          <w:rFonts w:ascii="Times New Roman" w:eastAsia="Times New Roman" w:hAnsi="Times New Roman" w:cs="AsterV"/>
          <w:sz w:val="24"/>
          <w:szCs w:val="24"/>
        </w:rPr>
        <w:t>[twelve] per cent simple interest per annum; or</w:t>
      </w:r>
    </w:p>
    <w:p w:rsidR="00EF2ADC" w:rsidRPr="00EF2ADC" w:rsidRDefault="00EF2ADC" w:rsidP="00EF2ADC">
      <w:pPr>
        <w:tabs>
          <w:tab w:val="right" w:pos="1200"/>
          <w:tab w:val="left" w:pos="1320"/>
        </w:tabs>
        <w:adjustRightInd w:val="0"/>
        <w:spacing w:after="7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41" w:tgtFrame="middle" w:history="1">
        <w:r w:rsidRPr="00EF2ADC">
          <w:rPr>
            <w:rFonts w:ascii="Times New Roman" w:eastAsia="Times New Roman" w:hAnsi="Times New Roman" w:cs="AsterV"/>
            <w:color w:val="0000FF"/>
            <w:sz w:val="24"/>
            <w:szCs w:val="24"/>
            <w:u w:val="single"/>
            <w:vertAlign w:val="superscript"/>
          </w:rPr>
          <w:t>8</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v</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any payment of remuneration to any partner who is a working partner, which is authorised by, and is in accordance with, the terms of the partnership deed and relates to any period falling after the date of such partnership deed in so far as the amount of such payment to all the partners during the previous year exceeds the aggregate amount computed as hereunder :—</w:t>
      </w:r>
    </w:p>
    <w:tbl>
      <w:tblPr>
        <w:tblW w:w="5000" w:type="pct"/>
        <w:jc w:val="center"/>
        <w:tblLook w:val="01E0"/>
      </w:tblPr>
      <w:tblGrid>
        <w:gridCol w:w="5052"/>
        <w:gridCol w:w="4524"/>
      </w:tblGrid>
      <w:tr w:rsidR="00EF2ADC" w:rsidRPr="00EF2ADC" w:rsidTr="00EF2ADC">
        <w:trPr>
          <w:jc w:val="center"/>
        </w:trPr>
        <w:tc>
          <w:tcPr>
            <w:tcW w:w="2638" w:type="pct"/>
            <w:hideMark/>
          </w:tcPr>
          <w:p w:rsidR="00EF2ADC" w:rsidRPr="00EF2ADC" w:rsidRDefault="00EF2ADC" w:rsidP="00EF2ADC">
            <w:pPr>
              <w:tabs>
                <w:tab w:val="right" w:pos="1320"/>
                <w:tab w:val="left" w:pos="1440"/>
              </w:tabs>
              <w:adjustRightInd w:val="0"/>
              <w:spacing w:after="80" w:line="240" w:lineRule="auto"/>
              <w:ind w:left="1440" w:right="720" w:hanging="480"/>
              <w:jc w:val="both"/>
              <w:rPr>
                <w:rFonts w:ascii="Times New Roman" w:eastAsia="Times New Roman" w:hAnsi="Times New Roman" w:cs="AsterV"/>
                <w:i/>
                <w:iCs/>
                <w:sz w:val="24"/>
                <w:szCs w:val="24"/>
              </w:rPr>
            </w:pPr>
            <w:r w:rsidRPr="00EF2ADC">
              <w:rPr>
                <w:rFonts w:ascii="Times New Roman" w:eastAsia="Times New Roman" w:hAnsi="Times New Roman" w:cs="AsterV"/>
                <w:sz w:val="24"/>
                <w:szCs w:val="24"/>
              </w:rPr>
              <w:tab/>
            </w:r>
            <w:hyperlink r:id="rId42" w:tgtFrame="middle" w:history="1">
              <w:r w:rsidRPr="00EF2ADC">
                <w:rPr>
                  <w:rFonts w:ascii="Times New Roman" w:eastAsia="Times New Roman" w:hAnsi="Times New Roman" w:cs="AsterV"/>
                  <w:color w:val="0000FF"/>
                  <w:sz w:val="24"/>
                  <w:szCs w:val="24"/>
                  <w:u w:val="single"/>
                  <w:vertAlign w:val="superscript"/>
                </w:rPr>
                <w:t>9</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w:t>
            </w:r>
            <w:r w:rsidRPr="00EF2ADC">
              <w:rPr>
                <w:rFonts w:ascii="Times New Roman" w:eastAsia="Times New Roman" w:hAnsi="Times New Roman" w:cs="AsterV"/>
                <w:sz w:val="24"/>
                <w:szCs w:val="24"/>
              </w:rPr>
              <w:t>a</w:t>
            </w:r>
            <w:r w:rsidRPr="00EF2ADC">
              <w:rPr>
                <w:rFonts w:ascii="Times New Roman" w:eastAsia="Times New Roman" w:hAnsi="Times New Roman" w:cs="AsterV"/>
                <w:i/>
                <w:iCs/>
                <w:sz w:val="24"/>
                <w:szCs w:val="24"/>
              </w:rPr>
              <w:t>)</w:t>
            </w:r>
            <w:r w:rsidRPr="00EF2ADC">
              <w:rPr>
                <w:rFonts w:ascii="Times New Roman" w:eastAsia="Times New Roman" w:hAnsi="Times New Roman" w:cs="AsterV"/>
                <w:i/>
                <w:iCs/>
                <w:sz w:val="24"/>
                <w:szCs w:val="24"/>
              </w:rPr>
              <w:tab/>
              <w:t>on the first Rs. 3,00,000 of the book-profit or in case of a loss</w:t>
            </w:r>
          </w:p>
        </w:tc>
        <w:tc>
          <w:tcPr>
            <w:tcW w:w="2362" w:type="pct"/>
            <w:hideMark/>
          </w:tcPr>
          <w:p w:rsidR="00EF2ADC" w:rsidRPr="00EF2ADC" w:rsidRDefault="00EF2ADC" w:rsidP="00EF2ADC">
            <w:pPr>
              <w:adjustRightInd w:val="0"/>
              <w:spacing w:after="80" w:line="240" w:lineRule="auto"/>
              <w:ind w:left="240"/>
              <w:jc w:val="both"/>
              <w:rPr>
                <w:rFonts w:ascii="Times New Roman" w:eastAsia="Times New Roman" w:hAnsi="Times New Roman" w:cs="AsterV"/>
                <w:i/>
                <w:iCs/>
                <w:sz w:val="24"/>
                <w:szCs w:val="24"/>
              </w:rPr>
            </w:pPr>
            <w:r w:rsidRPr="00EF2ADC">
              <w:rPr>
                <w:rFonts w:ascii="Times New Roman" w:eastAsia="Times New Roman" w:hAnsi="Times New Roman" w:cs="AsterV"/>
                <w:i/>
                <w:iCs/>
                <w:sz w:val="24"/>
                <w:szCs w:val="24"/>
              </w:rPr>
              <w:t>Rs. 1,50,000 or at the rate of 90 per cent of the book-profit, whichever is more;</w:t>
            </w:r>
          </w:p>
        </w:tc>
      </w:tr>
      <w:tr w:rsidR="00EF2ADC" w:rsidRPr="00EF2ADC" w:rsidTr="00EF2ADC">
        <w:trPr>
          <w:jc w:val="center"/>
        </w:trPr>
        <w:tc>
          <w:tcPr>
            <w:tcW w:w="2638" w:type="pct"/>
            <w:hideMark/>
          </w:tcPr>
          <w:p w:rsidR="00EF2ADC" w:rsidRPr="00EF2ADC" w:rsidRDefault="00EF2ADC" w:rsidP="00EF2ADC">
            <w:pPr>
              <w:tabs>
                <w:tab w:val="right" w:pos="1320"/>
                <w:tab w:val="left" w:pos="1440"/>
              </w:tabs>
              <w:adjustRightInd w:val="0"/>
              <w:spacing w:after="80" w:line="240" w:lineRule="auto"/>
              <w:ind w:left="1440" w:right="720" w:hanging="480"/>
              <w:jc w:val="both"/>
              <w:rPr>
                <w:rFonts w:ascii="Times New Roman" w:eastAsia="Times New Roman" w:hAnsi="Times New Roman" w:cs="AsterV"/>
                <w:i/>
                <w:iCs/>
                <w:sz w:val="24"/>
                <w:szCs w:val="24"/>
              </w:rPr>
            </w:pPr>
            <w:r w:rsidRPr="00EF2ADC">
              <w:rPr>
                <w:rFonts w:ascii="Times New Roman" w:eastAsia="Times New Roman" w:hAnsi="Times New Roman" w:cs="AsterV"/>
                <w:i/>
                <w:iCs/>
                <w:sz w:val="24"/>
                <w:szCs w:val="24"/>
              </w:rPr>
              <w:tab/>
              <w:t>(</w:t>
            </w:r>
            <w:r w:rsidRPr="00EF2ADC">
              <w:rPr>
                <w:rFonts w:ascii="Times New Roman" w:eastAsia="Times New Roman" w:hAnsi="Times New Roman" w:cs="AsterV"/>
                <w:sz w:val="24"/>
                <w:szCs w:val="24"/>
              </w:rPr>
              <w:t>b</w:t>
            </w:r>
            <w:r w:rsidRPr="00EF2ADC">
              <w:rPr>
                <w:rFonts w:ascii="Times New Roman" w:eastAsia="Times New Roman" w:hAnsi="Times New Roman" w:cs="AsterV"/>
                <w:i/>
                <w:iCs/>
                <w:sz w:val="24"/>
                <w:szCs w:val="24"/>
              </w:rPr>
              <w:t>)</w:t>
            </w:r>
            <w:r w:rsidRPr="00EF2ADC">
              <w:rPr>
                <w:rFonts w:ascii="Times New Roman" w:eastAsia="Times New Roman" w:hAnsi="Times New Roman" w:cs="AsterV"/>
                <w:i/>
                <w:iCs/>
                <w:sz w:val="24"/>
                <w:szCs w:val="24"/>
              </w:rPr>
              <w:tab/>
              <w:t>on the balance of the book-profit</w:t>
            </w:r>
          </w:p>
        </w:tc>
        <w:tc>
          <w:tcPr>
            <w:tcW w:w="2362" w:type="pct"/>
            <w:hideMark/>
          </w:tcPr>
          <w:p w:rsidR="00EF2ADC" w:rsidRPr="00EF2ADC" w:rsidRDefault="00EF2ADC" w:rsidP="00EF2ADC">
            <w:pPr>
              <w:adjustRightInd w:val="0"/>
              <w:spacing w:after="80" w:line="240" w:lineRule="auto"/>
              <w:ind w:left="240"/>
              <w:jc w:val="both"/>
              <w:rPr>
                <w:rFonts w:ascii="Times New Roman" w:eastAsia="Times New Roman" w:hAnsi="Times New Roman" w:cs="AsterV"/>
                <w:i/>
                <w:iCs/>
                <w:sz w:val="24"/>
                <w:szCs w:val="24"/>
              </w:rPr>
            </w:pPr>
            <w:r w:rsidRPr="00EF2ADC">
              <w:rPr>
                <w:rFonts w:ascii="Times New Roman" w:eastAsia="Times New Roman" w:hAnsi="Times New Roman" w:cs="AsterV"/>
                <w:i/>
                <w:iCs/>
                <w:sz w:val="24"/>
                <w:szCs w:val="24"/>
              </w:rPr>
              <w:t>at the rate of 60 per cent :</w:t>
            </w:r>
            <w:r w:rsidRPr="00EF2ADC">
              <w:rPr>
                <w:rFonts w:ascii="Times New Roman" w:eastAsia="Times New Roman" w:hAnsi="Times New Roman" w:cs="AsterV"/>
                <w:sz w:val="24"/>
                <w:szCs w:val="24"/>
              </w:rPr>
              <w:t>]</w:t>
            </w:r>
          </w:p>
        </w:tc>
      </w:tr>
    </w:tbl>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b/>
          <w:bCs/>
          <w:sz w:val="24"/>
          <w:szCs w:val="24"/>
        </w:rPr>
        <w:tab/>
      </w:r>
      <w:r w:rsidRPr="00EF2ADC">
        <w:rPr>
          <w:rFonts w:ascii="Times New Roman" w:eastAsia="Times New Roman" w:hAnsi="Times New Roman" w:cs="AsterV"/>
          <w:b/>
          <w:bCs/>
          <w:sz w:val="24"/>
          <w:szCs w:val="24"/>
        </w:rPr>
        <w:tab/>
        <w:t>Provided</w:t>
      </w:r>
      <w:r w:rsidRPr="00EF2ADC">
        <w:rPr>
          <w:rFonts w:ascii="Times New Roman" w:eastAsia="Times New Roman" w:hAnsi="Times New Roman" w:cs="AsterV"/>
          <w:sz w:val="24"/>
          <w:szCs w:val="24"/>
        </w:rPr>
        <w:t xml:space="preserve"> that in relation to any payment under this clause to the partner during the previous year relevant to the assessment year commencing on the 1st day of April, 1993, the terms of the partnership deed may, at any time during the said previous year, provide for such payment.</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r w:rsidRPr="00EF2ADC">
        <w:rPr>
          <w:rFonts w:ascii="Times New Roman" w:eastAsia="Times New Roman" w:hAnsi="Times New Roman" w:cs="AsterV"/>
          <w:i/>
          <w:iCs/>
          <w:sz w:val="24"/>
          <w:szCs w:val="24"/>
        </w:rPr>
        <w:t>Explanation 1.</w:t>
      </w:r>
      <w:r w:rsidRPr="00EF2ADC">
        <w:rPr>
          <w:rFonts w:ascii="Times New Roman" w:eastAsia="Times New Roman" w:hAnsi="Times New Roman" w:cs="AsterV"/>
          <w:sz w:val="24"/>
          <w:szCs w:val="24"/>
        </w:rPr>
        <w:t>—Where an individual is a partner in a firm on behalf, or for the benefit, of any other person (such partner and the other person being hereinafter referred to as “partner in a representative capacity” and “person so represented”, respectively),—</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interest paid by the firm to such individual otherwise than as partner in a representative capacity, shall not be taken into account for the purposes of this clause;</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lastRenderedPageBreak/>
        <w:tab/>
        <w:t>(</w:t>
      </w:r>
      <w:r w:rsidRPr="00EF2ADC">
        <w:rPr>
          <w:rFonts w:ascii="Times New Roman" w:eastAsia="Times New Roman" w:hAnsi="Times New Roman" w:cs="AsterV"/>
          <w:i/>
          <w:iCs/>
          <w:sz w:val="24"/>
          <w:szCs w:val="24"/>
        </w:rPr>
        <w:t>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interest paid by the firm to such individual as partner in a representative capacity and interest paid by the firm to the person so represented shall be taken into account for the purposes of this clause.</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i/>
          <w:iCs/>
          <w:sz w:val="24"/>
          <w:szCs w:val="24"/>
        </w:rPr>
        <w:tab/>
      </w:r>
      <w:r w:rsidRPr="00EF2ADC">
        <w:rPr>
          <w:rFonts w:ascii="Times New Roman" w:eastAsia="Times New Roman" w:hAnsi="Times New Roman" w:cs="AsterV"/>
          <w:i/>
          <w:iCs/>
          <w:sz w:val="24"/>
          <w:szCs w:val="24"/>
        </w:rPr>
        <w:tab/>
        <w:t>Explanation 2.</w:t>
      </w:r>
      <w:r w:rsidRPr="00EF2ADC">
        <w:rPr>
          <w:rFonts w:ascii="Times New Roman" w:eastAsia="Times New Roman" w:hAnsi="Times New Roman" w:cs="AsterV"/>
          <w:sz w:val="24"/>
          <w:szCs w:val="24"/>
        </w:rPr>
        <w:t>—Where an individual is a partner in a firm otherwise than as partner in a representative capacity, interest paid by the firm to such individual shall not be taken into account for the purposes of this clause, if such interest is received by him on behalf, or for the benefit, of any other person.</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r w:rsidRPr="00EF2ADC">
        <w:rPr>
          <w:rFonts w:ascii="Times New Roman" w:eastAsia="Times New Roman" w:hAnsi="Times New Roman" w:cs="AsterV"/>
          <w:i/>
          <w:iCs/>
          <w:sz w:val="24"/>
          <w:szCs w:val="24"/>
        </w:rPr>
        <w:t>Explanation 3.</w:t>
      </w:r>
      <w:r w:rsidRPr="00EF2ADC">
        <w:rPr>
          <w:rFonts w:ascii="Times New Roman" w:eastAsia="Times New Roman" w:hAnsi="Times New Roman" w:cs="AsterV"/>
          <w:sz w:val="24"/>
          <w:szCs w:val="24"/>
        </w:rPr>
        <w:t>—For the purposes of this clause, “book-profit” means the net profit, as shown in the profit and loss account for the relevant previous year, computed in the manner laid down in Chapter IV-D as increased by the aggregate amount of the remuneration paid or payable to all the partners of the firm if such amount has been deducted while computing the net profit.</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r w:rsidRPr="00EF2ADC">
        <w:rPr>
          <w:rFonts w:ascii="Times New Roman" w:eastAsia="Times New Roman" w:hAnsi="Times New Roman" w:cs="AsterV"/>
          <w:i/>
          <w:iCs/>
          <w:sz w:val="24"/>
          <w:szCs w:val="24"/>
        </w:rPr>
        <w:t>Explanation 4.</w:t>
      </w:r>
      <w:r w:rsidRPr="00EF2ADC">
        <w:rPr>
          <w:rFonts w:ascii="Times New Roman" w:eastAsia="Times New Roman" w:hAnsi="Times New Roman" w:cs="AsterV"/>
          <w:sz w:val="24"/>
          <w:szCs w:val="24"/>
        </w:rPr>
        <w:t>—For the purposes of this clause, “working partner” means an individual who is actively engaged in conducting the affairs of the business or profession of the firm of which he is a partner;]</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hyperlink r:id="rId43" w:tgtFrame="middle" w:history="1">
        <w:r w:rsidRPr="00EF2ADC">
          <w:rPr>
            <w:rFonts w:ascii="Times New Roman" w:eastAsia="Times New Roman" w:hAnsi="Times New Roman" w:cs="AsterV"/>
            <w:color w:val="0000FF"/>
            <w:sz w:val="24"/>
            <w:szCs w:val="24"/>
            <w:u w:val="single"/>
            <w:vertAlign w:val="superscript"/>
          </w:rPr>
          <w:t>10</w:t>
        </w:r>
      </w:hyperlink>
      <w:r w:rsidRPr="00EF2ADC">
        <w:rPr>
          <w:rFonts w:ascii="Times New Roman" w:eastAsia="Times New Roman" w:hAnsi="Times New Roman" w:cs="AsterV"/>
          <w:sz w:val="24"/>
          <w:szCs w:val="24"/>
        </w:rPr>
        <w:t>[(</w:t>
      </w:r>
      <w:r w:rsidRPr="00EF2ADC">
        <w:rPr>
          <w:rFonts w:ascii="Times New Roman" w:eastAsia="Times New Roman" w:hAnsi="Times New Roman" w:cs="AsterV"/>
          <w:i/>
          <w:iCs/>
          <w:sz w:val="24"/>
          <w:szCs w:val="24"/>
        </w:rPr>
        <w:t>ba</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in the case of an association of persons or body of individuals [other than a company or a co-operative society or a society registered under the Societies Registration Act, 1860 (21 of 1860), or under any law corresponding to that Act in force in any part of India], any payment of interest, salary, bonus, commission or remuneration, by whatever name called, made by such association or body to a member of such association or body.</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r w:rsidRPr="00EF2ADC">
        <w:rPr>
          <w:rFonts w:ascii="Times New Roman" w:eastAsia="Times New Roman" w:hAnsi="Times New Roman" w:cs="AsterV"/>
          <w:i/>
          <w:iCs/>
          <w:sz w:val="24"/>
          <w:szCs w:val="24"/>
        </w:rPr>
        <w:t>Explanation 1.</w:t>
      </w:r>
      <w:r w:rsidRPr="00EF2ADC">
        <w:rPr>
          <w:rFonts w:ascii="Times New Roman" w:eastAsia="Times New Roman" w:hAnsi="Times New Roman" w:cs="AsterV"/>
          <w:sz w:val="24"/>
          <w:szCs w:val="24"/>
        </w:rPr>
        <w:t>—Where interest is paid by an association or body to any member thereof who has also paid interest to the association or body, the amount of interest to be disallowed under this clause shall be limited to the amount by which the payment of interest by the association or body to the member exceeds the payment of interest by the member to the association or body.</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r>
      <w:r w:rsidRPr="00EF2ADC">
        <w:rPr>
          <w:rFonts w:ascii="Times New Roman" w:eastAsia="Times New Roman" w:hAnsi="Times New Roman" w:cs="AsterV"/>
          <w:sz w:val="24"/>
          <w:szCs w:val="24"/>
        </w:rPr>
        <w:tab/>
      </w:r>
      <w:r w:rsidRPr="00EF2ADC">
        <w:rPr>
          <w:rFonts w:ascii="Times New Roman" w:eastAsia="Times New Roman" w:hAnsi="Times New Roman" w:cs="AsterV"/>
          <w:i/>
          <w:iCs/>
          <w:sz w:val="24"/>
          <w:szCs w:val="24"/>
        </w:rPr>
        <w:t>Explanation 2.</w:t>
      </w:r>
      <w:r w:rsidRPr="00EF2ADC">
        <w:rPr>
          <w:rFonts w:ascii="Times New Roman" w:eastAsia="Times New Roman" w:hAnsi="Times New Roman" w:cs="AsterV"/>
          <w:sz w:val="24"/>
          <w:szCs w:val="24"/>
        </w:rPr>
        <w:t>—Where an individual is a member of an association or body on behalf, or for the benefit, of any other person (such member and the other person being hereinafter referred to as “member in a representative capacity” and “person so represented”, respectively),—</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interest paid by the association or body to such individual or by such individual to the association or body otherwise than as member in a representative capacity, shall not be taken into account for the purposes of this clause;</w:t>
      </w:r>
    </w:p>
    <w:p w:rsidR="00EF2ADC" w:rsidRPr="00EF2ADC" w:rsidRDefault="00EF2ADC" w:rsidP="00EF2ADC">
      <w:pPr>
        <w:tabs>
          <w:tab w:val="right" w:pos="1200"/>
          <w:tab w:val="left" w:pos="1320"/>
        </w:tabs>
        <w:adjustRightInd w:val="0"/>
        <w:spacing w:after="60" w:line="240" w:lineRule="auto"/>
        <w:ind w:left="1320" w:hanging="72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ii</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interest paid by the association or body to such individual or by such individual to the association or body as member in a representative capacity and interest paid by the association or body to the person so represented or by the person so represented to the association or body, shall be taken into account for the purposes of this clause.</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i/>
          <w:iCs/>
          <w:sz w:val="24"/>
          <w:szCs w:val="24"/>
        </w:rPr>
        <w:tab/>
      </w:r>
      <w:r w:rsidRPr="00EF2ADC">
        <w:rPr>
          <w:rFonts w:ascii="Times New Roman" w:eastAsia="Times New Roman" w:hAnsi="Times New Roman" w:cs="AsterV"/>
          <w:i/>
          <w:iCs/>
          <w:sz w:val="24"/>
          <w:szCs w:val="24"/>
        </w:rPr>
        <w:tab/>
        <w:t>Explanation 3.</w:t>
      </w:r>
      <w:r w:rsidRPr="00EF2ADC">
        <w:rPr>
          <w:rFonts w:ascii="Times New Roman" w:eastAsia="Times New Roman" w:hAnsi="Times New Roman" w:cs="AsterV"/>
          <w:sz w:val="24"/>
          <w:szCs w:val="24"/>
        </w:rPr>
        <w:t>—Where an individual is a member of an association or body otherwise than as member in a representative capacity, interest paid by the association or body to such individual shall not be taken into account for the purposes of this clause, if such interest is received by him on behalf, or for the benefit, of any other person.]</w:t>
      </w:r>
    </w:p>
    <w:p w:rsidR="00EF2ADC" w:rsidRPr="00EF2ADC" w:rsidRDefault="00EF2ADC" w:rsidP="00EF2ADC">
      <w:pPr>
        <w:tabs>
          <w:tab w:val="right" w:pos="840"/>
          <w:tab w:val="left" w:pos="960"/>
        </w:tabs>
        <w:adjustRightInd w:val="0"/>
        <w:spacing w:after="60" w:line="240" w:lineRule="auto"/>
        <w:ind w:left="960" w:hanging="960"/>
        <w:jc w:val="both"/>
        <w:rPr>
          <w:rFonts w:ascii="Times New Roman" w:eastAsia="Times New Roman" w:hAnsi="Times New Roman" w:cs="AsterV"/>
          <w:sz w:val="24"/>
          <w:szCs w:val="24"/>
        </w:rPr>
      </w:pP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c</w:t>
      </w:r>
      <w:r w:rsidRPr="00EF2ADC">
        <w:rPr>
          <w:rFonts w:ascii="Times New Roman" w:eastAsia="Times New Roman" w:hAnsi="Times New Roman" w:cs="AsterV"/>
          <w:sz w:val="24"/>
          <w:szCs w:val="24"/>
        </w:rPr>
        <w:t>)</w:t>
      </w:r>
      <w:r w:rsidRPr="00EF2ADC">
        <w:rPr>
          <w:rFonts w:ascii="Times New Roman" w:eastAsia="Times New Roman" w:hAnsi="Times New Roman" w:cs="AsterV"/>
          <w:sz w:val="24"/>
          <w:szCs w:val="24"/>
        </w:rPr>
        <w:tab/>
        <w:t>[</w:t>
      </w:r>
      <w:r w:rsidRPr="00EF2ADC">
        <w:rPr>
          <w:rFonts w:ascii="Times New Roman" w:eastAsia="Times New Roman" w:hAnsi="Times New Roman" w:cs="AsterV"/>
          <w:i/>
          <w:iCs/>
          <w:sz w:val="24"/>
          <w:szCs w:val="24"/>
        </w:rPr>
        <w:t>Omitted by the Direct Tax Laws (Amendment) Act, 1987, w.e.f. 1-4-1989. Earlier, it was amended by the Finance Act, 1963, w.e.f. 1-4-1963, Finance Act, 1964, w.e.f. 1-4-</w:t>
      </w:r>
      <w:r w:rsidRPr="00EF2ADC">
        <w:rPr>
          <w:rFonts w:ascii="Times New Roman" w:eastAsia="Times New Roman" w:hAnsi="Times New Roman" w:cs="AsterV"/>
          <w:i/>
          <w:iCs/>
          <w:sz w:val="24"/>
          <w:szCs w:val="24"/>
        </w:rPr>
        <w:lastRenderedPageBreak/>
        <w:t>1964, Finance Act, 1965, w.e.f. 1-4-1965, Finance Act, 1968, w.e.f. 1-4-1969, Finance (No. 2) Act, 1971, w.e.f. 1-4-1972, Finance Act, 1984, w.e.f. 1-4-1985 and Direct Tax Laws (Amendment) Act, 1987, w.e.f. 1-4-1988.</w:t>
      </w:r>
      <w:r w:rsidRPr="00EF2ADC">
        <w:rPr>
          <w:rFonts w:ascii="Times New Roman" w:eastAsia="Times New Roman" w:hAnsi="Times New Roman" w:cs="AsterV"/>
          <w:sz w:val="24"/>
          <w:szCs w:val="24"/>
        </w:rPr>
        <w:t>]</w:t>
      </w:r>
    </w:p>
    <w:p w:rsidR="00EF2ADC" w:rsidRDefault="00EF2ADC">
      <w:pPr>
        <w:rPr>
          <w:rFonts w:ascii="Bookman Old Style" w:hAnsi="Bookman Old Style"/>
          <w:b/>
          <w:u w:val="single"/>
        </w:rPr>
      </w:pPr>
      <w:r>
        <w:rPr>
          <w:rFonts w:ascii="Bookman Old Style" w:hAnsi="Bookman Old Style"/>
          <w:b/>
          <w:u w:val="single"/>
        </w:rPr>
        <w:t>Meaning:</w:t>
      </w:r>
    </w:p>
    <w:p w:rsidR="00EF2ADC" w:rsidRPr="00AE40F5" w:rsidRDefault="00AE40F5" w:rsidP="00903304">
      <w:pPr>
        <w:pStyle w:val="ListParagraph"/>
        <w:numPr>
          <w:ilvl w:val="0"/>
          <w:numId w:val="3"/>
        </w:numPr>
        <w:spacing w:line="240" w:lineRule="auto"/>
        <w:contextualSpacing w:val="0"/>
        <w:rPr>
          <w:rFonts w:ascii="Bookman Old Style" w:hAnsi="Bookman Old Style"/>
        </w:rPr>
      </w:pPr>
      <w:r w:rsidRPr="00AE40F5">
        <w:rPr>
          <w:rFonts w:ascii="Bookman Old Style" w:hAnsi="Bookman Old Style"/>
        </w:rPr>
        <w:t xml:space="preserve">40(a) (i) </w:t>
      </w:r>
      <w:r w:rsidR="00EF2ADC" w:rsidRPr="00AE40F5">
        <w:rPr>
          <w:rFonts w:ascii="Bookman Old Style" w:hAnsi="Bookman Old Style"/>
        </w:rPr>
        <w:t xml:space="preserve">Inadmissible when Interest, royalty, fees </w:t>
      </w:r>
      <w:r w:rsidRPr="00AE40F5">
        <w:rPr>
          <w:rFonts w:ascii="Bookman Old Style" w:hAnsi="Bookman Old Style"/>
        </w:rPr>
        <w:t>for technical services paid</w:t>
      </w:r>
      <w:r w:rsidR="00903304">
        <w:rPr>
          <w:rFonts w:ascii="Bookman Old Style" w:hAnsi="Bookman Old Style"/>
        </w:rPr>
        <w:t xml:space="preserve"> out side India </w:t>
      </w:r>
      <w:r w:rsidRPr="00AE40F5">
        <w:rPr>
          <w:rFonts w:ascii="Bookman Old Style" w:hAnsi="Bookman Old Style"/>
        </w:rPr>
        <w:t xml:space="preserve">without deducting </w:t>
      </w:r>
      <w:r w:rsidR="00EF2ADC" w:rsidRPr="00AE40F5">
        <w:rPr>
          <w:rFonts w:ascii="Bookman Old Style" w:hAnsi="Bookman Old Style"/>
        </w:rPr>
        <w:t>TDS or deducted TDS is not deposited.</w:t>
      </w:r>
    </w:p>
    <w:p w:rsidR="00903304" w:rsidRDefault="00903304" w:rsidP="00903304">
      <w:pPr>
        <w:pStyle w:val="ListParagraph"/>
        <w:numPr>
          <w:ilvl w:val="0"/>
          <w:numId w:val="3"/>
        </w:numPr>
        <w:spacing w:line="240" w:lineRule="auto"/>
        <w:contextualSpacing w:val="0"/>
        <w:rPr>
          <w:rFonts w:ascii="Bookman Old Style" w:hAnsi="Bookman Old Style"/>
        </w:rPr>
      </w:pPr>
      <w:r>
        <w:rPr>
          <w:rFonts w:ascii="Bookman Old Style" w:hAnsi="Bookman Old Style"/>
        </w:rPr>
        <w:t>40(a) (iii) salaries paid ort side India or in India to a non-resident with our deducting TDS or deducted TDS is not deposited.</w:t>
      </w:r>
    </w:p>
    <w:p w:rsidR="00EF2ADC" w:rsidRDefault="00903304" w:rsidP="00903304">
      <w:pPr>
        <w:pStyle w:val="ListParagraph"/>
        <w:numPr>
          <w:ilvl w:val="0"/>
          <w:numId w:val="3"/>
        </w:numPr>
        <w:spacing w:line="240" w:lineRule="auto"/>
        <w:contextualSpacing w:val="0"/>
        <w:rPr>
          <w:rFonts w:ascii="Bookman Old Style" w:hAnsi="Bookman Old Style"/>
        </w:rPr>
      </w:pPr>
      <w:r>
        <w:rPr>
          <w:rFonts w:ascii="Bookman Old Style" w:hAnsi="Bookman Old Style"/>
        </w:rPr>
        <w:t>40</w:t>
      </w:r>
      <w:r w:rsidR="00403990">
        <w:rPr>
          <w:rFonts w:ascii="Bookman Old Style" w:hAnsi="Bookman Old Style"/>
        </w:rPr>
        <w:t xml:space="preserve">(a) (ia) </w:t>
      </w:r>
      <w:r w:rsidR="00403990" w:rsidRPr="00AE40F5">
        <w:rPr>
          <w:rFonts w:ascii="Bookman Old Style" w:hAnsi="Bookman Old Style"/>
        </w:rPr>
        <w:t xml:space="preserve">) Inadmissible when Interest, royalty, fees for technical services </w:t>
      </w:r>
      <w:r w:rsidR="00403990">
        <w:rPr>
          <w:rFonts w:ascii="Bookman Old Style" w:hAnsi="Bookman Old Style"/>
        </w:rPr>
        <w:t xml:space="preserve">and amounts credited or paid to contractors &amp; sub-contractors </w:t>
      </w:r>
      <w:r w:rsidR="00403990" w:rsidRPr="00AE40F5">
        <w:rPr>
          <w:rFonts w:ascii="Bookman Old Style" w:hAnsi="Bookman Old Style"/>
        </w:rPr>
        <w:t>paid</w:t>
      </w:r>
      <w:r w:rsidR="00403990">
        <w:rPr>
          <w:rFonts w:ascii="Bookman Old Style" w:hAnsi="Bookman Old Style"/>
        </w:rPr>
        <w:t xml:space="preserve"> in India </w:t>
      </w:r>
      <w:r w:rsidR="00403990" w:rsidRPr="00AE40F5">
        <w:rPr>
          <w:rFonts w:ascii="Bookman Old Style" w:hAnsi="Bookman Old Style"/>
        </w:rPr>
        <w:t>without deducting TDS or deducted TDS is not deposited.</w:t>
      </w:r>
    </w:p>
    <w:p w:rsidR="00403990" w:rsidRDefault="00403990" w:rsidP="00903304">
      <w:pPr>
        <w:pStyle w:val="ListParagraph"/>
        <w:numPr>
          <w:ilvl w:val="0"/>
          <w:numId w:val="3"/>
        </w:numPr>
        <w:spacing w:line="240" w:lineRule="auto"/>
        <w:contextualSpacing w:val="0"/>
        <w:rPr>
          <w:rFonts w:ascii="Bookman Old Style" w:hAnsi="Bookman Old Style"/>
        </w:rPr>
      </w:pPr>
      <w:r>
        <w:rPr>
          <w:rFonts w:ascii="Bookman Old Style" w:hAnsi="Bookman Old Style"/>
        </w:rPr>
        <w:t>40(a) (ic) Payment of Fringe Benefit Tax</w:t>
      </w:r>
    </w:p>
    <w:p w:rsidR="00403990" w:rsidRDefault="002E3244" w:rsidP="00903304">
      <w:pPr>
        <w:pStyle w:val="ListParagraph"/>
        <w:numPr>
          <w:ilvl w:val="0"/>
          <w:numId w:val="3"/>
        </w:numPr>
        <w:spacing w:line="240" w:lineRule="auto"/>
        <w:contextualSpacing w:val="0"/>
        <w:rPr>
          <w:rFonts w:ascii="Bookman Old Style" w:hAnsi="Bookman Old Style"/>
        </w:rPr>
      </w:pPr>
      <w:r>
        <w:rPr>
          <w:rFonts w:ascii="Bookman Old Style" w:hAnsi="Bookman Old Style"/>
        </w:rPr>
        <w:t>40(a) (ii) Rates and taxes levied on profits or gains of any business or profession</w:t>
      </w:r>
    </w:p>
    <w:p w:rsidR="002E3244" w:rsidRDefault="002E3244" w:rsidP="00903304">
      <w:pPr>
        <w:pStyle w:val="ListParagraph"/>
        <w:numPr>
          <w:ilvl w:val="0"/>
          <w:numId w:val="3"/>
        </w:numPr>
        <w:spacing w:line="240" w:lineRule="auto"/>
        <w:contextualSpacing w:val="0"/>
        <w:rPr>
          <w:rFonts w:ascii="Bookman Old Style" w:hAnsi="Bookman Old Style"/>
        </w:rPr>
      </w:pPr>
      <w:r>
        <w:rPr>
          <w:rFonts w:ascii="Bookman Old Style" w:hAnsi="Bookman Old Style"/>
        </w:rPr>
        <w:t>40(a) (iia) Wealth tax paid</w:t>
      </w:r>
    </w:p>
    <w:p w:rsidR="002E3244" w:rsidRDefault="002E3244" w:rsidP="00903304">
      <w:pPr>
        <w:pStyle w:val="ListParagraph"/>
        <w:numPr>
          <w:ilvl w:val="0"/>
          <w:numId w:val="3"/>
        </w:numPr>
        <w:spacing w:line="240" w:lineRule="auto"/>
        <w:contextualSpacing w:val="0"/>
        <w:rPr>
          <w:rFonts w:ascii="Bookman Old Style" w:hAnsi="Bookman Old Style"/>
        </w:rPr>
      </w:pPr>
      <w:r>
        <w:rPr>
          <w:rFonts w:ascii="Bookman Old Style" w:hAnsi="Bookman Old Style"/>
        </w:rPr>
        <w:t>40(a) (v) Any tax of employee paid by the employer</w:t>
      </w:r>
    </w:p>
    <w:p w:rsidR="002E3244" w:rsidRDefault="005D1FF2" w:rsidP="00903304">
      <w:pPr>
        <w:pStyle w:val="ListParagraph"/>
        <w:numPr>
          <w:ilvl w:val="0"/>
          <w:numId w:val="3"/>
        </w:numPr>
        <w:spacing w:line="240" w:lineRule="auto"/>
        <w:contextualSpacing w:val="0"/>
        <w:rPr>
          <w:rFonts w:ascii="Bookman Old Style" w:hAnsi="Bookman Old Style"/>
        </w:rPr>
      </w:pPr>
      <w:r>
        <w:rPr>
          <w:rFonts w:ascii="Bookman Old Style" w:hAnsi="Bookman Old Style"/>
        </w:rPr>
        <w:t>40(b) Payment of salary, commission remuneration to partner who is not working partner.</w:t>
      </w:r>
    </w:p>
    <w:p w:rsidR="005D1FF2" w:rsidRDefault="005D1FF2" w:rsidP="005D1FF2">
      <w:pPr>
        <w:pStyle w:val="ListParagraph"/>
        <w:spacing w:line="240" w:lineRule="auto"/>
        <w:contextualSpacing w:val="0"/>
        <w:rPr>
          <w:rFonts w:ascii="Bookman Old Style" w:hAnsi="Bookman Old Style"/>
        </w:rPr>
      </w:pPr>
      <w:r>
        <w:rPr>
          <w:rFonts w:ascii="Bookman Old Style" w:hAnsi="Bookman Old Style"/>
        </w:rPr>
        <w:t>Payment of salary, commission, remuneration to working partner exceeding limits</w:t>
      </w:r>
    </w:p>
    <w:p w:rsidR="005D1FF2" w:rsidRPr="005D1FF2" w:rsidRDefault="005D1FF2" w:rsidP="005D1FF2">
      <w:pPr>
        <w:pStyle w:val="ListParagraph"/>
        <w:spacing w:line="240" w:lineRule="auto"/>
        <w:contextualSpacing w:val="0"/>
        <w:rPr>
          <w:rFonts w:ascii="Bookman Old Style" w:hAnsi="Bookman Old Style"/>
          <w:u w:val="single"/>
        </w:rPr>
      </w:pPr>
      <w:r w:rsidRPr="005D1FF2">
        <w:rPr>
          <w:rFonts w:ascii="Bookman Old Style" w:hAnsi="Bookman Old Style"/>
          <w:u w:val="single"/>
        </w:rPr>
        <w:t>The limits:</w:t>
      </w:r>
      <w:r>
        <w:rPr>
          <w:rFonts w:ascii="Bookman Old Style" w:hAnsi="Bookman Old Style"/>
          <w:b/>
        </w:rPr>
        <w:tab/>
      </w:r>
    </w:p>
    <w:tbl>
      <w:tblPr>
        <w:tblW w:w="6500" w:type="dxa"/>
        <w:tblInd w:w="1432" w:type="dxa"/>
        <w:tblLook w:val="04A0"/>
      </w:tblPr>
      <w:tblGrid>
        <w:gridCol w:w="3260"/>
        <w:gridCol w:w="3240"/>
      </w:tblGrid>
      <w:tr w:rsidR="005D1FF2" w:rsidRPr="005D1FF2" w:rsidTr="005D1FF2">
        <w:trPr>
          <w:trHeight w:val="315"/>
        </w:trPr>
        <w:tc>
          <w:tcPr>
            <w:tcW w:w="3260" w:type="dxa"/>
            <w:tcBorders>
              <w:top w:val="double" w:sz="6" w:space="0" w:color="auto"/>
              <w:left w:val="double" w:sz="6" w:space="0" w:color="auto"/>
              <w:bottom w:val="nil"/>
              <w:right w:val="nil"/>
            </w:tcBorders>
            <w:shd w:val="clear" w:color="auto" w:fill="auto"/>
            <w:noWrap/>
            <w:vAlign w:val="bottom"/>
            <w:hideMark/>
          </w:tcPr>
          <w:p w:rsidR="005D1FF2" w:rsidRPr="005D1FF2" w:rsidRDefault="005D1FF2" w:rsidP="005D1FF2">
            <w:pPr>
              <w:spacing w:after="0" w:line="240" w:lineRule="auto"/>
              <w:jc w:val="center"/>
              <w:rPr>
                <w:rFonts w:ascii="Bookman Old Style" w:eastAsia="Times New Roman" w:hAnsi="Bookman Old Style" w:cs="Calibri"/>
                <w:color w:val="000000"/>
              </w:rPr>
            </w:pPr>
            <w:r w:rsidRPr="005D1FF2">
              <w:rPr>
                <w:rFonts w:ascii="Bookman Old Style" w:eastAsia="Times New Roman" w:hAnsi="Bookman Old Style" w:cs="Calibri"/>
                <w:color w:val="000000"/>
              </w:rPr>
              <w:t>Book profits</w:t>
            </w:r>
          </w:p>
        </w:tc>
        <w:tc>
          <w:tcPr>
            <w:tcW w:w="3240" w:type="dxa"/>
            <w:tcBorders>
              <w:top w:val="double" w:sz="6" w:space="0" w:color="auto"/>
              <w:left w:val="single" w:sz="4" w:space="0" w:color="auto"/>
              <w:bottom w:val="nil"/>
              <w:right w:val="double" w:sz="6" w:space="0" w:color="auto"/>
            </w:tcBorders>
            <w:shd w:val="clear" w:color="auto" w:fill="auto"/>
            <w:noWrap/>
            <w:vAlign w:val="bottom"/>
            <w:hideMark/>
          </w:tcPr>
          <w:p w:rsidR="005D1FF2" w:rsidRPr="005D1FF2" w:rsidRDefault="005D1FF2" w:rsidP="005D1FF2">
            <w:pPr>
              <w:spacing w:after="0" w:line="240" w:lineRule="auto"/>
              <w:jc w:val="center"/>
              <w:rPr>
                <w:rFonts w:ascii="Bookman Old Style" w:eastAsia="Times New Roman" w:hAnsi="Bookman Old Style" w:cs="Calibri"/>
                <w:color w:val="000000"/>
              </w:rPr>
            </w:pPr>
            <w:r w:rsidRPr="005D1FF2">
              <w:rPr>
                <w:rFonts w:ascii="Bookman Old Style" w:eastAsia="Times New Roman" w:hAnsi="Bookman Old Style" w:cs="Calibri"/>
                <w:color w:val="000000"/>
              </w:rPr>
              <w:t>Allowable salary</w:t>
            </w:r>
          </w:p>
        </w:tc>
      </w:tr>
      <w:tr w:rsidR="005D1FF2" w:rsidRPr="005D1FF2" w:rsidTr="005D1FF2">
        <w:trPr>
          <w:trHeight w:val="600"/>
        </w:trPr>
        <w:tc>
          <w:tcPr>
            <w:tcW w:w="3260" w:type="dxa"/>
            <w:tcBorders>
              <w:top w:val="single" w:sz="4" w:space="0" w:color="auto"/>
              <w:left w:val="double" w:sz="6" w:space="0" w:color="auto"/>
              <w:bottom w:val="single" w:sz="4" w:space="0" w:color="auto"/>
              <w:right w:val="single" w:sz="4" w:space="0" w:color="auto"/>
            </w:tcBorders>
            <w:shd w:val="clear" w:color="auto" w:fill="auto"/>
            <w:vAlign w:val="bottom"/>
            <w:hideMark/>
          </w:tcPr>
          <w:p w:rsidR="005D1FF2" w:rsidRPr="005D1FF2" w:rsidRDefault="005D1FF2" w:rsidP="005D1FF2">
            <w:pPr>
              <w:spacing w:after="0" w:line="240" w:lineRule="auto"/>
              <w:rPr>
                <w:rFonts w:ascii="Bookman Old Style" w:eastAsia="Times New Roman" w:hAnsi="Bookman Old Style" w:cs="Calibri"/>
                <w:color w:val="000000"/>
              </w:rPr>
            </w:pPr>
            <w:r w:rsidRPr="005D1FF2">
              <w:rPr>
                <w:rFonts w:ascii="Bookman Old Style" w:eastAsia="Times New Roman" w:hAnsi="Bookman Old Style" w:cs="Calibri"/>
                <w:color w:val="000000"/>
              </w:rPr>
              <w:t>On first 3,00,000 of book profits or in case of loss</w:t>
            </w:r>
          </w:p>
        </w:tc>
        <w:tc>
          <w:tcPr>
            <w:tcW w:w="3240" w:type="dxa"/>
            <w:tcBorders>
              <w:top w:val="single" w:sz="4" w:space="0" w:color="auto"/>
              <w:left w:val="nil"/>
              <w:bottom w:val="single" w:sz="4" w:space="0" w:color="auto"/>
              <w:right w:val="double" w:sz="6" w:space="0" w:color="auto"/>
            </w:tcBorders>
            <w:shd w:val="clear" w:color="auto" w:fill="auto"/>
            <w:vAlign w:val="bottom"/>
            <w:hideMark/>
          </w:tcPr>
          <w:p w:rsidR="005D1FF2" w:rsidRPr="005D1FF2" w:rsidRDefault="005D1FF2" w:rsidP="005D1FF2">
            <w:pPr>
              <w:spacing w:after="0" w:line="240" w:lineRule="auto"/>
              <w:rPr>
                <w:rFonts w:ascii="Bookman Old Style" w:eastAsia="Times New Roman" w:hAnsi="Bookman Old Style" w:cs="Calibri"/>
                <w:color w:val="000000"/>
              </w:rPr>
            </w:pPr>
            <w:r w:rsidRPr="005D1FF2">
              <w:rPr>
                <w:rFonts w:ascii="Bookman Old Style" w:eastAsia="Times New Roman" w:hAnsi="Bookman Old Style" w:cs="Calibri"/>
                <w:color w:val="000000"/>
              </w:rPr>
              <w:t>1,50,000 or 90% of book profits whichever is more</w:t>
            </w:r>
          </w:p>
        </w:tc>
      </w:tr>
      <w:tr w:rsidR="005D1FF2" w:rsidRPr="005D1FF2" w:rsidTr="005D1FF2">
        <w:trPr>
          <w:trHeight w:val="615"/>
        </w:trPr>
        <w:tc>
          <w:tcPr>
            <w:tcW w:w="3260" w:type="dxa"/>
            <w:tcBorders>
              <w:top w:val="nil"/>
              <w:left w:val="double" w:sz="6" w:space="0" w:color="auto"/>
              <w:bottom w:val="double" w:sz="6" w:space="0" w:color="auto"/>
              <w:right w:val="single" w:sz="4" w:space="0" w:color="auto"/>
            </w:tcBorders>
            <w:shd w:val="clear" w:color="auto" w:fill="auto"/>
            <w:noWrap/>
            <w:vAlign w:val="bottom"/>
            <w:hideMark/>
          </w:tcPr>
          <w:p w:rsidR="005D1FF2" w:rsidRPr="005D1FF2" w:rsidRDefault="005D1FF2" w:rsidP="005D1FF2">
            <w:pPr>
              <w:spacing w:after="0" w:line="240" w:lineRule="auto"/>
              <w:rPr>
                <w:rFonts w:ascii="Bookman Old Style" w:eastAsia="Times New Roman" w:hAnsi="Bookman Old Style" w:cs="Calibri"/>
                <w:color w:val="000000"/>
              </w:rPr>
            </w:pPr>
            <w:r w:rsidRPr="005D1FF2">
              <w:rPr>
                <w:rFonts w:ascii="Bookman Old Style" w:eastAsia="Times New Roman" w:hAnsi="Bookman Old Style" w:cs="Calibri"/>
                <w:color w:val="000000"/>
              </w:rPr>
              <w:t>on the balance of book profits</w:t>
            </w:r>
          </w:p>
        </w:tc>
        <w:tc>
          <w:tcPr>
            <w:tcW w:w="3240" w:type="dxa"/>
            <w:tcBorders>
              <w:top w:val="nil"/>
              <w:left w:val="nil"/>
              <w:bottom w:val="double" w:sz="6" w:space="0" w:color="auto"/>
              <w:right w:val="double" w:sz="6" w:space="0" w:color="auto"/>
            </w:tcBorders>
            <w:shd w:val="clear" w:color="auto" w:fill="auto"/>
            <w:vAlign w:val="bottom"/>
            <w:hideMark/>
          </w:tcPr>
          <w:p w:rsidR="005D1FF2" w:rsidRPr="005D1FF2" w:rsidRDefault="005D1FF2" w:rsidP="005D1FF2">
            <w:pPr>
              <w:spacing w:after="0" w:line="240" w:lineRule="auto"/>
              <w:rPr>
                <w:rFonts w:ascii="Bookman Old Style" w:eastAsia="Times New Roman" w:hAnsi="Bookman Old Style" w:cs="Calibri"/>
                <w:color w:val="000000"/>
              </w:rPr>
            </w:pPr>
            <w:r w:rsidRPr="005D1FF2">
              <w:rPr>
                <w:rFonts w:ascii="Bookman Old Style" w:eastAsia="Times New Roman" w:hAnsi="Bookman Old Style" w:cs="Calibri"/>
                <w:color w:val="000000"/>
              </w:rPr>
              <w:t>At the rate of 60% of book profits</w:t>
            </w:r>
          </w:p>
        </w:tc>
      </w:tr>
    </w:tbl>
    <w:p w:rsidR="004A7DF1" w:rsidRDefault="004A7DF1">
      <w:pPr>
        <w:rPr>
          <w:rFonts w:ascii="Bookman Old Style" w:hAnsi="Bookman Old Style"/>
        </w:rPr>
      </w:pPr>
    </w:p>
    <w:p w:rsidR="00EF2ADC" w:rsidRPr="004A7DF1" w:rsidRDefault="004A7DF1" w:rsidP="004A7DF1">
      <w:pPr>
        <w:pStyle w:val="ListParagraph"/>
        <w:numPr>
          <w:ilvl w:val="0"/>
          <w:numId w:val="3"/>
        </w:numPr>
        <w:rPr>
          <w:rFonts w:ascii="Bookman Old Style" w:hAnsi="Bookman Old Style"/>
        </w:rPr>
      </w:pPr>
      <w:r>
        <w:rPr>
          <w:rFonts w:ascii="Bookman Old Style" w:hAnsi="Bookman Old Style"/>
        </w:rPr>
        <w:t xml:space="preserve">40(ba) Interest, salary, bonus, commission, remuneration paid by an AOP/ BOI to its members is </w:t>
      </w:r>
      <w:r>
        <w:rPr>
          <w:rFonts w:ascii="Bookman Old Style" w:hAnsi="Bookman Old Style"/>
          <w:b/>
        </w:rPr>
        <w:t>Not allowed as deduction.</w:t>
      </w:r>
    </w:p>
    <w:p w:rsidR="004A7DF1" w:rsidRDefault="004A7DF1" w:rsidP="004A7DF1">
      <w:pPr>
        <w:pStyle w:val="ListParagraph"/>
        <w:rPr>
          <w:rFonts w:ascii="Bookman Old Style" w:hAnsi="Bookman Old Style"/>
          <w:b/>
        </w:rPr>
      </w:pPr>
      <w:r>
        <w:rPr>
          <w:rFonts w:ascii="Bookman Old Style" w:hAnsi="Bookman Old Style"/>
        </w:rPr>
        <w:t xml:space="preserve">If the AOP/ BOI receives as well as pays interest to its members during the previous year, then the </w:t>
      </w:r>
      <w:r>
        <w:rPr>
          <w:rFonts w:ascii="Bookman Old Style" w:hAnsi="Bookman Old Style"/>
          <w:b/>
        </w:rPr>
        <w:t xml:space="preserve">excess interest paid </w:t>
      </w:r>
      <w:r>
        <w:rPr>
          <w:rFonts w:ascii="Bookman Old Style" w:hAnsi="Bookman Old Style"/>
        </w:rPr>
        <w:t xml:space="preserve">over and above the interest received shall be </w:t>
      </w:r>
      <w:r>
        <w:rPr>
          <w:rFonts w:ascii="Bookman Old Style" w:hAnsi="Bookman Old Style"/>
          <w:b/>
        </w:rPr>
        <w:t>disallowed.</w:t>
      </w:r>
    </w:p>
    <w:p w:rsidR="004A7DF1" w:rsidRPr="004A7DF1" w:rsidRDefault="004A7DF1" w:rsidP="004A7DF1">
      <w:pPr>
        <w:pStyle w:val="ListParagraph"/>
        <w:rPr>
          <w:rFonts w:ascii="Bookman Old Style" w:hAnsi="Bookman Old Style"/>
          <w:b/>
        </w:rPr>
      </w:pPr>
      <w:bookmarkStart w:id="0" w:name="_GoBack"/>
      <w:bookmarkEnd w:id="0"/>
    </w:p>
    <w:sectPr w:rsidR="004A7DF1" w:rsidRPr="004A7DF1" w:rsidSect="00BF6E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sterV">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E248E"/>
    <w:multiLevelType w:val="hybridMultilevel"/>
    <w:tmpl w:val="773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B6456"/>
    <w:multiLevelType w:val="hybridMultilevel"/>
    <w:tmpl w:val="82E4F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005E81"/>
    <w:multiLevelType w:val="hybridMultilevel"/>
    <w:tmpl w:val="17101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70219B"/>
    <w:multiLevelType w:val="hybridMultilevel"/>
    <w:tmpl w:val="847E7894"/>
    <w:lvl w:ilvl="0" w:tplc="710C3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9AB6FA1"/>
    <w:multiLevelType w:val="hybridMultilevel"/>
    <w:tmpl w:val="8676D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1E4D"/>
    <w:rsid w:val="000232CA"/>
    <w:rsid w:val="00041E4D"/>
    <w:rsid w:val="00255903"/>
    <w:rsid w:val="002818F0"/>
    <w:rsid w:val="00286667"/>
    <w:rsid w:val="002E3244"/>
    <w:rsid w:val="00403990"/>
    <w:rsid w:val="004A7DF1"/>
    <w:rsid w:val="005953E7"/>
    <w:rsid w:val="005D1FF2"/>
    <w:rsid w:val="0065570C"/>
    <w:rsid w:val="00903304"/>
    <w:rsid w:val="00AE40F5"/>
    <w:rsid w:val="00BF6EAB"/>
    <w:rsid w:val="00DF777C"/>
    <w:rsid w:val="00EF2A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E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2ADC"/>
    <w:rPr>
      <w:color w:val="0000FF"/>
      <w:u w:val="single"/>
    </w:rPr>
  </w:style>
  <w:style w:type="paragraph" w:styleId="ListParagraph">
    <w:name w:val="List Paragraph"/>
    <w:basedOn w:val="Normal"/>
    <w:uiPriority w:val="34"/>
    <w:qFormat/>
    <w:rsid w:val="00EF2A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2ADC"/>
    <w:rPr>
      <w:color w:val="0000FF"/>
      <w:u w:val="single"/>
    </w:rPr>
  </w:style>
  <w:style w:type="paragraph" w:styleId="ListParagraph">
    <w:name w:val="List Paragraph"/>
    <w:basedOn w:val="Normal"/>
    <w:uiPriority w:val="34"/>
    <w:qFormat/>
    <w:rsid w:val="00EF2ADC"/>
    <w:pPr>
      <w:ind w:left="720"/>
      <w:contextualSpacing/>
    </w:pPr>
  </w:style>
</w:styles>
</file>

<file path=word/webSettings.xml><?xml version="1.0" encoding="utf-8"?>
<w:webSettings xmlns:r="http://schemas.openxmlformats.org/officeDocument/2006/relationships" xmlns:w="http://schemas.openxmlformats.org/wordprocessingml/2006/main">
  <w:divs>
    <w:div w:id="1533490406">
      <w:bodyDiv w:val="1"/>
      <w:marLeft w:val="0"/>
      <w:marRight w:val="0"/>
      <w:marTop w:val="0"/>
      <w:marBottom w:val="0"/>
      <w:divBdr>
        <w:top w:val="none" w:sz="0" w:space="0" w:color="auto"/>
        <w:left w:val="none" w:sz="0" w:space="0" w:color="auto"/>
        <w:bottom w:val="none" w:sz="0" w:space="0" w:color="auto"/>
        <w:right w:val="none" w:sz="0" w:space="0" w:color="auto"/>
      </w:divBdr>
    </w:div>
    <w:div w:id="154436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incometaxindia.gov.in/DIT/HtmlFileProcess.aspx?FooterPath=D:\WebSites\DITTaxmann\Act2010\DirectTaxLaws\ITACT\HTMLFiles\2010&amp;DFile=section200.htm&amp;tar=top" TargetMode="External"/><Relationship Id="rId13" Type="http://schemas.openxmlformats.org/officeDocument/2006/relationships/hyperlink" Target="http://law.incometaxindia.gov.in/DIT/HtmlFileProcess.aspx?FooterPath=D:\WebSites\DITTaxmann\Act2010\DirectTaxLaws\ITACT\HTMLFiles\2010&amp;DFile=ftn93section36.htm&amp;tar=middle" TargetMode="External"/><Relationship Id="rId18" Type="http://schemas.openxmlformats.org/officeDocument/2006/relationships/hyperlink" Target="http://law.incometaxindia.gov.in/DIT/HtmlFileProcess.aspx?FooterPath=D:\WebSites\DITTaxmann\Act2010\DirectTaxLaws\ITACT\HTMLFiles\2010&amp;DFile=section9.htm&amp;tar=top" TargetMode="External"/><Relationship Id="rId26" Type="http://schemas.openxmlformats.org/officeDocument/2006/relationships/hyperlink" Target="http://law.incometaxindia.gov.in/DIT/HtmlFileProcess.aspx?FooterPath=D:\WebSites\DITTaxmann\Act2010\DirectTaxLaws\ITACT\HTMLFiles\2010&amp;DFile=ftn98section36.htm&amp;tar=middle" TargetMode="External"/><Relationship Id="rId39" Type="http://schemas.openxmlformats.org/officeDocument/2006/relationships/hyperlink" Target="http://law.incometaxindia.gov.in/DIT/HtmlFileProcess.aspx?FooterPath=D:\WebSites\DITTaxmann\Act2010\DirectTaxLaws\ITACT\HTMLFiles\2010&amp;DFile=ftn6section37.htm&amp;tar=middle" TargetMode="External"/><Relationship Id="rId3" Type="http://schemas.openxmlformats.org/officeDocument/2006/relationships/settings" Target="settings.xml"/><Relationship Id="rId21" Type="http://schemas.openxmlformats.org/officeDocument/2006/relationships/hyperlink" Target="http://law.incometaxindia.gov.in/DIT/HtmlFileProcess.aspx?FooterPath=D:\WebSites\DITTaxmann\Act2010\DirectTaxLaws\ITACT\HTMLFiles\2010&amp;DFile=ftn95section36.htm&amp;tar=middle" TargetMode="External"/><Relationship Id="rId34" Type="http://schemas.openxmlformats.org/officeDocument/2006/relationships/hyperlink" Target="http://law.incometaxindia.gov.in/DIT/HtmlFileProcess.aspx?FooterPath=D:\WebSites\DITTaxmann\Act2010\DirectTaxLaws\ITACT\HTMLFiles\2010&amp;DFile=ftn2section37.htm&amp;tar=middle" TargetMode="External"/><Relationship Id="rId42" Type="http://schemas.openxmlformats.org/officeDocument/2006/relationships/hyperlink" Target="http://law.incometaxindia.gov.in/DIT/HtmlFileProcess.aspx?FooterPath=D:\WebSites\DITTaxmann\Act2010\DirectTaxLaws\ITACT\HTMLFiles\2010&amp;DFile=ftn9section37.htm&amp;tar=middle" TargetMode="External"/><Relationship Id="rId7" Type="http://schemas.openxmlformats.org/officeDocument/2006/relationships/hyperlink" Target="http://law.incometaxindia.gov.in/DIT/HtmlFileProcess.aspx?FooterPath=D:\WebSites\DITTaxmann\Act2010\DirectTaxLaws\ITACT\HTMLFiles\2010&amp;DFile=ftn91section36.htm&amp;tar=middle" TargetMode="External"/><Relationship Id="rId12" Type="http://schemas.openxmlformats.org/officeDocument/2006/relationships/hyperlink" Target="http://law.incometaxindia.gov.in/DIT/HtmlFileProcess.aspx?FooterPath=D:\WebSites\DITTaxmann\Act2010\DirectTaxLaws\ITACT\HTMLFiles\2010&amp;DFile=ftn92section36.htm&amp;tar=middle" TargetMode="External"/><Relationship Id="rId17" Type="http://schemas.openxmlformats.org/officeDocument/2006/relationships/hyperlink" Target="http://law.incometaxindia.gov.in/DIT/HtmlFileProcess.aspx?FooterPath=D:\WebSites\DITTaxmann\Act2010\DirectTaxLaws\ITACT\HTMLFiles\2010&amp;DFile=section194h.htm&amp;tar=top" TargetMode="External"/><Relationship Id="rId25" Type="http://schemas.openxmlformats.org/officeDocument/2006/relationships/hyperlink" Target="http://law.incometaxindia.gov.in/DIT/HtmlFileProcess.aspx?FooterPath=D:\WebSites\DITTaxmann\Act2010\DirectTaxLaws\ITACT\HTMLFiles\2010&amp;DFile=ftn97section36.htm&amp;tar=middle" TargetMode="External"/><Relationship Id="rId33" Type="http://schemas.openxmlformats.org/officeDocument/2006/relationships/hyperlink" Target="http://law.incometaxindia.gov.in/DIT/HtmlFileProcess.aspx?FooterPath=D:\WebSites\DITTaxmann\Act2010\DirectTaxLaws\ITACT\HTMLFiles\2010&amp;DFile=section90a.htm&amp;tar=top" TargetMode="External"/><Relationship Id="rId38" Type="http://schemas.openxmlformats.org/officeDocument/2006/relationships/hyperlink" Target="http://law.incometaxindia.gov.in/DIT/HtmlFileProcess.aspx?FooterPath=D:\WebSites\DITTaxmann\Act2010\DirectTaxLaws\ITACT\HTMLFiles\2010&amp;DFile=section10.htm&amp;tar=top" TargetMode="Externa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law.incometaxindia.gov.in/DIT/HtmlFileProcess.aspx?FooterPath=D:\WebSites\DITTaxmann\Act2010\DirectTaxLaws\ITACT\HTMLFiles\2010&amp;DFile=section139.htm&amp;tar=top" TargetMode="External"/><Relationship Id="rId20" Type="http://schemas.openxmlformats.org/officeDocument/2006/relationships/hyperlink" Target="http://law.incometaxindia.gov.in/DIT/HtmlFileProcess.aspx?FooterPath=D:\WebSites\DITTaxmann\Act2010\DirectTaxLaws\ITACT\HTMLFiles\2010&amp;DFile=section194c.htm&amp;tar=top" TargetMode="External"/><Relationship Id="rId29" Type="http://schemas.openxmlformats.org/officeDocument/2006/relationships/hyperlink" Target="http://law.incometaxindia.gov.in/DIT/HtmlFileProcess.aspx?FooterPath=D:\WebSites\DITTaxmann\Act2010\DirectTaxLaws\ITACT\HTMLFiles\2010&amp;DFile=ftn100section36.htm&amp;tar=middle" TargetMode="External"/><Relationship Id="rId41" Type="http://schemas.openxmlformats.org/officeDocument/2006/relationships/hyperlink" Target="http://law.incometaxindia.gov.in/DIT/HtmlFileProcess.aspx?FooterPath=D:\WebSites\DITTaxmann\Act2010\DirectTaxLaws\ITACT\HTMLFiles\2010&amp;DFile=ftn8section37.htm&amp;tar=middle" TargetMode="External"/><Relationship Id="rId1" Type="http://schemas.openxmlformats.org/officeDocument/2006/relationships/numbering" Target="numbering.xml"/><Relationship Id="rId6" Type="http://schemas.openxmlformats.org/officeDocument/2006/relationships/hyperlink" Target="http://law.incometaxindia.gov.in/DIT/HtmlFileProcess.aspx?FooterPath=D:\WebSites\DITTaxmann\Act2010\DirectTaxLaws\ITACT\HTMLFiles\2010&amp;DFile=ftn90section36.htm&amp;tar=middle" TargetMode="External"/><Relationship Id="rId11" Type="http://schemas.openxmlformats.org/officeDocument/2006/relationships/hyperlink" Target="http://law.incometaxindia.gov.in/DIT/HtmlFileProcess.aspx?FooterPath=D:\WebSites\DITTaxmann\Act2010\DirectTaxLaws\ITACT\HTMLFiles\2010&amp;DFile=section9.htm&amp;tar=top" TargetMode="External"/><Relationship Id="rId24" Type="http://schemas.openxmlformats.org/officeDocument/2006/relationships/hyperlink" Target="http://law.incometaxindia.gov.in/DIT/HtmlFileProcess.aspx?FooterPath=D:\WebSites\DITTaxmann\Act2010\DirectTaxLaws\ITACT\HTMLFiles\2010&amp;DFile=ftn96section36.htm&amp;tar=middle" TargetMode="External"/><Relationship Id="rId32" Type="http://schemas.openxmlformats.org/officeDocument/2006/relationships/hyperlink" Target="http://law.incometaxindia.gov.in/DIT/HtmlFileProcess.aspx?FooterPath=D:\WebSites\DITTaxmann\Act2010\DirectTaxLaws\ITACT\HTMLFiles\2010&amp;DFile=ftn1section37.htm&amp;tar=middle" TargetMode="External"/><Relationship Id="rId37" Type="http://schemas.openxmlformats.org/officeDocument/2006/relationships/hyperlink" Target="http://law.incometaxindia.gov.in/DIT/HtmlFileProcess.aspx?FooterPath=D:\WebSites\DITTaxmann\Act2010\DirectTaxLaws\ITACT\HTMLFiles\2010&amp;DFile=ftn5section37.htm&amp;tar=middle" TargetMode="External"/><Relationship Id="rId40" Type="http://schemas.openxmlformats.org/officeDocument/2006/relationships/hyperlink" Target="http://law.incometaxindia.gov.in/DIT/HtmlFileProcess.aspx?FooterPath=D:\WebSites\DITTaxmann\Act2010\DirectTaxLaws\ITACT\HTMLFiles\2010&amp;DFile=ftn7section37.htm&amp;tar=middle" TargetMode="External"/><Relationship Id="rId45" Type="http://schemas.openxmlformats.org/officeDocument/2006/relationships/theme" Target="theme/theme1.xml"/><Relationship Id="rId5" Type="http://schemas.openxmlformats.org/officeDocument/2006/relationships/hyperlink" Target="http://law.incometaxindia.gov.in/DIT/HtmlFileProcess.aspx?FooterPath=D:\WebSites\DITTaxmann\Act2010\DirectTaxLaws\ITACT\HTMLFiles\2010&amp;DFile=ftn89section36.htm&amp;tar=middle" TargetMode="External"/><Relationship Id="rId15" Type="http://schemas.openxmlformats.org/officeDocument/2006/relationships/hyperlink" Target="http://law.incometaxindia.gov.in/DIT/HtmlFileProcess.aspx?FooterPath=D:\WebSites\DITTaxmann\Act2010\DirectTaxLaws\ITACT\HTMLFiles\2010&amp;DFile=ftn94section36.htm&amp;tar=middle" TargetMode="External"/><Relationship Id="rId23" Type="http://schemas.openxmlformats.org/officeDocument/2006/relationships/hyperlink" Target="http://law.incometaxindia.gov.in/DIT/HtmlFileProcess.aspx?FooterPath=D:\WebSites\DITTaxmann\Act2010\DirectTaxLaws\ITACT\HTMLFiles\2010&amp;DFile=section9.htm&amp;tar=top" TargetMode="External"/><Relationship Id="rId28" Type="http://schemas.openxmlformats.org/officeDocument/2006/relationships/hyperlink" Target="http://law.incometaxindia.gov.in/DIT/HtmlFileProcess.aspx?FooterPath=D:\WebSites\DITTaxmann\Act2010\DirectTaxLaws\ITACT\HTMLFiles\2010&amp;DFile=ftn99section36.htm&amp;tar=middle" TargetMode="External"/><Relationship Id="rId36" Type="http://schemas.openxmlformats.org/officeDocument/2006/relationships/hyperlink" Target="http://law.incometaxindia.gov.in/DIT/HtmlFileProcess.aspx?FooterPath=D:\WebSites\DITTaxmann\Act2010\DirectTaxLaws\ITACT\HTMLFiles\2010&amp;DFile=ftn4section37.htm&amp;tar=middle" TargetMode="External"/><Relationship Id="rId10" Type="http://schemas.openxmlformats.org/officeDocument/2006/relationships/hyperlink" Target="http://law.incometaxindia.gov.in/DIT/HtmlFileProcess.aspx?FooterPath=D:\WebSites\DITTaxmann\Act2010\DirectTaxLaws\ITACT\HTMLFiles\2010&amp;DFile=section9.htm&amp;tar=top" TargetMode="External"/><Relationship Id="rId19" Type="http://schemas.openxmlformats.org/officeDocument/2006/relationships/hyperlink" Target="http://law.incometaxindia.gov.in/DIT/HtmlFileProcess.aspx?FooterPath=D:\WebSites\DITTaxmann\Act2010\DirectTaxLaws\ITACT\HTMLFiles\2010&amp;DFile=section194j.htm&amp;tar=top" TargetMode="External"/><Relationship Id="rId31" Type="http://schemas.openxmlformats.org/officeDocument/2006/relationships/hyperlink" Target="http://law.incometaxindia.gov.in/DIT/HtmlFileProcess.aspx?FooterPath=D:\WebSites\DITTaxmann\Act2010\DirectTaxLaws\ITACT\HTMLFiles\2010&amp;DFile=section91.htm&amp;tar=top"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w.incometaxindia.gov.in/DIT/HtmlFileProcess.aspx?FooterPath=D:\WebSites\DITTaxmann\Act2010\DirectTaxLaws\ITACT\HTMLFiles\2010&amp;DFile=section200.htm&amp;tar=top" TargetMode="External"/><Relationship Id="rId14" Type="http://schemas.openxmlformats.org/officeDocument/2006/relationships/hyperlink" Target="http://law.incometaxindia.gov.in/DIT/HtmlFileProcess.aspx?FooterPath=D:\WebSites\DITTaxmann\Act2010\DirectTaxLaws\ITACT\HTMLFiles\2010&amp;DFile=section139.htm&amp;tar=top" TargetMode="External"/><Relationship Id="rId22" Type="http://schemas.openxmlformats.org/officeDocument/2006/relationships/hyperlink" Target="http://law.incometaxindia.gov.in/DIT/HtmlFileProcess.aspx?FooterPath=D:\WebSites\DITTaxmann\Act2010\DirectTaxLaws\ITACT\HTMLFiles\2010&amp;DFile=section194i.htm&amp;tar=top" TargetMode="External"/><Relationship Id="rId27" Type="http://schemas.openxmlformats.org/officeDocument/2006/relationships/hyperlink" Target="http://law.incometaxindia.gov.in/DIT/HtmlFileProcess.aspx?FooterPath=D:\WebSites\DITTaxmann\Act2010\DirectTaxLaws\ITACT\HTMLFiles\2010&amp;DFile=ftn99section36.htm&amp;tar=middle" TargetMode="External"/><Relationship Id="rId30" Type="http://schemas.openxmlformats.org/officeDocument/2006/relationships/hyperlink" Target="http://law.incometaxindia.gov.in/DIT/HtmlFileProcess.aspx?FooterPath=D:\WebSites\DITTaxmann\Act2010\DirectTaxLaws\ITACT\HTMLFiles\2010&amp;DFile=section90.htm&amp;tar=top" TargetMode="External"/><Relationship Id="rId35" Type="http://schemas.openxmlformats.org/officeDocument/2006/relationships/hyperlink" Target="http://law.incometaxindia.gov.in/DIT/HtmlFileProcess.aspx?FooterPath=D:\WebSites\DITTaxmann\Act2010\DirectTaxLaws\ITACT\HTMLFiles\2010&amp;DFile=ftn3section37.htm&amp;tar=middle" TargetMode="External"/><Relationship Id="rId43" Type="http://schemas.openxmlformats.org/officeDocument/2006/relationships/hyperlink" Target="http://law.incometaxindia.gov.in/DIT/HtmlFileProcess.aspx?FooterPath=D:\WebSites\DITTaxmann\Act2010\DirectTaxLaws\ITACT\HTMLFiles\2010&amp;DFile=ftn10section37.htm&amp;tar=mid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5</Pages>
  <Words>3097</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Mahesh M.</dc:creator>
  <cp:keywords/>
  <dc:description/>
  <cp:lastModifiedBy>psn129</cp:lastModifiedBy>
  <cp:revision>4</cp:revision>
  <dcterms:created xsi:type="dcterms:W3CDTF">2010-12-08T11:50:00Z</dcterms:created>
  <dcterms:modified xsi:type="dcterms:W3CDTF">2011-12-09T13:02:00Z</dcterms:modified>
</cp:coreProperties>
</file>