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650" w:rsidRPr="00406650" w:rsidRDefault="00406650">
      <w:pPr>
        <w:rPr>
          <w:rFonts w:ascii="Bookman Old Style" w:hAnsi="Bookman Old Style"/>
          <w:b/>
        </w:rPr>
      </w:pPr>
      <w:r w:rsidRPr="00406650">
        <w:rPr>
          <w:rFonts w:ascii="Bookman Old Style" w:hAnsi="Bookman Old Style"/>
        </w:rPr>
        <w:tab/>
      </w:r>
      <w:r w:rsidRPr="00406650">
        <w:rPr>
          <w:rFonts w:ascii="Bookman Old Style" w:hAnsi="Bookman Old Style"/>
        </w:rPr>
        <w:tab/>
      </w:r>
      <w:r w:rsidRPr="00406650">
        <w:rPr>
          <w:rFonts w:ascii="Bookman Old Style" w:hAnsi="Bookman Old Style"/>
        </w:rPr>
        <w:tab/>
      </w:r>
      <w:r w:rsidRPr="00406650">
        <w:rPr>
          <w:rFonts w:ascii="Bookman Old Style" w:hAnsi="Bookman Old Style"/>
        </w:rPr>
        <w:tab/>
      </w:r>
      <w:r w:rsidRPr="00406650">
        <w:rPr>
          <w:rFonts w:ascii="Bookman Old Style" w:hAnsi="Bookman Old Style"/>
        </w:rPr>
        <w:tab/>
      </w:r>
      <w:r w:rsidRPr="00406650">
        <w:rPr>
          <w:rFonts w:ascii="Bookman Old Style" w:hAnsi="Bookman Old Style"/>
        </w:rPr>
        <w:tab/>
      </w:r>
      <w:r w:rsidRPr="00406650">
        <w:rPr>
          <w:rFonts w:ascii="Bookman Old Style" w:hAnsi="Bookman Old Style"/>
          <w:b/>
        </w:rPr>
        <w:t>35DD</w:t>
      </w:r>
    </w:p>
    <w:p w:rsidR="00A84D32" w:rsidRPr="00406650" w:rsidRDefault="00406650" w:rsidP="00406650">
      <w:pPr>
        <w:rPr>
          <w:rFonts w:ascii="Bookman Old Style" w:hAnsi="Bookman Old Style"/>
          <w:b/>
          <w:u w:val="single"/>
        </w:rPr>
      </w:pPr>
      <w:r w:rsidRPr="00406650">
        <w:rPr>
          <w:rFonts w:ascii="Bookman Old Style" w:hAnsi="Bookman Old Style"/>
          <w:b/>
        </w:rPr>
        <w:t xml:space="preserve">                    </w:t>
      </w:r>
      <w:r w:rsidRPr="00406650">
        <w:rPr>
          <w:rFonts w:ascii="Bookman Old Style" w:hAnsi="Bookman Old Style"/>
          <w:b/>
          <w:u w:val="single"/>
        </w:rPr>
        <w:t>Amortisation of expenditure in case of amalgamation / demerger</w:t>
      </w:r>
    </w:p>
    <w:p w:rsidR="00406650" w:rsidRDefault="00406650" w:rsidP="00406650">
      <w:pPr>
        <w:rPr>
          <w:rFonts w:ascii="Bookman Old Style" w:hAnsi="Bookman Old Style"/>
        </w:rPr>
      </w:pPr>
      <w:r w:rsidRPr="00406650">
        <w:rPr>
          <w:rFonts w:ascii="Bookman Old Style" w:hAnsi="Bookman Old Style"/>
          <w:b/>
        </w:rPr>
        <w:t>Applicability:</w:t>
      </w:r>
      <w:r w:rsidRPr="00406650">
        <w:rPr>
          <w:rFonts w:ascii="Bookman Old Style" w:hAnsi="Bookman Old Style"/>
          <w:b/>
          <w:u w:val="single"/>
        </w:rPr>
        <w:t xml:space="preserve"> </w:t>
      </w:r>
      <w:r w:rsidRPr="00406650">
        <w:rPr>
          <w:rFonts w:ascii="Bookman Old Style" w:hAnsi="Bookman Old Style"/>
        </w:rPr>
        <w:t xml:space="preserve"> The assessee should be Indian compa</w:t>
      </w:r>
      <w:r>
        <w:rPr>
          <w:rFonts w:ascii="Bookman Old Style" w:hAnsi="Bookman Old Style"/>
        </w:rPr>
        <w:t>n</w:t>
      </w:r>
      <w:r w:rsidRPr="00406650">
        <w:rPr>
          <w:rFonts w:ascii="Bookman Old Style" w:hAnsi="Bookman Old Style"/>
        </w:rPr>
        <w:t>y</w:t>
      </w:r>
      <w:r>
        <w:rPr>
          <w:rFonts w:ascii="Bookman Old Style" w:hAnsi="Bookman Old Style"/>
        </w:rPr>
        <w:t xml:space="preserve"> </w:t>
      </w:r>
    </w:p>
    <w:p w:rsidR="00406650" w:rsidRDefault="00406650" w:rsidP="00406650">
      <w:pPr>
        <w:rPr>
          <w:rFonts w:ascii="Bookman Old Style" w:hAnsi="Bookman Old Style"/>
        </w:rPr>
      </w:pPr>
      <w:r w:rsidRPr="00406650">
        <w:rPr>
          <w:rFonts w:ascii="Bookman Old Style" w:hAnsi="Bookman Old Style"/>
          <w:b/>
        </w:rPr>
        <w:t>Deduction:</w:t>
      </w:r>
      <w:r>
        <w:rPr>
          <w:rFonts w:ascii="Bookman Old Style" w:hAnsi="Bookman Old Style"/>
        </w:rPr>
        <w:t xml:space="preserve"> Expenditure incurred for the purpose of amalgamation or demerger, will be allowed as a deduction in 5 equal instalments commencing from the previous year in which amalgamation or demerger took place.</w:t>
      </w:r>
    </w:p>
    <w:p w:rsidR="00406650" w:rsidRPr="00406650" w:rsidRDefault="00406650" w:rsidP="00406650">
      <w:pPr>
        <w:rPr>
          <w:rFonts w:ascii="Bookman Old Style" w:hAnsi="Bookman Old Style"/>
        </w:rPr>
      </w:pPr>
      <w:r w:rsidRPr="00406650">
        <w:rPr>
          <w:rFonts w:ascii="Bookman Old Style" w:hAnsi="Bookman Old Style"/>
          <w:b/>
        </w:rPr>
        <w:t>Maximum lim</w:t>
      </w:r>
      <w:bookmarkStart w:id="0" w:name="_GoBack"/>
      <w:bookmarkEnd w:id="0"/>
      <w:r w:rsidRPr="00406650">
        <w:rPr>
          <w:rFonts w:ascii="Bookman Old Style" w:hAnsi="Bookman Old Style"/>
          <w:b/>
        </w:rPr>
        <w:t>it:</w:t>
      </w:r>
      <w:r>
        <w:rPr>
          <w:rFonts w:ascii="Bookman Old Style" w:hAnsi="Bookman Old Style"/>
        </w:rPr>
        <w:t xml:space="preserve"> there is no maximum limit</w:t>
      </w:r>
    </w:p>
    <w:sectPr w:rsidR="00406650" w:rsidRPr="004066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50"/>
    <w:rsid w:val="000232CA"/>
    <w:rsid w:val="002818F0"/>
    <w:rsid w:val="0040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Mahesh M.</dc:creator>
  <cp:lastModifiedBy>Mahesh M.</cp:lastModifiedBy>
  <cp:revision>1</cp:revision>
  <dcterms:created xsi:type="dcterms:W3CDTF">2010-12-07T07:18:00Z</dcterms:created>
  <dcterms:modified xsi:type="dcterms:W3CDTF">2010-12-07T07:27:00Z</dcterms:modified>
</cp:coreProperties>
</file>