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75BE" w:rsidRPr="00BF75BE" w:rsidRDefault="00BF75BE">
      <w:pPr>
        <w:rPr>
          <w:b/>
          <w:sz w:val="28"/>
          <w:szCs w:val="28"/>
          <w:u w:val="single"/>
        </w:rPr>
      </w:pPr>
      <w:r>
        <w:tab/>
      </w:r>
      <w:r>
        <w:tab/>
      </w:r>
      <w:bookmarkStart w:id="0" w:name="_GoBack"/>
      <w:bookmarkEnd w:id="0"/>
      <w:r>
        <w:tab/>
      </w:r>
      <w:r>
        <w:tab/>
      </w:r>
      <w:r>
        <w:tab/>
      </w:r>
      <w:r w:rsidRPr="00BF75BE">
        <w:rPr>
          <w:b/>
          <w:sz w:val="28"/>
          <w:szCs w:val="28"/>
          <w:u w:val="single"/>
        </w:rPr>
        <w:t>Deduction u/s 33AB</w:t>
      </w:r>
    </w:p>
    <w:p w:rsidR="00BF75BE" w:rsidRDefault="00BF75BE"/>
    <w:tbl>
      <w:tblPr>
        <w:tblW w:w="9390" w:type="dxa"/>
        <w:tblInd w:w="93" w:type="dxa"/>
        <w:tblLook w:val="04A0" w:firstRow="1" w:lastRow="0" w:firstColumn="1" w:lastColumn="0" w:noHBand="0" w:noVBand="1"/>
      </w:tblPr>
      <w:tblGrid>
        <w:gridCol w:w="9390"/>
      </w:tblGrid>
      <w:tr w:rsidR="008513A4" w:rsidRPr="008513A4" w:rsidTr="008513A4">
        <w:trPr>
          <w:trHeight w:val="300"/>
        </w:trPr>
        <w:tc>
          <w:tcPr>
            <w:tcW w:w="9390" w:type="dxa"/>
            <w:tcBorders>
              <w:top w:val="nil"/>
              <w:left w:val="nil"/>
              <w:bottom w:val="nil"/>
              <w:right w:val="nil"/>
            </w:tcBorders>
            <w:shd w:val="clear" w:color="auto" w:fill="auto"/>
            <w:noWrap/>
            <w:vAlign w:val="bottom"/>
            <w:hideMark/>
          </w:tcPr>
          <w:p w:rsidR="008513A4" w:rsidRPr="008513A4" w:rsidRDefault="008513A4" w:rsidP="008513A4">
            <w:pPr>
              <w:spacing w:after="0" w:line="240" w:lineRule="auto"/>
              <w:rPr>
                <w:rFonts w:ascii="Bookman Old Style" w:eastAsia="Times New Roman" w:hAnsi="Bookman Old Style" w:cs="Calibri"/>
                <w:b/>
                <w:bCs/>
                <w:color w:val="000000"/>
                <w:u w:val="single"/>
              </w:rPr>
            </w:pPr>
            <w:r w:rsidRPr="008513A4">
              <w:rPr>
                <w:rFonts w:ascii="Bookman Old Style" w:eastAsia="Times New Roman" w:hAnsi="Bookman Old Style" w:cs="Calibri"/>
                <w:b/>
                <w:bCs/>
                <w:color w:val="000000"/>
                <w:u w:val="single"/>
              </w:rPr>
              <w:t>Objectives:-</w:t>
            </w:r>
          </w:p>
        </w:tc>
      </w:tr>
      <w:tr w:rsidR="008513A4" w:rsidRPr="008513A4" w:rsidTr="008513A4">
        <w:trPr>
          <w:trHeight w:val="300"/>
        </w:trPr>
        <w:tc>
          <w:tcPr>
            <w:tcW w:w="9390" w:type="dxa"/>
            <w:tcBorders>
              <w:top w:val="nil"/>
              <w:left w:val="nil"/>
              <w:bottom w:val="nil"/>
              <w:right w:val="nil"/>
            </w:tcBorders>
            <w:shd w:val="clear" w:color="auto" w:fill="auto"/>
            <w:noWrap/>
            <w:vAlign w:val="bottom"/>
            <w:hideMark/>
          </w:tcPr>
          <w:p w:rsidR="008513A4" w:rsidRPr="008513A4" w:rsidRDefault="008513A4" w:rsidP="008513A4">
            <w:pPr>
              <w:spacing w:after="0" w:line="240" w:lineRule="auto"/>
              <w:rPr>
                <w:rFonts w:ascii="Bookman Old Style" w:eastAsia="Times New Roman" w:hAnsi="Bookman Old Style" w:cs="Calibri"/>
                <w:color w:val="000000"/>
              </w:rPr>
            </w:pPr>
            <w:r w:rsidRPr="008513A4">
              <w:rPr>
                <w:rFonts w:ascii="Bookman Old Style" w:eastAsia="Times New Roman" w:hAnsi="Bookman Old Style" w:cs="Calibri"/>
                <w:color w:val="000000"/>
              </w:rPr>
              <w:t>To provide relief to the assessees who carry on the business of growing and manufacturing tea/ coffee/ rubber in Indian</w:t>
            </w:r>
          </w:p>
        </w:tc>
      </w:tr>
    </w:tbl>
    <w:p w:rsidR="00A84D32" w:rsidRPr="008513A4" w:rsidRDefault="00BF75BE">
      <w:pPr>
        <w:rPr>
          <w:rFonts w:ascii="Bookman Old Style" w:hAnsi="Bookman Old Style"/>
        </w:rPr>
      </w:pPr>
    </w:p>
    <w:p w:rsidR="008513A4" w:rsidRPr="008513A4" w:rsidRDefault="008513A4">
      <w:pPr>
        <w:rPr>
          <w:rFonts w:ascii="Bookman Old Style" w:hAnsi="Bookman Old Style"/>
          <w:b/>
          <w:u w:val="single"/>
        </w:rPr>
      </w:pPr>
      <w:r w:rsidRPr="008513A4">
        <w:rPr>
          <w:rFonts w:ascii="Bookman Old Style" w:hAnsi="Bookman Old Style"/>
          <w:b/>
          <w:u w:val="single"/>
        </w:rPr>
        <w:t>Definition:-</w:t>
      </w:r>
    </w:p>
    <w:p w:rsidR="008513A4" w:rsidRPr="008513A4" w:rsidRDefault="008513A4" w:rsidP="008513A4">
      <w:pPr>
        <w:adjustRightInd w:val="0"/>
        <w:spacing w:after="60" w:line="240" w:lineRule="auto"/>
        <w:jc w:val="both"/>
        <w:rPr>
          <w:rFonts w:ascii="Bookman Old Style" w:eastAsia="Times New Roman" w:hAnsi="Bookman Old Style" w:cs="AsterV"/>
          <w:b/>
          <w:bCs/>
        </w:rPr>
      </w:pPr>
      <w:r w:rsidRPr="008513A4">
        <w:rPr>
          <w:rFonts w:ascii="Bookman Old Style" w:eastAsia="Times New Roman" w:hAnsi="Bookman Old Style" w:cs="AsterV"/>
        </w:rPr>
        <w:t>[</w:t>
      </w:r>
      <w:r w:rsidRPr="008513A4">
        <w:rPr>
          <w:rFonts w:ascii="Bookman Old Style" w:eastAsia="Times New Roman" w:hAnsi="Bookman Old Style" w:cs="AsterV"/>
          <w:b/>
          <w:bCs/>
        </w:rPr>
        <w:t xml:space="preserve">Tea development account </w:t>
      </w:r>
      <w:hyperlink r:id="rId8" w:tgtFrame="middle" w:history="1">
        <w:r w:rsidRPr="008513A4">
          <w:rPr>
            <w:rFonts w:ascii="Bookman Old Style" w:eastAsia="Times New Roman" w:hAnsi="Bookman Old Style" w:cs="AsterV"/>
            <w:color w:val="0000FF"/>
            <w:u w:val="single"/>
            <w:vertAlign w:val="superscript"/>
          </w:rPr>
          <w:t>7</w:t>
        </w:r>
      </w:hyperlink>
      <w:r w:rsidRPr="008513A4">
        <w:rPr>
          <w:rFonts w:ascii="Bookman Old Style" w:eastAsia="Times New Roman" w:hAnsi="Bookman Old Style" w:cs="AsterV"/>
        </w:rPr>
        <w:t>[</w:t>
      </w:r>
      <w:proofErr w:type="gramStart"/>
      <w:r w:rsidRPr="008513A4">
        <w:rPr>
          <w:rFonts w:ascii="Bookman Old Style" w:eastAsia="Times New Roman" w:hAnsi="Bookman Old Style" w:cs="AsterV"/>
          <w:b/>
          <w:bCs/>
        </w:rPr>
        <w:t>,coffee</w:t>
      </w:r>
      <w:proofErr w:type="gramEnd"/>
      <w:r w:rsidRPr="008513A4">
        <w:rPr>
          <w:rFonts w:ascii="Bookman Old Style" w:eastAsia="Times New Roman" w:hAnsi="Bookman Old Style" w:cs="AsterV"/>
          <w:b/>
          <w:bCs/>
        </w:rPr>
        <w:t xml:space="preserve"> development account and rubber development account</w:t>
      </w:r>
      <w:r w:rsidRPr="008513A4">
        <w:rPr>
          <w:rFonts w:ascii="Bookman Old Style" w:eastAsia="Times New Roman" w:hAnsi="Bookman Old Style" w:cs="AsterV"/>
        </w:rPr>
        <w:t>]</w:t>
      </w:r>
      <w:r w:rsidRPr="008513A4">
        <w:rPr>
          <w:rFonts w:ascii="Bookman Old Style" w:eastAsia="Times New Roman" w:hAnsi="Bookman Old Style" w:cs="AsterV"/>
          <w:b/>
          <w:bCs/>
        </w:rPr>
        <w:t>.</w:t>
      </w:r>
    </w:p>
    <w:p w:rsidR="008513A4" w:rsidRPr="008513A4" w:rsidRDefault="008513A4" w:rsidP="008513A4">
      <w:pPr>
        <w:tabs>
          <w:tab w:val="left" w:pos="240"/>
          <w:tab w:val="left" w:pos="360"/>
          <w:tab w:val="left" w:pos="480"/>
          <w:tab w:val="left" w:pos="600"/>
          <w:tab w:val="left" w:pos="720"/>
        </w:tabs>
        <w:adjustRightInd w:val="0"/>
        <w:spacing w:after="60" w:line="240" w:lineRule="auto"/>
        <w:jc w:val="both"/>
        <w:rPr>
          <w:rFonts w:ascii="Bookman Old Style" w:eastAsia="Times New Roman" w:hAnsi="Bookman Old Style" w:cs="AsterV"/>
        </w:rPr>
      </w:pPr>
      <w:r w:rsidRPr="008513A4">
        <w:rPr>
          <w:rFonts w:ascii="Bookman Old Style" w:eastAsia="Times New Roman" w:hAnsi="Bookman Old Style" w:cs="AsterV"/>
          <w:b/>
          <w:bCs/>
        </w:rPr>
        <w:t>33AB.</w:t>
      </w:r>
      <w:r w:rsidRPr="008513A4">
        <w:rPr>
          <w:rFonts w:ascii="Bookman Old Style" w:eastAsia="Times New Roman" w:hAnsi="Bookman Old Style" w:cs="AsterV"/>
        </w:rPr>
        <w:t xml:space="preserve"> (1) Where an assessee carrying on business of growing and manufacturing tea </w:t>
      </w:r>
      <w:hyperlink r:id="rId9" w:tgtFrame="middle" w:history="1">
        <w:r w:rsidRPr="008513A4">
          <w:rPr>
            <w:rFonts w:ascii="Bookman Old Style" w:eastAsia="Times New Roman" w:hAnsi="Bookman Old Style" w:cs="AsterV"/>
            <w:color w:val="0000FF"/>
            <w:u w:val="single"/>
            <w:vertAlign w:val="superscript"/>
          </w:rPr>
          <w:t>7</w:t>
        </w:r>
      </w:hyperlink>
      <w:r w:rsidRPr="008513A4">
        <w:rPr>
          <w:rFonts w:ascii="Bookman Old Style" w:eastAsia="Times New Roman" w:hAnsi="Bookman Old Style" w:cs="AsterV"/>
        </w:rPr>
        <w:t>[or coffee or rubber]</w:t>
      </w:r>
      <w:r w:rsidRPr="008513A4">
        <w:rPr>
          <w:rFonts w:ascii="Bookman Old Style" w:eastAsia="Times New Roman" w:hAnsi="Bookman Old Style" w:cs="AsterV"/>
          <w:b/>
          <w:bCs/>
        </w:rPr>
        <w:t xml:space="preserve"> </w:t>
      </w:r>
      <w:r w:rsidRPr="008513A4">
        <w:rPr>
          <w:rFonts w:ascii="Bookman Old Style" w:eastAsia="Times New Roman" w:hAnsi="Bookman Old Style" w:cs="AsterV"/>
        </w:rPr>
        <w:t xml:space="preserve">in India has, before the expiry of six months from the end of the previous year or before </w:t>
      </w:r>
      <w:hyperlink r:id="rId10" w:tgtFrame="middle" w:history="1">
        <w:r w:rsidRPr="008513A4">
          <w:rPr>
            <w:rFonts w:ascii="Bookman Old Style" w:eastAsia="Times New Roman" w:hAnsi="Bookman Old Style" w:cs="AsterV"/>
            <w:color w:val="0000FF"/>
            <w:u w:val="single"/>
            <w:vertAlign w:val="superscript"/>
          </w:rPr>
          <w:t>7</w:t>
        </w:r>
      </w:hyperlink>
      <w:r w:rsidRPr="008513A4">
        <w:rPr>
          <w:rFonts w:ascii="Bookman Old Style" w:eastAsia="Times New Roman" w:hAnsi="Bookman Old Style" w:cs="AsterV"/>
        </w:rPr>
        <w:t>[the due date of]</w:t>
      </w:r>
      <w:r w:rsidRPr="008513A4">
        <w:rPr>
          <w:rFonts w:ascii="Bookman Old Style" w:eastAsia="Times New Roman" w:hAnsi="Bookman Old Style" w:cs="AsterV"/>
          <w:b/>
          <w:bCs/>
        </w:rPr>
        <w:t xml:space="preserve"> </w:t>
      </w:r>
      <w:r w:rsidRPr="008513A4">
        <w:rPr>
          <w:rFonts w:ascii="Bookman Old Style" w:eastAsia="Times New Roman" w:hAnsi="Bookman Old Style" w:cs="AsterV"/>
        </w:rPr>
        <w:t xml:space="preserve">furnishing the return of his income, </w:t>
      </w:r>
      <w:hyperlink r:id="rId11" w:tgtFrame="middle" w:history="1">
        <w:r w:rsidRPr="008513A4">
          <w:rPr>
            <w:rFonts w:ascii="Bookman Old Style" w:eastAsia="Times New Roman" w:hAnsi="Bookman Old Style" w:cs="AsterV"/>
            <w:color w:val="0000FF"/>
            <w:u w:val="single"/>
            <w:vertAlign w:val="superscript"/>
          </w:rPr>
          <w:t>8</w:t>
        </w:r>
      </w:hyperlink>
      <w:r w:rsidRPr="008513A4">
        <w:rPr>
          <w:rFonts w:ascii="Bookman Old Style" w:eastAsia="Times New Roman" w:hAnsi="Bookman Old Style" w:cs="AsterV"/>
        </w:rPr>
        <w:t>[whichever is earlier,—</w:t>
      </w:r>
    </w:p>
    <w:p w:rsidR="008513A4" w:rsidRPr="008513A4" w:rsidRDefault="008513A4" w:rsidP="008513A4">
      <w:pPr>
        <w:tabs>
          <w:tab w:val="right" w:pos="840"/>
          <w:tab w:val="left" w:pos="960"/>
        </w:tabs>
        <w:adjustRightInd w:val="0"/>
        <w:spacing w:after="40" w:line="240" w:lineRule="auto"/>
        <w:ind w:left="960" w:hanging="960"/>
        <w:jc w:val="both"/>
        <w:rPr>
          <w:rFonts w:ascii="Bookman Old Style" w:eastAsia="Times New Roman" w:hAnsi="Bookman Old Style" w:cs="AsterV"/>
        </w:rPr>
      </w:pPr>
      <w:r w:rsidRPr="008513A4">
        <w:rPr>
          <w:rFonts w:ascii="Bookman Old Style" w:eastAsia="Times New Roman" w:hAnsi="Bookman Old Style" w:cs="AsterV"/>
        </w:rPr>
        <w:tab/>
        <w:t>(</w:t>
      </w:r>
      <w:r w:rsidRPr="008513A4">
        <w:rPr>
          <w:rFonts w:ascii="Bookman Old Style" w:eastAsia="Times New Roman" w:hAnsi="Bookman Old Style" w:cs="AsterV"/>
          <w:i/>
          <w:iCs/>
        </w:rPr>
        <w:t>a</w:t>
      </w:r>
      <w:r w:rsidRPr="008513A4">
        <w:rPr>
          <w:rFonts w:ascii="Bookman Old Style" w:eastAsia="Times New Roman" w:hAnsi="Bookman Old Style" w:cs="AsterV"/>
        </w:rPr>
        <w:t>)</w:t>
      </w:r>
      <w:r w:rsidRPr="008513A4">
        <w:rPr>
          <w:rFonts w:ascii="Bookman Old Style" w:eastAsia="Times New Roman" w:hAnsi="Bookman Old Style" w:cs="AsterV"/>
        </w:rPr>
        <w:tab/>
        <w:t xml:space="preserve">deposited with the National Bank any amount or amounts in an account (hereafter in this section referred to as the special account) maintained by the assessee with that Bank in accordance with, and for the purposes specified in, a scheme (hereafter in this section referred to as the scheme) approved in this behalf by the Tea Board </w:t>
      </w:r>
      <w:hyperlink r:id="rId12" w:tgtFrame="middle" w:history="1">
        <w:r w:rsidRPr="008513A4">
          <w:rPr>
            <w:rFonts w:ascii="Bookman Old Style" w:eastAsia="Times New Roman" w:hAnsi="Bookman Old Style" w:cs="AsterV"/>
            <w:color w:val="0000FF"/>
            <w:u w:val="single"/>
            <w:vertAlign w:val="superscript"/>
          </w:rPr>
          <w:t>9</w:t>
        </w:r>
      </w:hyperlink>
      <w:r w:rsidRPr="008513A4">
        <w:rPr>
          <w:rFonts w:ascii="Bookman Old Style" w:eastAsia="Times New Roman" w:hAnsi="Bookman Old Style" w:cs="AsterV"/>
        </w:rPr>
        <w:t>[or the Coffee Board or the Rubber Board]</w:t>
      </w:r>
      <w:r w:rsidRPr="008513A4">
        <w:rPr>
          <w:rFonts w:ascii="Bookman Old Style" w:eastAsia="Times New Roman" w:hAnsi="Bookman Old Style" w:cs="AsterV"/>
          <w:b/>
          <w:bCs/>
        </w:rPr>
        <w:t xml:space="preserve"> </w:t>
      </w:r>
      <w:r w:rsidRPr="008513A4">
        <w:rPr>
          <w:rFonts w:ascii="Bookman Old Style" w:eastAsia="Times New Roman" w:hAnsi="Bookman Old Style" w:cs="AsterV"/>
        </w:rPr>
        <w:t>; or</w:t>
      </w:r>
    </w:p>
    <w:p w:rsidR="008513A4" w:rsidRPr="008513A4" w:rsidRDefault="008513A4" w:rsidP="008513A4">
      <w:pPr>
        <w:tabs>
          <w:tab w:val="right" w:pos="840"/>
          <w:tab w:val="left" w:pos="960"/>
        </w:tabs>
        <w:adjustRightInd w:val="0"/>
        <w:spacing w:after="40" w:line="240" w:lineRule="auto"/>
        <w:ind w:left="960" w:hanging="960"/>
        <w:jc w:val="both"/>
        <w:rPr>
          <w:rFonts w:ascii="Bookman Old Style" w:eastAsia="Times New Roman" w:hAnsi="Bookman Old Style" w:cs="AsterV"/>
          <w:i/>
          <w:iCs/>
        </w:rPr>
      </w:pPr>
      <w:r w:rsidRPr="008513A4">
        <w:rPr>
          <w:rFonts w:ascii="Bookman Old Style" w:eastAsia="Times New Roman" w:hAnsi="Bookman Old Style" w:cs="AsterV"/>
        </w:rPr>
        <w:tab/>
        <w:t>(</w:t>
      </w:r>
      <w:r w:rsidRPr="008513A4">
        <w:rPr>
          <w:rFonts w:ascii="Bookman Old Style" w:eastAsia="Times New Roman" w:hAnsi="Bookman Old Style" w:cs="AsterV"/>
          <w:i/>
          <w:iCs/>
        </w:rPr>
        <w:t>b</w:t>
      </w:r>
      <w:r w:rsidRPr="008513A4">
        <w:rPr>
          <w:rFonts w:ascii="Bookman Old Style" w:eastAsia="Times New Roman" w:hAnsi="Bookman Old Style" w:cs="AsterV"/>
        </w:rPr>
        <w:t>)</w:t>
      </w:r>
      <w:r w:rsidRPr="008513A4">
        <w:rPr>
          <w:rFonts w:ascii="Bookman Old Style" w:eastAsia="Times New Roman" w:hAnsi="Bookman Old Style" w:cs="AsterV"/>
        </w:rPr>
        <w:tab/>
      </w:r>
      <w:hyperlink r:id="rId13" w:tgtFrame="middle" w:history="1">
        <w:r w:rsidRPr="008513A4">
          <w:rPr>
            <w:rFonts w:ascii="Bookman Old Style" w:eastAsia="Times New Roman" w:hAnsi="Bookman Old Style" w:cs="AsterV"/>
            <w:color w:val="0000FF"/>
            <w:u w:val="single"/>
            <w:vertAlign w:val="superscript"/>
          </w:rPr>
          <w:t>10</w:t>
        </w:r>
      </w:hyperlink>
      <w:r w:rsidRPr="008513A4">
        <w:rPr>
          <w:rFonts w:ascii="Bookman Old Style" w:eastAsia="Times New Roman" w:hAnsi="Bookman Old Style" w:cs="AsterV"/>
        </w:rPr>
        <w:t>[deposited any amount in an account (hereafter in this section referred to as the Deposit Account) opened by the assessee in accordance with, and for the purposes specified in, a scheme framed by the Tea Board or the Coffee Board or the Rubber Board, as the case may be (hereafter in this section referred to as the deposit scheme), with the previous approval of the Central Government,]</w:t>
      </w:r>
    </w:p>
    <w:p w:rsidR="008513A4" w:rsidRPr="008513A4" w:rsidRDefault="008513A4" w:rsidP="008513A4">
      <w:pPr>
        <w:tabs>
          <w:tab w:val="left" w:pos="240"/>
          <w:tab w:val="left" w:pos="360"/>
          <w:tab w:val="left" w:pos="480"/>
          <w:tab w:val="left" w:pos="600"/>
          <w:tab w:val="left" w:pos="720"/>
        </w:tabs>
        <w:adjustRightInd w:val="0"/>
        <w:spacing w:after="60" w:line="240" w:lineRule="auto"/>
        <w:jc w:val="both"/>
        <w:rPr>
          <w:rFonts w:ascii="Bookman Old Style" w:eastAsia="Times New Roman" w:hAnsi="Bookman Old Style" w:cs="AsterV"/>
        </w:rPr>
      </w:pPr>
      <w:r w:rsidRPr="008513A4">
        <w:rPr>
          <w:rFonts w:ascii="Bookman Old Style" w:eastAsia="Times New Roman" w:hAnsi="Bookman Old Style" w:cs="AsterV"/>
        </w:rPr>
        <w:t xml:space="preserve">the assessee shall, subject to the provisions of this section,] be allowed a deduction (such deduction being allowed before the loss, if any, brought forward from earlier years is set off under </w:t>
      </w:r>
      <w:hyperlink r:id="rId14" w:tgtFrame="top" w:history="1">
        <w:r w:rsidRPr="008513A4">
          <w:rPr>
            <w:rFonts w:ascii="Bookman Old Style" w:eastAsia="Times New Roman" w:hAnsi="Bookman Old Style" w:cs="AsterV"/>
            <w:color w:val="0000FF"/>
            <w:u w:val="single"/>
          </w:rPr>
          <w:t>section 72</w:t>
        </w:r>
      </w:hyperlink>
      <w:r w:rsidRPr="008513A4">
        <w:rPr>
          <w:rFonts w:ascii="Bookman Old Style" w:eastAsia="Times New Roman" w:hAnsi="Bookman Old Style" w:cs="AsterV"/>
        </w:rPr>
        <w:t>) of—</w:t>
      </w:r>
    </w:p>
    <w:p w:rsidR="008513A4" w:rsidRPr="008513A4" w:rsidRDefault="008513A4" w:rsidP="008513A4">
      <w:pPr>
        <w:tabs>
          <w:tab w:val="right" w:pos="840"/>
          <w:tab w:val="left" w:pos="960"/>
        </w:tabs>
        <w:adjustRightInd w:val="0"/>
        <w:spacing w:after="40" w:line="240" w:lineRule="auto"/>
        <w:ind w:left="960" w:hanging="960"/>
        <w:jc w:val="both"/>
        <w:rPr>
          <w:rFonts w:ascii="Bookman Old Style" w:eastAsia="Times New Roman" w:hAnsi="Bookman Old Style" w:cs="AsterV"/>
        </w:rPr>
      </w:pPr>
      <w:r w:rsidRPr="008513A4">
        <w:rPr>
          <w:rFonts w:ascii="Bookman Old Style" w:eastAsia="Times New Roman" w:hAnsi="Bookman Old Style" w:cs="AsterV"/>
        </w:rPr>
        <w:tab/>
        <w:t>(</w:t>
      </w:r>
      <w:r w:rsidRPr="008513A4">
        <w:rPr>
          <w:rFonts w:ascii="Bookman Old Style" w:eastAsia="Times New Roman" w:hAnsi="Bookman Old Style" w:cs="AsterV"/>
          <w:i/>
          <w:iCs/>
        </w:rPr>
        <w:t>a</w:t>
      </w:r>
      <w:r w:rsidRPr="008513A4">
        <w:rPr>
          <w:rFonts w:ascii="Bookman Old Style" w:eastAsia="Times New Roman" w:hAnsi="Bookman Old Style" w:cs="AsterV"/>
        </w:rPr>
        <w:t>)</w:t>
      </w:r>
      <w:r w:rsidRPr="008513A4">
        <w:rPr>
          <w:rFonts w:ascii="Bookman Old Style" w:eastAsia="Times New Roman" w:hAnsi="Bookman Old Style" w:cs="AsterV"/>
        </w:rPr>
        <w:tab/>
      </w:r>
      <w:proofErr w:type="gramStart"/>
      <w:r w:rsidRPr="008513A4">
        <w:rPr>
          <w:rFonts w:ascii="Bookman Old Style" w:eastAsia="Times New Roman" w:hAnsi="Bookman Old Style" w:cs="AsterV"/>
        </w:rPr>
        <w:t>a</w:t>
      </w:r>
      <w:proofErr w:type="gramEnd"/>
      <w:r w:rsidRPr="008513A4">
        <w:rPr>
          <w:rFonts w:ascii="Bookman Old Style" w:eastAsia="Times New Roman" w:hAnsi="Bookman Old Style" w:cs="AsterV"/>
        </w:rPr>
        <w:t xml:space="preserve"> sum equal to the amount or the aggregate of the amounts so deposited ; or</w:t>
      </w:r>
    </w:p>
    <w:p w:rsidR="008513A4" w:rsidRPr="008513A4" w:rsidRDefault="008513A4" w:rsidP="008513A4">
      <w:pPr>
        <w:tabs>
          <w:tab w:val="right" w:pos="840"/>
          <w:tab w:val="left" w:pos="960"/>
        </w:tabs>
        <w:adjustRightInd w:val="0"/>
        <w:spacing w:after="40" w:line="240" w:lineRule="auto"/>
        <w:ind w:left="960" w:hanging="960"/>
        <w:jc w:val="both"/>
        <w:rPr>
          <w:rFonts w:ascii="Bookman Old Style" w:eastAsia="Times New Roman" w:hAnsi="Bookman Old Style" w:cs="AsterV"/>
        </w:rPr>
      </w:pPr>
      <w:r w:rsidRPr="008513A4">
        <w:rPr>
          <w:rFonts w:ascii="Bookman Old Style" w:eastAsia="Times New Roman" w:hAnsi="Bookman Old Style" w:cs="AsterV"/>
        </w:rPr>
        <w:tab/>
        <w:t>(</w:t>
      </w:r>
      <w:r w:rsidRPr="008513A4">
        <w:rPr>
          <w:rFonts w:ascii="Bookman Old Style" w:eastAsia="Times New Roman" w:hAnsi="Bookman Old Style" w:cs="AsterV"/>
          <w:i/>
          <w:iCs/>
        </w:rPr>
        <w:t>b</w:t>
      </w:r>
      <w:r w:rsidRPr="008513A4">
        <w:rPr>
          <w:rFonts w:ascii="Bookman Old Style" w:eastAsia="Times New Roman" w:hAnsi="Bookman Old Style" w:cs="AsterV"/>
        </w:rPr>
        <w:t>)</w:t>
      </w:r>
      <w:r w:rsidRPr="008513A4">
        <w:rPr>
          <w:rFonts w:ascii="Bookman Old Style" w:eastAsia="Times New Roman" w:hAnsi="Bookman Old Style" w:cs="AsterV"/>
        </w:rPr>
        <w:tab/>
      </w:r>
      <w:proofErr w:type="gramStart"/>
      <w:r w:rsidRPr="008513A4">
        <w:rPr>
          <w:rFonts w:ascii="Bookman Old Style" w:eastAsia="Times New Roman" w:hAnsi="Bookman Old Style" w:cs="AsterV"/>
        </w:rPr>
        <w:t>a</w:t>
      </w:r>
      <w:proofErr w:type="gramEnd"/>
      <w:r w:rsidRPr="008513A4">
        <w:rPr>
          <w:rFonts w:ascii="Bookman Old Style" w:eastAsia="Times New Roman" w:hAnsi="Bookman Old Style" w:cs="AsterV"/>
        </w:rPr>
        <w:t xml:space="preserve"> sum equal to </w:t>
      </w:r>
      <w:hyperlink r:id="rId15" w:tgtFrame="middle" w:history="1">
        <w:r w:rsidRPr="008513A4">
          <w:rPr>
            <w:rFonts w:ascii="Bookman Old Style" w:eastAsia="Times New Roman" w:hAnsi="Bookman Old Style" w:cs="AsterV"/>
            <w:color w:val="0000FF"/>
            <w:u w:val="single"/>
            <w:vertAlign w:val="superscript"/>
          </w:rPr>
          <w:t>11</w:t>
        </w:r>
      </w:hyperlink>
      <w:r w:rsidRPr="008513A4">
        <w:rPr>
          <w:rFonts w:ascii="Bookman Old Style" w:eastAsia="Times New Roman" w:hAnsi="Bookman Old Style" w:cs="AsterV"/>
        </w:rPr>
        <w:t>[forty] per cent of the profits of such business (computed under the head “Profits and gains of business or profession” before making any deduction under this section),</w:t>
      </w:r>
    </w:p>
    <w:p w:rsidR="008513A4" w:rsidRPr="008513A4" w:rsidRDefault="008513A4" w:rsidP="008513A4">
      <w:pPr>
        <w:spacing w:after="80" w:line="240" w:lineRule="auto"/>
        <w:rPr>
          <w:rFonts w:ascii="Bookman Old Style" w:eastAsia="Times New Roman" w:hAnsi="Bookman Old Style" w:cs="AsterV"/>
        </w:rPr>
      </w:pPr>
      <w:proofErr w:type="gramStart"/>
      <w:r w:rsidRPr="008513A4">
        <w:rPr>
          <w:rFonts w:ascii="Bookman Old Style" w:eastAsia="Times New Roman" w:hAnsi="Bookman Old Style" w:cs="AsterV"/>
        </w:rPr>
        <w:t>whichever</w:t>
      </w:r>
      <w:proofErr w:type="gramEnd"/>
      <w:r w:rsidRPr="008513A4">
        <w:rPr>
          <w:rFonts w:ascii="Bookman Old Style" w:eastAsia="Times New Roman" w:hAnsi="Bookman Old Style" w:cs="AsterV"/>
        </w:rPr>
        <w:t xml:space="preserve"> is less :</w:t>
      </w:r>
    </w:p>
    <w:p w:rsidR="008513A4" w:rsidRPr="008513A4" w:rsidRDefault="008513A4" w:rsidP="008513A4">
      <w:pPr>
        <w:tabs>
          <w:tab w:val="left" w:pos="240"/>
          <w:tab w:val="left" w:pos="360"/>
          <w:tab w:val="left" w:pos="480"/>
          <w:tab w:val="left" w:pos="600"/>
          <w:tab w:val="left" w:pos="720"/>
        </w:tabs>
        <w:adjustRightInd w:val="0"/>
        <w:spacing w:after="60" w:line="240" w:lineRule="auto"/>
        <w:jc w:val="both"/>
        <w:rPr>
          <w:rFonts w:ascii="Bookman Old Style" w:eastAsia="Times New Roman" w:hAnsi="Bookman Old Style" w:cs="AsterV"/>
        </w:rPr>
      </w:pPr>
      <w:r w:rsidRPr="008513A4">
        <w:rPr>
          <w:rFonts w:ascii="Bookman Old Style" w:eastAsia="Times New Roman" w:hAnsi="Bookman Old Style" w:cs="AsterV"/>
          <w:b/>
          <w:bCs/>
        </w:rPr>
        <w:t>Provided</w:t>
      </w:r>
      <w:r w:rsidRPr="008513A4">
        <w:rPr>
          <w:rFonts w:ascii="Bookman Old Style" w:eastAsia="Times New Roman" w:hAnsi="Bookman Old Style" w:cs="AsterV"/>
        </w:rPr>
        <w:t xml:space="preserve"> that where such assessee is a firm, or any association of persons or </w:t>
      </w:r>
      <w:proofErr w:type="spellStart"/>
      <w:r w:rsidRPr="008513A4">
        <w:rPr>
          <w:rFonts w:ascii="Bookman Old Style" w:eastAsia="Times New Roman" w:hAnsi="Bookman Old Style" w:cs="AsterV"/>
        </w:rPr>
        <w:t>any body</w:t>
      </w:r>
      <w:proofErr w:type="spellEnd"/>
      <w:r w:rsidRPr="008513A4">
        <w:rPr>
          <w:rFonts w:ascii="Bookman Old Style" w:eastAsia="Times New Roman" w:hAnsi="Bookman Old Style" w:cs="AsterV"/>
        </w:rPr>
        <w:t xml:space="preserve"> of individuals, the deduction under this section shall not be allowed in the computation of the income of any partner, or as the case may be, any member of such firm, association of persons or body of individuals :</w:t>
      </w:r>
    </w:p>
    <w:p w:rsidR="008513A4" w:rsidRPr="008513A4" w:rsidRDefault="008513A4" w:rsidP="008513A4">
      <w:pPr>
        <w:tabs>
          <w:tab w:val="left" w:pos="240"/>
          <w:tab w:val="left" w:pos="360"/>
          <w:tab w:val="left" w:pos="480"/>
          <w:tab w:val="left" w:pos="600"/>
          <w:tab w:val="left" w:pos="720"/>
        </w:tabs>
        <w:adjustRightInd w:val="0"/>
        <w:spacing w:after="60" w:line="240" w:lineRule="auto"/>
        <w:jc w:val="both"/>
        <w:rPr>
          <w:rFonts w:ascii="Bookman Old Style" w:eastAsia="Times New Roman" w:hAnsi="Bookman Old Style" w:cs="AsterV"/>
        </w:rPr>
      </w:pPr>
      <w:r w:rsidRPr="008513A4">
        <w:rPr>
          <w:rFonts w:ascii="Bookman Old Style" w:eastAsia="Times New Roman" w:hAnsi="Bookman Old Style" w:cs="AsterV"/>
          <w:b/>
          <w:bCs/>
        </w:rPr>
        <w:t>Provided further</w:t>
      </w:r>
      <w:r w:rsidRPr="008513A4">
        <w:rPr>
          <w:rFonts w:ascii="Bookman Old Style" w:eastAsia="Times New Roman" w:hAnsi="Bookman Old Style" w:cs="AsterV"/>
        </w:rPr>
        <w:t xml:space="preserve"> that where any deduction, in respect of any amount deposited in the special account </w:t>
      </w:r>
      <w:hyperlink r:id="rId16" w:tgtFrame="middle" w:history="1">
        <w:r w:rsidRPr="008513A4">
          <w:rPr>
            <w:rFonts w:ascii="Bookman Old Style" w:eastAsia="Times New Roman" w:hAnsi="Bookman Old Style" w:cs="AsterV"/>
            <w:color w:val="0000FF"/>
            <w:u w:val="single"/>
            <w:vertAlign w:val="superscript"/>
          </w:rPr>
          <w:t>12</w:t>
        </w:r>
      </w:hyperlink>
      <w:r w:rsidRPr="008513A4">
        <w:rPr>
          <w:rFonts w:ascii="Bookman Old Style" w:eastAsia="Times New Roman" w:hAnsi="Bookman Old Style" w:cs="AsterV"/>
        </w:rPr>
        <w:t xml:space="preserve">[, or in the </w:t>
      </w:r>
      <w:hyperlink r:id="rId17" w:tgtFrame="middle" w:history="1">
        <w:r w:rsidRPr="008513A4">
          <w:rPr>
            <w:rFonts w:ascii="Bookman Old Style" w:eastAsia="Times New Roman" w:hAnsi="Bookman Old Style" w:cs="AsterV"/>
            <w:color w:val="0000FF"/>
            <w:u w:val="single"/>
            <w:vertAlign w:val="superscript"/>
          </w:rPr>
          <w:t>13</w:t>
        </w:r>
      </w:hyperlink>
      <w:r w:rsidRPr="008513A4">
        <w:rPr>
          <w:rFonts w:ascii="Bookman Old Style" w:eastAsia="Times New Roman" w:hAnsi="Bookman Old Style" w:cs="AsterV"/>
        </w:rPr>
        <w:t>[***] Deposit Account], has been allowed under this sub-section in any previous year, no deduction shall be allowed in respect of such amount in any other previous year.</w:t>
      </w:r>
    </w:p>
    <w:p w:rsidR="008513A4" w:rsidRPr="008513A4" w:rsidRDefault="008513A4" w:rsidP="008513A4">
      <w:pPr>
        <w:tabs>
          <w:tab w:val="left" w:pos="240"/>
          <w:tab w:val="left" w:pos="360"/>
          <w:tab w:val="left" w:pos="480"/>
          <w:tab w:val="left" w:pos="600"/>
          <w:tab w:val="left" w:pos="720"/>
        </w:tabs>
        <w:adjustRightInd w:val="0"/>
        <w:spacing w:after="60" w:line="240" w:lineRule="auto"/>
        <w:jc w:val="both"/>
        <w:rPr>
          <w:rFonts w:ascii="Bookman Old Style" w:eastAsia="Times New Roman" w:hAnsi="Bookman Old Style" w:cs="AsterV"/>
        </w:rPr>
      </w:pPr>
      <w:r w:rsidRPr="008513A4">
        <w:rPr>
          <w:rFonts w:ascii="Bookman Old Style" w:eastAsia="Times New Roman" w:hAnsi="Bookman Old Style" w:cs="AsterV"/>
        </w:rPr>
        <w:t xml:space="preserve">(2) The deduction under sub-section (1) shall not be admissible unless the accounts of such business of the assessee for the previous year relevant to the assessment year for which the deduction is claimed have been audited by an accountant as defined in the </w:t>
      </w:r>
      <w:r w:rsidRPr="008513A4">
        <w:rPr>
          <w:rFonts w:ascii="Bookman Old Style" w:eastAsia="Times New Roman" w:hAnsi="Bookman Old Style" w:cs="AsterV"/>
          <w:i/>
          <w:iCs/>
        </w:rPr>
        <w:lastRenderedPageBreak/>
        <w:t>Explanation</w:t>
      </w:r>
      <w:r w:rsidRPr="008513A4">
        <w:rPr>
          <w:rFonts w:ascii="Bookman Old Style" w:eastAsia="Times New Roman" w:hAnsi="Bookman Old Style" w:cs="AsterV"/>
        </w:rPr>
        <w:t xml:space="preserve"> below sub-section (2) of </w:t>
      </w:r>
      <w:hyperlink r:id="rId18" w:tgtFrame="top" w:history="1">
        <w:r w:rsidRPr="008513A4">
          <w:rPr>
            <w:rFonts w:ascii="Bookman Old Style" w:eastAsia="Times New Roman" w:hAnsi="Bookman Old Style" w:cs="AsterV"/>
            <w:color w:val="0000FF"/>
            <w:u w:val="single"/>
          </w:rPr>
          <w:t>section 288</w:t>
        </w:r>
      </w:hyperlink>
      <w:r w:rsidRPr="008513A4">
        <w:rPr>
          <w:rFonts w:ascii="Bookman Old Style" w:eastAsia="Times New Roman" w:hAnsi="Bookman Old Style" w:cs="AsterV"/>
        </w:rPr>
        <w:t xml:space="preserve"> and the assessee furnishes, along with his return of income, the report of such audit in the prescribed form</w:t>
      </w:r>
      <w:hyperlink r:id="rId19" w:tgtFrame="middle" w:history="1">
        <w:r w:rsidRPr="008513A4">
          <w:rPr>
            <w:rFonts w:ascii="Bookman Old Style" w:eastAsia="Times New Roman" w:hAnsi="Bookman Old Style" w:cs="AsterV"/>
            <w:color w:val="0000FF"/>
            <w:u w:val="single"/>
            <w:vertAlign w:val="superscript"/>
          </w:rPr>
          <w:t>14</w:t>
        </w:r>
      </w:hyperlink>
      <w:r w:rsidRPr="008513A4">
        <w:rPr>
          <w:rFonts w:ascii="Bookman Old Style" w:eastAsia="Times New Roman" w:hAnsi="Bookman Old Style" w:cs="AsterV"/>
        </w:rPr>
        <w:t xml:space="preserve"> duly signed and verified by such accountant :</w:t>
      </w:r>
    </w:p>
    <w:p w:rsidR="008513A4" w:rsidRPr="008513A4" w:rsidRDefault="008513A4" w:rsidP="008513A4">
      <w:pPr>
        <w:tabs>
          <w:tab w:val="left" w:pos="240"/>
          <w:tab w:val="left" w:pos="360"/>
          <w:tab w:val="left" w:pos="480"/>
          <w:tab w:val="left" w:pos="600"/>
          <w:tab w:val="left" w:pos="720"/>
        </w:tabs>
        <w:adjustRightInd w:val="0"/>
        <w:spacing w:after="60" w:line="240" w:lineRule="auto"/>
        <w:jc w:val="both"/>
        <w:rPr>
          <w:rFonts w:ascii="Bookman Old Style" w:eastAsia="Times New Roman" w:hAnsi="Bookman Old Style" w:cs="AsterV"/>
        </w:rPr>
      </w:pPr>
      <w:r w:rsidRPr="008513A4">
        <w:rPr>
          <w:rFonts w:ascii="Bookman Old Style" w:eastAsia="Times New Roman" w:hAnsi="Bookman Old Style" w:cs="AsterV"/>
          <w:b/>
          <w:bCs/>
        </w:rPr>
        <w:t>Provided</w:t>
      </w:r>
      <w:r w:rsidRPr="008513A4">
        <w:rPr>
          <w:rFonts w:ascii="Bookman Old Style" w:eastAsia="Times New Roman" w:hAnsi="Bookman Old Style" w:cs="AsterV"/>
        </w:rPr>
        <w:t xml:space="preserve"> that in a case where the assessee is required by or under any other law to get his accounts audited, it shall be sufficient compliance with the provisions of this sub-section if such assessee gets the accounts of such business audited under such law and furnishes the report of the audit as required under such other law and a further report in the form prescribed under this sub-section.</w:t>
      </w:r>
    </w:p>
    <w:p w:rsidR="008513A4" w:rsidRPr="008513A4" w:rsidRDefault="008513A4" w:rsidP="008513A4">
      <w:pPr>
        <w:tabs>
          <w:tab w:val="left" w:pos="240"/>
          <w:tab w:val="left" w:pos="360"/>
          <w:tab w:val="left" w:pos="480"/>
          <w:tab w:val="left" w:pos="600"/>
          <w:tab w:val="left" w:pos="720"/>
        </w:tabs>
        <w:adjustRightInd w:val="0"/>
        <w:spacing w:after="60" w:line="240" w:lineRule="auto"/>
        <w:jc w:val="both"/>
        <w:rPr>
          <w:rFonts w:ascii="Bookman Old Style" w:eastAsia="Times New Roman" w:hAnsi="Bookman Old Style" w:cs="AsterV"/>
        </w:rPr>
      </w:pPr>
      <w:r w:rsidRPr="008513A4">
        <w:rPr>
          <w:rFonts w:ascii="Bookman Old Style" w:eastAsia="Times New Roman" w:hAnsi="Bookman Old Style" w:cs="AsterV"/>
        </w:rPr>
        <w:t xml:space="preserve">(3) Any amount standing to the credit of the assessee in </w:t>
      </w:r>
      <w:hyperlink r:id="rId20" w:tgtFrame="middle" w:history="1">
        <w:r w:rsidRPr="008513A4">
          <w:rPr>
            <w:rFonts w:ascii="Bookman Old Style" w:eastAsia="Times New Roman" w:hAnsi="Bookman Old Style" w:cs="AsterV"/>
            <w:color w:val="0000FF"/>
            <w:u w:val="single"/>
            <w:vertAlign w:val="superscript"/>
          </w:rPr>
          <w:t>15</w:t>
        </w:r>
      </w:hyperlink>
      <w:r w:rsidRPr="008513A4">
        <w:rPr>
          <w:rFonts w:ascii="Bookman Old Style" w:eastAsia="Times New Roman" w:hAnsi="Bookman Old Style" w:cs="AsterV"/>
        </w:rPr>
        <w:t xml:space="preserve">[the special account or the </w:t>
      </w:r>
      <w:hyperlink r:id="rId21" w:tgtFrame="middle" w:history="1">
        <w:r w:rsidRPr="008513A4">
          <w:rPr>
            <w:rFonts w:ascii="Bookman Old Style" w:eastAsia="Times New Roman" w:hAnsi="Bookman Old Style" w:cs="AsterV"/>
            <w:color w:val="0000FF"/>
            <w:u w:val="single"/>
            <w:vertAlign w:val="superscript"/>
          </w:rPr>
          <w:t>16</w:t>
        </w:r>
      </w:hyperlink>
      <w:r w:rsidRPr="008513A4">
        <w:rPr>
          <w:rFonts w:ascii="Bookman Old Style" w:eastAsia="Times New Roman" w:hAnsi="Bookman Old Style" w:cs="AsterV"/>
        </w:rPr>
        <w:t>[***] Deposit Account shall not be allowed to be withdrawn except for the purposes specified in the scheme or, as the case may be, in the deposit scheme] or in the circumstances specified below :—</w:t>
      </w:r>
    </w:p>
    <w:p w:rsidR="008513A4" w:rsidRPr="008513A4" w:rsidRDefault="008513A4" w:rsidP="008513A4">
      <w:pPr>
        <w:tabs>
          <w:tab w:val="right" w:pos="840"/>
          <w:tab w:val="left" w:pos="960"/>
        </w:tabs>
        <w:adjustRightInd w:val="0"/>
        <w:spacing w:after="60" w:line="240" w:lineRule="auto"/>
        <w:ind w:left="960" w:hanging="960"/>
        <w:jc w:val="both"/>
        <w:rPr>
          <w:rFonts w:ascii="Bookman Old Style" w:eastAsia="Times New Roman" w:hAnsi="Bookman Old Style" w:cs="AsterV"/>
        </w:rPr>
      </w:pPr>
      <w:r w:rsidRPr="008513A4">
        <w:rPr>
          <w:rFonts w:ascii="Bookman Old Style" w:eastAsia="Times New Roman" w:hAnsi="Bookman Old Style" w:cs="AsterV"/>
        </w:rPr>
        <w:tab/>
        <w:t>(</w:t>
      </w:r>
      <w:r w:rsidRPr="008513A4">
        <w:rPr>
          <w:rFonts w:ascii="Bookman Old Style" w:eastAsia="Times New Roman" w:hAnsi="Bookman Old Style" w:cs="AsterV"/>
          <w:i/>
          <w:iCs/>
        </w:rPr>
        <w:t>a</w:t>
      </w:r>
      <w:r w:rsidRPr="008513A4">
        <w:rPr>
          <w:rFonts w:ascii="Bookman Old Style" w:eastAsia="Times New Roman" w:hAnsi="Bookman Old Style" w:cs="AsterV"/>
        </w:rPr>
        <w:t>)</w:t>
      </w:r>
      <w:r w:rsidRPr="008513A4">
        <w:rPr>
          <w:rFonts w:ascii="Bookman Old Style" w:eastAsia="Times New Roman" w:hAnsi="Bookman Old Style" w:cs="AsterV"/>
        </w:rPr>
        <w:tab/>
      </w:r>
      <w:proofErr w:type="gramStart"/>
      <w:r w:rsidRPr="008513A4">
        <w:rPr>
          <w:rFonts w:ascii="Bookman Old Style" w:eastAsia="Times New Roman" w:hAnsi="Bookman Old Style" w:cs="AsterV"/>
        </w:rPr>
        <w:t>closure</w:t>
      </w:r>
      <w:proofErr w:type="gramEnd"/>
      <w:r w:rsidRPr="008513A4">
        <w:rPr>
          <w:rFonts w:ascii="Bookman Old Style" w:eastAsia="Times New Roman" w:hAnsi="Bookman Old Style" w:cs="AsterV"/>
        </w:rPr>
        <w:t xml:space="preserve"> of business ;</w:t>
      </w:r>
    </w:p>
    <w:p w:rsidR="008513A4" w:rsidRPr="008513A4" w:rsidRDefault="008513A4" w:rsidP="008513A4">
      <w:pPr>
        <w:tabs>
          <w:tab w:val="right" w:pos="840"/>
          <w:tab w:val="left" w:pos="960"/>
        </w:tabs>
        <w:adjustRightInd w:val="0"/>
        <w:spacing w:after="60" w:line="240" w:lineRule="auto"/>
        <w:ind w:left="960" w:hanging="960"/>
        <w:jc w:val="both"/>
        <w:rPr>
          <w:rFonts w:ascii="Bookman Old Style" w:eastAsia="Times New Roman" w:hAnsi="Bookman Old Style" w:cs="AsterV"/>
        </w:rPr>
      </w:pPr>
      <w:r w:rsidRPr="008513A4">
        <w:rPr>
          <w:rFonts w:ascii="Bookman Old Style" w:eastAsia="Times New Roman" w:hAnsi="Bookman Old Style" w:cs="AsterV"/>
        </w:rPr>
        <w:tab/>
        <w:t>(</w:t>
      </w:r>
      <w:r w:rsidRPr="008513A4">
        <w:rPr>
          <w:rFonts w:ascii="Bookman Old Style" w:eastAsia="Times New Roman" w:hAnsi="Bookman Old Style" w:cs="AsterV"/>
          <w:i/>
          <w:iCs/>
        </w:rPr>
        <w:t>b</w:t>
      </w:r>
      <w:r w:rsidRPr="008513A4">
        <w:rPr>
          <w:rFonts w:ascii="Bookman Old Style" w:eastAsia="Times New Roman" w:hAnsi="Bookman Old Style" w:cs="AsterV"/>
        </w:rPr>
        <w:t>)</w:t>
      </w:r>
      <w:r w:rsidRPr="008513A4">
        <w:rPr>
          <w:rFonts w:ascii="Bookman Old Style" w:eastAsia="Times New Roman" w:hAnsi="Bookman Old Style" w:cs="AsterV"/>
        </w:rPr>
        <w:tab/>
      </w:r>
      <w:proofErr w:type="gramStart"/>
      <w:r w:rsidRPr="008513A4">
        <w:rPr>
          <w:rFonts w:ascii="Bookman Old Style" w:eastAsia="Times New Roman" w:hAnsi="Bookman Old Style" w:cs="AsterV"/>
        </w:rPr>
        <w:t>death</w:t>
      </w:r>
      <w:proofErr w:type="gramEnd"/>
      <w:r w:rsidRPr="008513A4">
        <w:rPr>
          <w:rFonts w:ascii="Bookman Old Style" w:eastAsia="Times New Roman" w:hAnsi="Bookman Old Style" w:cs="AsterV"/>
        </w:rPr>
        <w:t xml:space="preserve"> of an assessee ;</w:t>
      </w:r>
    </w:p>
    <w:p w:rsidR="008513A4" w:rsidRPr="008513A4" w:rsidRDefault="008513A4" w:rsidP="008513A4">
      <w:pPr>
        <w:tabs>
          <w:tab w:val="right" w:pos="840"/>
          <w:tab w:val="left" w:pos="960"/>
        </w:tabs>
        <w:adjustRightInd w:val="0"/>
        <w:spacing w:after="60" w:line="240" w:lineRule="auto"/>
        <w:ind w:left="960" w:hanging="960"/>
        <w:jc w:val="both"/>
        <w:rPr>
          <w:rFonts w:ascii="Bookman Old Style" w:eastAsia="Times New Roman" w:hAnsi="Bookman Old Style" w:cs="AsterV"/>
        </w:rPr>
      </w:pPr>
      <w:r w:rsidRPr="008513A4">
        <w:rPr>
          <w:rFonts w:ascii="Bookman Old Style" w:eastAsia="Times New Roman" w:hAnsi="Bookman Old Style" w:cs="AsterV"/>
        </w:rPr>
        <w:tab/>
        <w:t>(</w:t>
      </w:r>
      <w:r w:rsidRPr="008513A4">
        <w:rPr>
          <w:rFonts w:ascii="Bookman Old Style" w:eastAsia="Times New Roman" w:hAnsi="Bookman Old Style" w:cs="AsterV"/>
          <w:i/>
          <w:iCs/>
        </w:rPr>
        <w:t>c</w:t>
      </w:r>
      <w:r w:rsidRPr="008513A4">
        <w:rPr>
          <w:rFonts w:ascii="Bookman Old Style" w:eastAsia="Times New Roman" w:hAnsi="Bookman Old Style" w:cs="AsterV"/>
        </w:rPr>
        <w:t>)</w:t>
      </w:r>
      <w:r w:rsidRPr="008513A4">
        <w:rPr>
          <w:rFonts w:ascii="Bookman Old Style" w:eastAsia="Times New Roman" w:hAnsi="Bookman Old Style" w:cs="AsterV"/>
        </w:rPr>
        <w:tab/>
      </w:r>
      <w:proofErr w:type="gramStart"/>
      <w:r w:rsidRPr="008513A4">
        <w:rPr>
          <w:rFonts w:ascii="Bookman Old Style" w:eastAsia="Times New Roman" w:hAnsi="Bookman Old Style" w:cs="AsterV"/>
        </w:rPr>
        <w:t>partition</w:t>
      </w:r>
      <w:proofErr w:type="gramEnd"/>
      <w:r w:rsidRPr="008513A4">
        <w:rPr>
          <w:rFonts w:ascii="Bookman Old Style" w:eastAsia="Times New Roman" w:hAnsi="Bookman Old Style" w:cs="AsterV"/>
        </w:rPr>
        <w:t xml:space="preserve"> of a Hindu undivided family ;</w:t>
      </w:r>
    </w:p>
    <w:p w:rsidR="008513A4" w:rsidRPr="008513A4" w:rsidRDefault="008513A4" w:rsidP="008513A4">
      <w:pPr>
        <w:tabs>
          <w:tab w:val="right" w:pos="840"/>
          <w:tab w:val="left" w:pos="960"/>
        </w:tabs>
        <w:adjustRightInd w:val="0"/>
        <w:spacing w:after="60" w:line="240" w:lineRule="auto"/>
        <w:ind w:left="960" w:hanging="960"/>
        <w:jc w:val="both"/>
        <w:rPr>
          <w:rFonts w:ascii="Bookman Old Style" w:eastAsia="Times New Roman" w:hAnsi="Bookman Old Style" w:cs="AsterV"/>
        </w:rPr>
      </w:pPr>
      <w:r w:rsidRPr="008513A4">
        <w:rPr>
          <w:rFonts w:ascii="Bookman Old Style" w:eastAsia="Times New Roman" w:hAnsi="Bookman Old Style" w:cs="AsterV"/>
        </w:rPr>
        <w:tab/>
        <w:t>(</w:t>
      </w:r>
      <w:r w:rsidRPr="008513A4">
        <w:rPr>
          <w:rFonts w:ascii="Bookman Old Style" w:eastAsia="Times New Roman" w:hAnsi="Bookman Old Style" w:cs="AsterV"/>
          <w:i/>
          <w:iCs/>
        </w:rPr>
        <w:t>d</w:t>
      </w:r>
      <w:r w:rsidRPr="008513A4">
        <w:rPr>
          <w:rFonts w:ascii="Bookman Old Style" w:eastAsia="Times New Roman" w:hAnsi="Bookman Old Style" w:cs="AsterV"/>
        </w:rPr>
        <w:t>)</w:t>
      </w:r>
      <w:r w:rsidRPr="008513A4">
        <w:rPr>
          <w:rFonts w:ascii="Bookman Old Style" w:eastAsia="Times New Roman" w:hAnsi="Bookman Old Style" w:cs="AsterV"/>
        </w:rPr>
        <w:tab/>
      </w:r>
      <w:proofErr w:type="gramStart"/>
      <w:r w:rsidRPr="008513A4">
        <w:rPr>
          <w:rFonts w:ascii="Bookman Old Style" w:eastAsia="Times New Roman" w:hAnsi="Bookman Old Style" w:cs="AsterV"/>
        </w:rPr>
        <w:t>dissolution</w:t>
      </w:r>
      <w:proofErr w:type="gramEnd"/>
      <w:r w:rsidRPr="008513A4">
        <w:rPr>
          <w:rFonts w:ascii="Bookman Old Style" w:eastAsia="Times New Roman" w:hAnsi="Bookman Old Style" w:cs="AsterV"/>
        </w:rPr>
        <w:t xml:space="preserve"> of a firm ;</w:t>
      </w:r>
    </w:p>
    <w:p w:rsidR="008513A4" w:rsidRPr="008513A4" w:rsidRDefault="008513A4" w:rsidP="008513A4">
      <w:pPr>
        <w:tabs>
          <w:tab w:val="right" w:pos="840"/>
          <w:tab w:val="left" w:pos="960"/>
        </w:tabs>
        <w:adjustRightInd w:val="0"/>
        <w:spacing w:after="60" w:line="240" w:lineRule="auto"/>
        <w:ind w:left="960" w:hanging="960"/>
        <w:jc w:val="both"/>
        <w:rPr>
          <w:rFonts w:ascii="Bookman Old Style" w:eastAsia="Times New Roman" w:hAnsi="Bookman Old Style" w:cs="AsterV"/>
        </w:rPr>
      </w:pPr>
      <w:r w:rsidRPr="008513A4">
        <w:rPr>
          <w:rFonts w:ascii="Bookman Old Style" w:eastAsia="Times New Roman" w:hAnsi="Bookman Old Style" w:cs="AsterV"/>
        </w:rPr>
        <w:tab/>
        <w:t>(</w:t>
      </w:r>
      <w:r w:rsidRPr="008513A4">
        <w:rPr>
          <w:rFonts w:ascii="Bookman Old Style" w:eastAsia="Times New Roman" w:hAnsi="Bookman Old Style" w:cs="AsterV"/>
          <w:i/>
          <w:iCs/>
        </w:rPr>
        <w:t>e</w:t>
      </w:r>
      <w:r w:rsidRPr="008513A4">
        <w:rPr>
          <w:rFonts w:ascii="Bookman Old Style" w:eastAsia="Times New Roman" w:hAnsi="Bookman Old Style" w:cs="AsterV"/>
        </w:rPr>
        <w:t>)</w:t>
      </w:r>
      <w:r w:rsidRPr="008513A4">
        <w:rPr>
          <w:rFonts w:ascii="Bookman Old Style" w:eastAsia="Times New Roman" w:hAnsi="Bookman Old Style" w:cs="AsterV"/>
        </w:rPr>
        <w:tab/>
      </w:r>
      <w:proofErr w:type="gramStart"/>
      <w:r w:rsidRPr="008513A4">
        <w:rPr>
          <w:rFonts w:ascii="Bookman Old Style" w:eastAsia="Times New Roman" w:hAnsi="Bookman Old Style" w:cs="AsterV"/>
        </w:rPr>
        <w:t>liquidation</w:t>
      </w:r>
      <w:proofErr w:type="gramEnd"/>
      <w:r w:rsidRPr="008513A4">
        <w:rPr>
          <w:rFonts w:ascii="Bookman Old Style" w:eastAsia="Times New Roman" w:hAnsi="Bookman Old Style" w:cs="AsterV"/>
        </w:rPr>
        <w:t xml:space="preserve"> of a company.</w:t>
      </w:r>
    </w:p>
    <w:p w:rsidR="008513A4" w:rsidRPr="008513A4" w:rsidRDefault="00BF75BE" w:rsidP="008513A4">
      <w:pPr>
        <w:tabs>
          <w:tab w:val="left" w:pos="240"/>
          <w:tab w:val="left" w:pos="360"/>
          <w:tab w:val="left" w:pos="480"/>
          <w:tab w:val="left" w:pos="600"/>
          <w:tab w:val="left" w:pos="720"/>
        </w:tabs>
        <w:adjustRightInd w:val="0"/>
        <w:spacing w:after="60" w:line="240" w:lineRule="auto"/>
        <w:jc w:val="both"/>
        <w:rPr>
          <w:rFonts w:ascii="Bookman Old Style" w:eastAsia="Times New Roman" w:hAnsi="Bookman Old Style" w:cs="AsterV"/>
        </w:rPr>
      </w:pPr>
      <w:hyperlink r:id="rId22" w:tgtFrame="middle" w:history="1">
        <w:r w:rsidR="008513A4" w:rsidRPr="008513A4">
          <w:rPr>
            <w:rFonts w:ascii="Bookman Old Style" w:eastAsia="Times New Roman" w:hAnsi="Bookman Old Style" w:cs="AsterV"/>
            <w:color w:val="0000FF"/>
            <w:u w:val="single"/>
            <w:vertAlign w:val="superscript"/>
          </w:rPr>
          <w:t>17</w:t>
        </w:r>
      </w:hyperlink>
      <w:r w:rsidR="008513A4" w:rsidRPr="008513A4">
        <w:rPr>
          <w:rFonts w:ascii="Bookman Old Style" w:eastAsia="Times New Roman" w:hAnsi="Bookman Old Style" w:cs="AsterV"/>
        </w:rPr>
        <w:t>[(4) Notwithstanding anything contained in sub-section (3), where any amount standing to the credit of the assessee in the special account or in the Deposit Account is released during any previous year by the National Bank or withdrawn by the assessee from the Deposit Account, and such amount is utilised for the purchase of—</w:t>
      </w:r>
    </w:p>
    <w:p w:rsidR="008513A4" w:rsidRPr="008513A4" w:rsidRDefault="008513A4" w:rsidP="008513A4">
      <w:pPr>
        <w:tabs>
          <w:tab w:val="right" w:pos="840"/>
          <w:tab w:val="left" w:pos="960"/>
        </w:tabs>
        <w:adjustRightInd w:val="0"/>
        <w:spacing w:after="60" w:line="240" w:lineRule="auto"/>
        <w:ind w:left="960" w:hanging="960"/>
        <w:jc w:val="both"/>
        <w:rPr>
          <w:rFonts w:ascii="Bookman Old Style" w:eastAsia="Times New Roman" w:hAnsi="Bookman Old Style" w:cs="AsterV"/>
        </w:rPr>
      </w:pPr>
      <w:r w:rsidRPr="008513A4">
        <w:rPr>
          <w:rFonts w:ascii="Bookman Old Style" w:eastAsia="Times New Roman" w:hAnsi="Bookman Old Style" w:cs="AsterV"/>
        </w:rPr>
        <w:tab/>
        <w:t>(</w:t>
      </w:r>
      <w:r w:rsidRPr="008513A4">
        <w:rPr>
          <w:rFonts w:ascii="Bookman Old Style" w:eastAsia="Times New Roman" w:hAnsi="Bookman Old Style" w:cs="AsterV"/>
          <w:i/>
          <w:iCs/>
        </w:rPr>
        <w:t>a</w:t>
      </w:r>
      <w:r w:rsidRPr="008513A4">
        <w:rPr>
          <w:rFonts w:ascii="Bookman Old Style" w:eastAsia="Times New Roman" w:hAnsi="Bookman Old Style" w:cs="AsterV"/>
        </w:rPr>
        <w:t>)</w:t>
      </w:r>
      <w:r w:rsidRPr="008513A4">
        <w:rPr>
          <w:rFonts w:ascii="Bookman Old Style" w:eastAsia="Times New Roman" w:hAnsi="Bookman Old Style" w:cs="AsterV"/>
        </w:rPr>
        <w:tab/>
      </w:r>
      <w:proofErr w:type="gramStart"/>
      <w:r w:rsidRPr="008513A4">
        <w:rPr>
          <w:rFonts w:ascii="Bookman Old Style" w:eastAsia="Times New Roman" w:hAnsi="Bookman Old Style" w:cs="AsterV"/>
        </w:rPr>
        <w:t>any</w:t>
      </w:r>
      <w:proofErr w:type="gramEnd"/>
      <w:r w:rsidRPr="008513A4">
        <w:rPr>
          <w:rFonts w:ascii="Bookman Old Style" w:eastAsia="Times New Roman" w:hAnsi="Bookman Old Style" w:cs="AsterV"/>
        </w:rPr>
        <w:t xml:space="preserve"> machinery or plant to be installed in any office premises or residential accommodation, including any accommodation in the nature of a guest-house;</w:t>
      </w:r>
    </w:p>
    <w:p w:rsidR="008513A4" w:rsidRPr="008513A4" w:rsidRDefault="008513A4" w:rsidP="008513A4">
      <w:pPr>
        <w:tabs>
          <w:tab w:val="right" w:pos="840"/>
          <w:tab w:val="left" w:pos="960"/>
        </w:tabs>
        <w:adjustRightInd w:val="0"/>
        <w:spacing w:after="60" w:line="240" w:lineRule="auto"/>
        <w:ind w:left="960" w:hanging="960"/>
        <w:jc w:val="both"/>
        <w:rPr>
          <w:rFonts w:ascii="Bookman Old Style" w:eastAsia="Times New Roman" w:hAnsi="Bookman Old Style" w:cs="AsterV"/>
        </w:rPr>
      </w:pPr>
      <w:r w:rsidRPr="008513A4">
        <w:rPr>
          <w:rFonts w:ascii="Bookman Old Style" w:eastAsia="Times New Roman" w:hAnsi="Bookman Old Style" w:cs="AsterV"/>
        </w:rPr>
        <w:tab/>
        <w:t>(</w:t>
      </w:r>
      <w:r w:rsidRPr="008513A4">
        <w:rPr>
          <w:rFonts w:ascii="Bookman Old Style" w:eastAsia="Times New Roman" w:hAnsi="Bookman Old Style" w:cs="AsterV"/>
          <w:i/>
          <w:iCs/>
        </w:rPr>
        <w:t>b</w:t>
      </w:r>
      <w:r w:rsidRPr="008513A4">
        <w:rPr>
          <w:rFonts w:ascii="Bookman Old Style" w:eastAsia="Times New Roman" w:hAnsi="Bookman Old Style" w:cs="AsterV"/>
        </w:rPr>
        <w:t>)</w:t>
      </w:r>
      <w:r w:rsidRPr="008513A4">
        <w:rPr>
          <w:rFonts w:ascii="Bookman Old Style" w:eastAsia="Times New Roman" w:hAnsi="Bookman Old Style" w:cs="AsterV"/>
        </w:rPr>
        <w:tab/>
      </w:r>
      <w:proofErr w:type="gramStart"/>
      <w:r w:rsidRPr="008513A4">
        <w:rPr>
          <w:rFonts w:ascii="Bookman Old Style" w:eastAsia="Times New Roman" w:hAnsi="Bookman Old Style" w:cs="AsterV"/>
        </w:rPr>
        <w:t>any</w:t>
      </w:r>
      <w:proofErr w:type="gramEnd"/>
      <w:r w:rsidRPr="008513A4">
        <w:rPr>
          <w:rFonts w:ascii="Bookman Old Style" w:eastAsia="Times New Roman" w:hAnsi="Bookman Old Style" w:cs="AsterV"/>
        </w:rPr>
        <w:t xml:space="preserve"> office appliances (not being computers);</w:t>
      </w:r>
    </w:p>
    <w:p w:rsidR="008513A4" w:rsidRPr="008513A4" w:rsidRDefault="008513A4" w:rsidP="008513A4">
      <w:pPr>
        <w:tabs>
          <w:tab w:val="right" w:pos="840"/>
          <w:tab w:val="left" w:pos="960"/>
        </w:tabs>
        <w:adjustRightInd w:val="0"/>
        <w:spacing w:after="60" w:line="240" w:lineRule="auto"/>
        <w:ind w:left="960" w:hanging="960"/>
        <w:jc w:val="both"/>
        <w:rPr>
          <w:rFonts w:ascii="Bookman Old Style" w:eastAsia="Times New Roman" w:hAnsi="Bookman Old Style" w:cs="AsterV"/>
        </w:rPr>
      </w:pPr>
      <w:r w:rsidRPr="008513A4">
        <w:rPr>
          <w:rFonts w:ascii="Bookman Old Style" w:eastAsia="Times New Roman" w:hAnsi="Bookman Old Style" w:cs="AsterV"/>
        </w:rPr>
        <w:tab/>
        <w:t>(</w:t>
      </w:r>
      <w:r w:rsidRPr="008513A4">
        <w:rPr>
          <w:rFonts w:ascii="Bookman Old Style" w:eastAsia="Times New Roman" w:hAnsi="Bookman Old Style" w:cs="AsterV"/>
          <w:i/>
          <w:iCs/>
        </w:rPr>
        <w:t>c</w:t>
      </w:r>
      <w:r w:rsidRPr="008513A4">
        <w:rPr>
          <w:rFonts w:ascii="Bookman Old Style" w:eastAsia="Times New Roman" w:hAnsi="Bookman Old Style" w:cs="AsterV"/>
        </w:rPr>
        <w:t>)</w:t>
      </w:r>
      <w:r w:rsidRPr="008513A4">
        <w:rPr>
          <w:rFonts w:ascii="Bookman Old Style" w:eastAsia="Times New Roman" w:hAnsi="Bookman Old Style" w:cs="AsterV"/>
        </w:rPr>
        <w:tab/>
      </w:r>
      <w:proofErr w:type="gramStart"/>
      <w:r w:rsidRPr="008513A4">
        <w:rPr>
          <w:rFonts w:ascii="Bookman Old Style" w:eastAsia="Times New Roman" w:hAnsi="Bookman Old Style" w:cs="AsterV"/>
        </w:rPr>
        <w:t>any</w:t>
      </w:r>
      <w:proofErr w:type="gramEnd"/>
      <w:r w:rsidRPr="008513A4">
        <w:rPr>
          <w:rFonts w:ascii="Bookman Old Style" w:eastAsia="Times New Roman" w:hAnsi="Bookman Old Style" w:cs="AsterV"/>
        </w:rPr>
        <w:t xml:space="preserve"> machinery or plant, the whole of the actual cost of which is allowed as a deduction (whether by way of depreciation or otherwise) in computing the income chargeable under the head “Profits and gains of business or profession” of any one previous year;</w:t>
      </w:r>
    </w:p>
    <w:p w:rsidR="008513A4" w:rsidRPr="008513A4" w:rsidRDefault="008513A4" w:rsidP="008513A4">
      <w:pPr>
        <w:tabs>
          <w:tab w:val="right" w:pos="840"/>
          <w:tab w:val="left" w:pos="960"/>
        </w:tabs>
        <w:adjustRightInd w:val="0"/>
        <w:spacing w:after="60" w:line="240" w:lineRule="auto"/>
        <w:ind w:left="960" w:hanging="960"/>
        <w:jc w:val="both"/>
        <w:rPr>
          <w:rFonts w:ascii="Bookman Old Style" w:eastAsia="Times New Roman" w:hAnsi="Bookman Old Style" w:cs="AsterV"/>
        </w:rPr>
      </w:pPr>
      <w:r w:rsidRPr="008513A4">
        <w:rPr>
          <w:rFonts w:ascii="Bookman Old Style" w:eastAsia="Times New Roman" w:hAnsi="Bookman Old Style" w:cs="AsterV"/>
        </w:rPr>
        <w:tab/>
        <w:t>(</w:t>
      </w:r>
      <w:r w:rsidRPr="008513A4">
        <w:rPr>
          <w:rFonts w:ascii="Bookman Old Style" w:eastAsia="Times New Roman" w:hAnsi="Bookman Old Style" w:cs="AsterV"/>
          <w:i/>
          <w:iCs/>
        </w:rPr>
        <w:t>d</w:t>
      </w:r>
      <w:r w:rsidRPr="008513A4">
        <w:rPr>
          <w:rFonts w:ascii="Bookman Old Style" w:eastAsia="Times New Roman" w:hAnsi="Bookman Old Style" w:cs="AsterV"/>
        </w:rPr>
        <w:t>)</w:t>
      </w:r>
      <w:r w:rsidRPr="008513A4">
        <w:rPr>
          <w:rFonts w:ascii="Bookman Old Style" w:eastAsia="Times New Roman" w:hAnsi="Bookman Old Style" w:cs="AsterV"/>
        </w:rPr>
        <w:tab/>
      </w:r>
      <w:proofErr w:type="gramStart"/>
      <w:r w:rsidRPr="008513A4">
        <w:rPr>
          <w:rFonts w:ascii="Bookman Old Style" w:eastAsia="Times New Roman" w:hAnsi="Bookman Old Style" w:cs="AsterV"/>
        </w:rPr>
        <w:t>any</w:t>
      </w:r>
      <w:proofErr w:type="gramEnd"/>
      <w:r w:rsidRPr="008513A4">
        <w:rPr>
          <w:rFonts w:ascii="Bookman Old Style" w:eastAsia="Times New Roman" w:hAnsi="Bookman Old Style" w:cs="AsterV"/>
        </w:rPr>
        <w:t xml:space="preserve"> new machinery or plant to be installed in an industrial undertaking for the purposes of business of construction, manufacture or production of any article or thing specified in the list in the Eleventh Schedule, </w:t>
      </w:r>
    </w:p>
    <w:p w:rsidR="008513A4" w:rsidRPr="008513A4" w:rsidRDefault="008513A4" w:rsidP="008513A4">
      <w:pPr>
        <w:adjustRightInd w:val="0"/>
        <w:spacing w:after="60" w:line="240" w:lineRule="auto"/>
        <w:jc w:val="both"/>
        <w:rPr>
          <w:rFonts w:ascii="Bookman Old Style" w:eastAsia="Times New Roman" w:hAnsi="Bookman Old Style" w:cs="AsterV"/>
        </w:rPr>
      </w:pPr>
      <w:proofErr w:type="gramStart"/>
      <w:r w:rsidRPr="008513A4">
        <w:rPr>
          <w:rFonts w:ascii="Bookman Old Style" w:eastAsia="Times New Roman" w:hAnsi="Bookman Old Style" w:cs="AsterV"/>
        </w:rPr>
        <w:t>the</w:t>
      </w:r>
      <w:proofErr w:type="gramEnd"/>
      <w:r w:rsidRPr="008513A4">
        <w:rPr>
          <w:rFonts w:ascii="Bookman Old Style" w:eastAsia="Times New Roman" w:hAnsi="Bookman Old Style" w:cs="AsterV"/>
        </w:rPr>
        <w:t xml:space="preserve"> whole of such amount so utilised shall be deemed to be the profits and gains of business of that previous year and shall accordingly be chargeable to income-tax as the income of that previous year.]</w:t>
      </w:r>
    </w:p>
    <w:p w:rsidR="008513A4" w:rsidRPr="008513A4" w:rsidRDefault="008513A4" w:rsidP="008513A4">
      <w:pPr>
        <w:tabs>
          <w:tab w:val="left" w:pos="240"/>
          <w:tab w:val="left" w:pos="360"/>
          <w:tab w:val="left" w:pos="480"/>
          <w:tab w:val="left" w:pos="600"/>
          <w:tab w:val="left" w:pos="720"/>
        </w:tabs>
        <w:adjustRightInd w:val="0"/>
        <w:spacing w:after="60" w:line="240" w:lineRule="auto"/>
        <w:jc w:val="both"/>
        <w:rPr>
          <w:rFonts w:ascii="Bookman Old Style" w:eastAsia="Times New Roman" w:hAnsi="Bookman Old Style" w:cs="AsterV"/>
        </w:rPr>
      </w:pPr>
      <w:r w:rsidRPr="008513A4">
        <w:rPr>
          <w:rFonts w:ascii="Bookman Old Style" w:eastAsia="Times New Roman" w:hAnsi="Bookman Old Style" w:cs="AsterV"/>
        </w:rPr>
        <w:t xml:space="preserve">(5) Where any amount, standing to the credit of the assessee in the special account </w:t>
      </w:r>
      <w:hyperlink r:id="rId23" w:tgtFrame="middle" w:history="1">
        <w:r w:rsidRPr="008513A4">
          <w:rPr>
            <w:rFonts w:ascii="Bookman Old Style" w:eastAsia="Times New Roman" w:hAnsi="Bookman Old Style" w:cs="AsterV"/>
            <w:color w:val="0000FF"/>
            <w:u w:val="single"/>
            <w:vertAlign w:val="superscript"/>
          </w:rPr>
          <w:t>18</w:t>
        </w:r>
      </w:hyperlink>
      <w:r w:rsidRPr="008513A4">
        <w:rPr>
          <w:rFonts w:ascii="Bookman Old Style" w:eastAsia="Times New Roman" w:hAnsi="Bookman Old Style" w:cs="AsterV"/>
        </w:rPr>
        <w:t xml:space="preserve">[or in the </w:t>
      </w:r>
      <w:hyperlink r:id="rId24" w:tgtFrame="middle" w:history="1">
        <w:r w:rsidRPr="008513A4">
          <w:rPr>
            <w:rFonts w:ascii="Bookman Old Style" w:eastAsia="Times New Roman" w:hAnsi="Bookman Old Style" w:cs="AsterV"/>
            <w:color w:val="0000FF"/>
            <w:u w:val="single"/>
            <w:vertAlign w:val="superscript"/>
          </w:rPr>
          <w:t>19</w:t>
        </w:r>
      </w:hyperlink>
      <w:r w:rsidRPr="008513A4">
        <w:rPr>
          <w:rFonts w:ascii="Bookman Old Style" w:eastAsia="Times New Roman" w:hAnsi="Bookman Old Style" w:cs="AsterV"/>
        </w:rPr>
        <w:t>[***] Deposit Account], is withdrawn during any previous year by the assessee in the circumstance specified in clause (</w:t>
      </w:r>
      <w:r w:rsidRPr="008513A4">
        <w:rPr>
          <w:rFonts w:ascii="Bookman Old Style" w:eastAsia="Times New Roman" w:hAnsi="Bookman Old Style" w:cs="AsterV"/>
          <w:i/>
          <w:iCs/>
        </w:rPr>
        <w:t>a</w:t>
      </w:r>
      <w:r w:rsidRPr="008513A4">
        <w:rPr>
          <w:rFonts w:ascii="Bookman Old Style" w:eastAsia="Times New Roman" w:hAnsi="Bookman Old Style" w:cs="AsterV"/>
        </w:rPr>
        <w:t>) or clause (</w:t>
      </w:r>
      <w:r w:rsidRPr="008513A4">
        <w:rPr>
          <w:rFonts w:ascii="Bookman Old Style" w:eastAsia="Times New Roman" w:hAnsi="Bookman Old Style" w:cs="AsterV"/>
          <w:i/>
          <w:iCs/>
        </w:rPr>
        <w:t>d</w:t>
      </w:r>
      <w:r w:rsidRPr="008513A4">
        <w:rPr>
          <w:rFonts w:ascii="Bookman Old Style" w:eastAsia="Times New Roman" w:hAnsi="Bookman Old Style" w:cs="AsterV"/>
        </w:rPr>
        <w:t>) of sub-section (3), the whole of such amount shall be deemed to be the profits and gains of business or profession of that previous year and shall accordingly be chargeable to income-tax as the income of that previous year, as if the business had not closed or, as the case may be, the firm had not been dissolved.</w:t>
      </w:r>
    </w:p>
    <w:p w:rsidR="008513A4" w:rsidRPr="008513A4" w:rsidRDefault="008513A4" w:rsidP="008513A4">
      <w:pPr>
        <w:tabs>
          <w:tab w:val="left" w:pos="240"/>
          <w:tab w:val="left" w:pos="360"/>
          <w:tab w:val="left" w:pos="480"/>
          <w:tab w:val="left" w:pos="600"/>
          <w:tab w:val="left" w:pos="720"/>
        </w:tabs>
        <w:adjustRightInd w:val="0"/>
        <w:spacing w:after="60" w:line="240" w:lineRule="auto"/>
        <w:jc w:val="both"/>
        <w:rPr>
          <w:rFonts w:ascii="Bookman Old Style" w:eastAsia="Times New Roman" w:hAnsi="Bookman Old Style" w:cs="AsterV"/>
        </w:rPr>
      </w:pPr>
      <w:r w:rsidRPr="008513A4">
        <w:rPr>
          <w:rFonts w:ascii="Bookman Old Style" w:eastAsia="Times New Roman" w:hAnsi="Bookman Old Style" w:cs="AsterV"/>
        </w:rPr>
        <w:t xml:space="preserve">(6) Where any amount standing to the credit of the assessee in the special account </w:t>
      </w:r>
      <w:hyperlink r:id="rId25" w:tgtFrame="middle" w:history="1">
        <w:r w:rsidRPr="008513A4">
          <w:rPr>
            <w:rFonts w:ascii="Bookman Old Style" w:eastAsia="Times New Roman" w:hAnsi="Bookman Old Style" w:cs="AsterV"/>
            <w:color w:val="0000FF"/>
            <w:u w:val="single"/>
            <w:vertAlign w:val="superscript"/>
          </w:rPr>
          <w:t>20</w:t>
        </w:r>
      </w:hyperlink>
      <w:r w:rsidRPr="008513A4">
        <w:rPr>
          <w:rFonts w:ascii="Bookman Old Style" w:eastAsia="Times New Roman" w:hAnsi="Bookman Old Style" w:cs="AsterV"/>
        </w:rPr>
        <w:t xml:space="preserve">[or in the </w:t>
      </w:r>
      <w:hyperlink r:id="rId26" w:tgtFrame="middle" w:history="1">
        <w:r w:rsidRPr="008513A4">
          <w:rPr>
            <w:rFonts w:ascii="Bookman Old Style" w:eastAsia="Times New Roman" w:hAnsi="Bookman Old Style" w:cs="AsterV"/>
            <w:color w:val="0000FF"/>
            <w:u w:val="single"/>
            <w:vertAlign w:val="superscript"/>
          </w:rPr>
          <w:t>19</w:t>
        </w:r>
      </w:hyperlink>
      <w:r w:rsidRPr="008513A4">
        <w:rPr>
          <w:rFonts w:ascii="Bookman Old Style" w:eastAsia="Times New Roman" w:hAnsi="Bookman Old Style" w:cs="AsterV"/>
        </w:rPr>
        <w:t xml:space="preserve">[***] Deposit Account] is utilised by the assessee for the purposes of any expenditure in connection with such business in accordance with the scheme </w:t>
      </w:r>
      <w:hyperlink r:id="rId27" w:tgtFrame="middle" w:history="1">
        <w:r w:rsidRPr="008513A4">
          <w:rPr>
            <w:rFonts w:ascii="Bookman Old Style" w:eastAsia="Times New Roman" w:hAnsi="Bookman Old Style" w:cs="AsterV"/>
            <w:color w:val="0000FF"/>
            <w:u w:val="single"/>
            <w:vertAlign w:val="superscript"/>
          </w:rPr>
          <w:t>20</w:t>
        </w:r>
      </w:hyperlink>
      <w:r w:rsidRPr="008513A4">
        <w:rPr>
          <w:rFonts w:ascii="Bookman Old Style" w:eastAsia="Times New Roman" w:hAnsi="Bookman Old Style" w:cs="AsterV"/>
        </w:rPr>
        <w:t xml:space="preserve">[or the </w:t>
      </w:r>
      <w:r w:rsidRPr="008513A4">
        <w:rPr>
          <w:rFonts w:ascii="Bookman Old Style" w:eastAsia="Times New Roman" w:hAnsi="Bookman Old Style" w:cs="AsterV"/>
        </w:rPr>
        <w:lastRenderedPageBreak/>
        <w:t>deposit scheme], such expenditure shall not be allowed in computing the income chargeable under the head “Profits and gains of business or profession”.</w:t>
      </w:r>
    </w:p>
    <w:p w:rsidR="008513A4" w:rsidRPr="008513A4" w:rsidRDefault="008513A4" w:rsidP="008513A4">
      <w:pPr>
        <w:tabs>
          <w:tab w:val="left" w:pos="240"/>
          <w:tab w:val="left" w:pos="360"/>
          <w:tab w:val="left" w:pos="480"/>
          <w:tab w:val="left" w:pos="600"/>
          <w:tab w:val="left" w:pos="720"/>
        </w:tabs>
        <w:adjustRightInd w:val="0"/>
        <w:spacing w:after="60" w:line="240" w:lineRule="auto"/>
        <w:jc w:val="both"/>
        <w:rPr>
          <w:rFonts w:ascii="Bookman Old Style" w:eastAsia="Times New Roman" w:hAnsi="Bookman Old Style" w:cs="AsterV"/>
        </w:rPr>
      </w:pPr>
      <w:r w:rsidRPr="008513A4">
        <w:rPr>
          <w:rFonts w:ascii="Bookman Old Style" w:eastAsia="Times New Roman" w:hAnsi="Bookman Old Style" w:cs="AsterV"/>
        </w:rPr>
        <w:t xml:space="preserve">(7) Where any amount, standing to the credit of the assessee in the special account </w:t>
      </w:r>
      <w:hyperlink r:id="rId28" w:tgtFrame="middle" w:history="1">
        <w:r w:rsidRPr="008513A4">
          <w:rPr>
            <w:rFonts w:ascii="Bookman Old Style" w:eastAsia="Times New Roman" w:hAnsi="Bookman Old Style" w:cs="AsterV"/>
            <w:color w:val="0000FF"/>
            <w:u w:val="single"/>
            <w:vertAlign w:val="superscript"/>
          </w:rPr>
          <w:t>21</w:t>
        </w:r>
      </w:hyperlink>
      <w:r w:rsidRPr="008513A4">
        <w:rPr>
          <w:rFonts w:ascii="Bookman Old Style" w:eastAsia="Times New Roman" w:hAnsi="Bookman Old Style" w:cs="AsterV"/>
        </w:rPr>
        <w:t xml:space="preserve">[or in the </w:t>
      </w:r>
      <w:hyperlink r:id="rId29" w:tgtFrame="middle" w:history="1">
        <w:r w:rsidRPr="008513A4">
          <w:rPr>
            <w:rFonts w:ascii="Bookman Old Style" w:eastAsia="Times New Roman" w:hAnsi="Bookman Old Style" w:cs="AsterV"/>
            <w:color w:val="0000FF"/>
            <w:u w:val="single"/>
            <w:vertAlign w:val="superscript"/>
          </w:rPr>
          <w:t>22</w:t>
        </w:r>
      </w:hyperlink>
      <w:r w:rsidRPr="008513A4">
        <w:rPr>
          <w:rFonts w:ascii="Bookman Old Style" w:eastAsia="Times New Roman" w:hAnsi="Bookman Old Style" w:cs="AsterV"/>
        </w:rPr>
        <w:t xml:space="preserve">[***] Deposit Account], which is released during any previous year by the National Bank </w:t>
      </w:r>
      <w:hyperlink r:id="rId30" w:tgtFrame="middle" w:history="1">
        <w:r w:rsidRPr="008513A4">
          <w:rPr>
            <w:rFonts w:ascii="Bookman Old Style" w:eastAsia="Times New Roman" w:hAnsi="Bookman Old Style" w:cs="AsterV"/>
            <w:color w:val="0000FF"/>
            <w:u w:val="single"/>
            <w:vertAlign w:val="superscript"/>
          </w:rPr>
          <w:t>21</w:t>
        </w:r>
      </w:hyperlink>
      <w:r w:rsidRPr="008513A4">
        <w:rPr>
          <w:rFonts w:ascii="Bookman Old Style" w:eastAsia="Times New Roman" w:hAnsi="Bookman Old Style" w:cs="AsterV"/>
        </w:rPr>
        <w:t xml:space="preserve">[or which is withdrawn by the assessee from the </w:t>
      </w:r>
      <w:hyperlink r:id="rId31" w:tgtFrame="middle" w:history="1">
        <w:r w:rsidRPr="008513A4">
          <w:rPr>
            <w:rFonts w:ascii="Bookman Old Style" w:eastAsia="Times New Roman" w:hAnsi="Bookman Old Style" w:cs="AsterV"/>
            <w:color w:val="0000FF"/>
            <w:u w:val="single"/>
            <w:vertAlign w:val="superscript"/>
          </w:rPr>
          <w:t>22</w:t>
        </w:r>
      </w:hyperlink>
      <w:r w:rsidRPr="008513A4">
        <w:rPr>
          <w:rFonts w:ascii="Bookman Old Style" w:eastAsia="Times New Roman" w:hAnsi="Bookman Old Style" w:cs="AsterV"/>
        </w:rPr>
        <w:t xml:space="preserve">[***] Deposit Account] for being utilised by the assessee for the purposes of such business in accordance with the scheme </w:t>
      </w:r>
      <w:hyperlink r:id="rId32" w:tgtFrame="middle" w:history="1">
        <w:r w:rsidRPr="008513A4">
          <w:rPr>
            <w:rFonts w:ascii="Bookman Old Style" w:eastAsia="Times New Roman" w:hAnsi="Bookman Old Style" w:cs="AsterV"/>
            <w:color w:val="0000FF"/>
            <w:u w:val="single"/>
            <w:vertAlign w:val="superscript"/>
          </w:rPr>
          <w:t>21</w:t>
        </w:r>
      </w:hyperlink>
      <w:r w:rsidRPr="008513A4">
        <w:rPr>
          <w:rFonts w:ascii="Bookman Old Style" w:eastAsia="Times New Roman" w:hAnsi="Bookman Old Style" w:cs="AsterV"/>
        </w:rPr>
        <w:t>[or the deposit scheme] is not so utilised, either wholly or in part, within that previous year, the whole of such amount or, as the case may be, part thereof which is not so utilised shall be deemed to be profits and gains of business and accordingly chargeable to income-tax as the income of that previous year :</w:t>
      </w:r>
    </w:p>
    <w:p w:rsidR="008513A4" w:rsidRPr="008513A4" w:rsidRDefault="008513A4" w:rsidP="008513A4">
      <w:pPr>
        <w:tabs>
          <w:tab w:val="left" w:pos="240"/>
          <w:tab w:val="left" w:pos="360"/>
          <w:tab w:val="left" w:pos="480"/>
          <w:tab w:val="left" w:pos="600"/>
          <w:tab w:val="left" w:pos="720"/>
        </w:tabs>
        <w:adjustRightInd w:val="0"/>
        <w:spacing w:after="60" w:line="240" w:lineRule="auto"/>
        <w:jc w:val="both"/>
        <w:rPr>
          <w:rFonts w:ascii="Bookman Old Style" w:eastAsia="Times New Roman" w:hAnsi="Bookman Old Style" w:cs="AsterV"/>
        </w:rPr>
      </w:pPr>
      <w:r w:rsidRPr="008513A4">
        <w:rPr>
          <w:rFonts w:ascii="Bookman Old Style" w:eastAsia="Times New Roman" w:hAnsi="Bookman Old Style" w:cs="AsterV"/>
          <w:b/>
          <w:bCs/>
        </w:rPr>
        <w:t>Provided</w:t>
      </w:r>
      <w:r w:rsidRPr="008513A4">
        <w:rPr>
          <w:rFonts w:ascii="Bookman Old Style" w:eastAsia="Times New Roman" w:hAnsi="Bookman Old Style" w:cs="AsterV"/>
        </w:rPr>
        <w:t xml:space="preserve"> that this sub-section shall not apply in a case where such amount is released during any previous year at the closure of the account in circumstances specified in clauses (</w:t>
      </w:r>
      <w:r w:rsidRPr="008513A4">
        <w:rPr>
          <w:rFonts w:ascii="Bookman Old Style" w:eastAsia="Times New Roman" w:hAnsi="Bookman Old Style" w:cs="AsterV"/>
          <w:i/>
          <w:iCs/>
        </w:rPr>
        <w:t>b</w:t>
      </w:r>
      <w:r w:rsidRPr="008513A4">
        <w:rPr>
          <w:rFonts w:ascii="Bookman Old Style" w:eastAsia="Times New Roman" w:hAnsi="Bookman Old Style" w:cs="AsterV"/>
        </w:rPr>
        <w:t>), (</w:t>
      </w:r>
      <w:r w:rsidRPr="008513A4">
        <w:rPr>
          <w:rFonts w:ascii="Bookman Old Style" w:eastAsia="Times New Roman" w:hAnsi="Bookman Old Style" w:cs="AsterV"/>
          <w:i/>
          <w:iCs/>
        </w:rPr>
        <w:t>c</w:t>
      </w:r>
      <w:r w:rsidRPr="008513A4">
        <w:rPr>
          <w:rFonts w:ascii="Bookman Old Style" w:eastAsia="Times New Roman" w:hAnsi="Bookman Old Style" w:cs="AsterV"/>
        </w:rPr>
        <w:t>) and (</w:t>
      </w:r>
      <w:r w:rsidRPr="008513A4">
        <w:rPr>
          <w:rFonts w:ascii="Bookman Old Style" w:eastAsia="Times New Roman" w:hAnsi="Bookman Old Style" w:cs="AsterV"/>
          <w:i/>
          <w:iCs/>
        </w:rPr>
        <w:t>e</w:t>
      </w:r>
      <w:r w:rsidRPr="008513A4">
        <w:rPr>
          <w:rFonts w:ascii="Bookman Old Style" w:eastAsia="Times New Roman" w:hAnsi="Bookman Old Style" w:cs="AsterV"/>
        </w:rPr>
        <w:t>) of sub-section (3).</w:t>
      </w:r>
    </w:p>
    <w:p w:rsidR="008513A4" w:rsidRPr="008513A4" w:rsidRDefault="008513A4" w:rsidP="008513A4">
      <w:pPr>
        <w:tabs>
          <w:tab w:val="left" w:pos="240"/>
          <w:tab w:val="left" w:pos="360"/>
          <w:tab w:val="left" w:pos="480"/>
          <w:tab w:val="left" w:pos="600"/>
          <w:tab w:val="left" w:pos="720"/>
        </w:tabs>
        <w:adjustRightInd w:val="0"/>
        <w:spacing w:after="60" w:line="240" w:lineRule="auto"/>
        <w:jc w:val="both"/>
        <w:rPr>
          <w:rFonts w:ascii="Bookman Old Style" w:eastAsia="Times New Roman" w:hAnsi="Bookman Old Style" w:cs="AsterV"/>
        </w:rPr>
      </w:pPr>
      <w:r w:rsidRPr="008513A4">
        <w:rPr>
          <w:rFonts w:ascii="Bookman Old Style" w:eastAsia="Times New Roman" w:hAnsi="Bookman Old Style" w:cs="AsterV"/>
        </w:rPr>
        <w:t xml:space="preserve">(8) Where any asset acquired in accordance with the scheme </w:t>
      </w:r>
      <w:hyperlink r:id="rId33" w:tgtFrame="middle" w:history="1">
        <w:r w:rsidRPr="008513A4">
          <w:rPr>
            <w:rFonts w:ascii="Bookman Old Style" w:eastAsia="Times New Roman" w:hAnsi="Bookman Old Style" w:cs="AsterV"/>
            <w:color w:val="0000FF"/>
            <w:u w:val="single"/>
            <w:vertAlign w:val="superscript"/>
          </w:rPr>
          <w:t>21</w:t>
        </w:r>
      </w:hyperlink>
      <w:r w:rsidRPr="008513A4">
        <w:rPr>
          <w:rFonts w:ascii="Bookman Old Style" w:eastAsia="Times New Roman" w:hAnsi="Bookman Old Style" w:cs="AsterV"/>
        </w:rPr>
        <w:t>[or the deposit scheme] is sold or otherwise transferred in any previous year by the assessee to any person at any time before the expiry of eight years from the end of the previous year in which it was acquired, such part of the cost of such asset as is relatable to the deduction allowed under sub-section (1) shall be deemed to be the profits and gains of business or profession of the previous year in which the asset is sold or otherwise transferred and shall accordingly be chargeable to income-tax as the income of that previous year :</w:t>
      </w:r>
    </w:p>
    <w:p w:rsidR="008513A4" w:rsidRPr="008513A4" w:rsidRDefault="008513A4" w:rsidP="008513A4">
      <w:pPr>
        <w:tabs>
          <w:tab w:val="left" w:pos="240"/>
          <w:tab w:val="left" w:pos="360"/>
          <w:tab w:val="left" w:pos="480"/>
          <w:tab w:val="left" w:pos="600"/>
          <w:tab w:val="left" w:pos="720"/>
        </w:tabs>
        <w:adjustRightInd w:val="0"/>
        <w:spacing w:after="60" w:line="240" w:lineRule="auto"/>
        <w:jc w:val="both"/>
        <w:rPr>
          <w:rFonts w:ascii="Bookman Old Style" w:eastAsia="Times New Roman" w:hAnsi="Bookman Old Style" w:cs="AsterV"/>
        </w:rPr>
      </w:pPr>
      <w:r w:rsidRPr="008513A4">
        <w:rPr>
          <w:rFonts w:ascii="Bookman Old Style" w:eastAsia="Times New Roman" w:hAnsi="Bookman Old Style" w:cs="AsterV"/>
          <w:b/>
          <w:bCs/>
        </w:rPr>
        <w:t>Provided</w:t>
      </w:r>
      <w:r w:rsidRPr="008513A4">
        <w:rPr>
          <w:rFonts w:ascii="Bookman Old Style" w:eastAsia="Times New Roman" w:hAnsi="Bookman Old Style" w:cs="AsterV"/>
        </w:rPr>
        <w:t xml:space="preserve"> that nothing in this sub-section shall apply—</w:t>
      </w:r>
    </w:p>
    <w:p w:rsidR="008513A4" w:rsidRPr="008513A4" w:rsidRDefault="008513A4" w:rsidP="008513A4">
      <w:pPr>
        <w:tabs>
          <w:tab w:val="right" w:pos="840"/>
          <w:tab w:val="left" w:pos="960"/>
        </w:tabs>
        <w:adjustRightInd w:val="0"/>
        <w:spacing w:after="60" w:line="240" w:lineRule="auto"/>
        <w:ind w:left="960" w:hanging="960"/>
        <w:jc w:val="both"/>
        <w:rPr>
          <w:rFonts w:ascii="Bookman Old Style" w:eastAsia="Times New Roman" w:hAnsi="Bookman Old Style" w:cs="AsterV"/>
        </w:rPr>
      </w:pPr>
      <w:r w:rsidRPr="008513A4">
        <w:rPr>
          <w:rFonts w:ascii="Bookman Old Style" w:eastAsia="Times New Roman" w:hAnsi="Bookman Old Style" w:cs="AsterV"/>
        </w:rPr>
        <w:tab/>
        <w:t>(</w:t>
      </w:r>
      <w:r w:rsidRPr="008513A4">
        <w:rPr>
          <w:rFonts w:ascii="Bookman Old Style" w:eastAsia="Times New Roman" w:hAnsi="Bookman Old Style" w:cs="AsterV"/>
          <w:i/>
          <w:iCs/>
        </w:rPr>
        <w:t>i</w:t>
      </w:r>
      <w:r w:rsidRPr="008513A4">
        <w:rPr>
          <w:rFonts w:ascii="Bookman Old Style" w:eastAsia="Times New Roman" w:hAnsi="Bookman Old Style" w:cs="AsterV"/>
        </w:rPr>
        <w:t>)</w:t>
      </w:r>
      <w:r w:rsidRPr="008513A4">
        <w:rPr>
          <w:rFonts w:ascii="Bookman Old Style" w:eastAsia="Times New Roman" w:hAnsi="Bookman Old Style" w:cs="AsterV"/>
        </w:rPr>
        <w:tab/>
        <w:t>where the asset is sold or otherwise transferred by the assessee to Government, a local authority, a corporation established by or under a Central, State or Provincial Act or a Government company</w:t>
      </w:r>
      <w:hyperlink r:id="rId34" w:tgtFrame="middle" w:history="1">
        <w:r w:rsidRPr="008513A4">
          <w:rPr>
            <w:rFonts w:ascii="Bookman Old Style" w:eastAsia="Times New Roman" w:hAnsi="Bookman Old Style" w:cs="AsterV"/>
            <w:color w:val="0000FF"/>
            <w:u w:val="single"/>
            <w:vertAlign w:val="superscript"/>
          </w:rPr>
          <w:t>23</w:t>
        </w:r>
      </w:hyperlink>
      <w:r w:rsidRPr="008513A4">
        <w:rPr>
          <w:rFonts w:ascii="Bookman Old Style" w:eastAsia="Times New Roman" w:hAnsi="Bookman Old Style" w:cs="AsterV"/>
        </w:rPr>
        <w:t xml:space="preserve"> as defined in section 617 of the Companies Act, 1956 (1 of 1956) ; or</w:t>
      </w:r>
    </w:p>
    <w:p w:rsidR="008513A4" w:rsidRPr="008513A4" w:rsidRDefault="008513A4" w:rsidP="008513A4">
      <w:pPr>
        <w:tabs>
          <w:tab w:val="right" w:pos="840"/>
          <w:tab w:val="left" w:pos="960"/>
        </w:tabs>
        <w:adjustRightInd w:val="0"/>
        <w:spacing w:after="60" w:line="240" w:lineRule="auto"/>
        <w:ind w:left="960" w:hanging="960"/>
        <w:jc w:val="both"/>
        <w:rPr>
          <w:rFonts w:ascii="Bookman Old Style" w:eastAsia="Times New Roman" w:hAnsi="Bookman Old Style" w:cs="AsterV"/>
        </w:rPr>
      </w:pPr>
      <w:r w:rsidRPr="008513A4">
        <w:rPr>
          <w:rFonts w:ascii="Bookman Old Style" w:eastAsia="Times New Roman" w:hAnsi="Bookman Old Style" w:cs="AsterV"/>
        </w:rPr>
        <w:tab/>
        <w:t>(</w:t>
      </w:r>
      <w:r w:rsidRPr="008513A4">
        <w:rPr>
          <w:rFonts w:ascii="Bookman Old Style" w:eastAsia="Times New Roman" w:hAnsi="Bookman Old Style" w:cs="AsterV"/>
          <w:i/>
          <w:iCs/>
        </w:rPr>
        <w:t>ii</w:t>
      </w:r>
      <w:r w:rsidRPr="008513A4">
        <w:rPr>
          <w:rFonts w:ascii="Bookman Old Style" w:eastAsia="Times New Roman" w:hAnsi="Bookman Old Style" w:cs="AsterV"/>
        </w:rPr>
        <w:t>)</w:t>
      </w:r>
      <w:r w:rsidRPr="008513A4">
        <w:rPr>
          <w:rFonts w:ascii="Bookman Old Style" w:eastAsia="Times New Roman" w:hAnsi="Bookman Old Style" w:cs="AsterV"/>
        </w:rPr>
        <w:tab/>
        <w:t xml:space="preserve">where the sale or transfer of the asset is made in connection with the succession of a firm by a company in the business or profession carried on by the firm as a result of which the firm sells or otherwise transfers to the company any asset and the scheme </w:t>
      </w:r>
      <w:hyperlink r:id="rId35" w:tgtFrame="middle" w:history="1">
        <w:r w:rsidRPr="008513A4">
          <w:rPr>
            <w:rFonts w:ascii="Bookman Old Style" w:eastAsia="Times New Roman" w:hAnsi="Bookman Old Style" w:cs="AsterV"/>
            <w:color w:val="0000FF"/>
            <w:u w:val="single"/>
            <w:vertAlign w:val="superscript"/>
          </w:rPr>
          <w:t>24</w:t>
        </w:r>
      </w:hyperlink>
      <w:r w:rsidRPr="008513A4">
        <w:rPr>
          <w:rFonts w:ascii="Bookman Old Style" w:eastAsia="Times New Roman" w:hAnsi="Bookman Old Style" w:cs="AsterV"/>
        </w:rPr>
        <w:t>[or the deposit scheme] continues to apply to the company in the manner applicable to the firm.</w:t>
      </w:r>
    </w:p>
    <w:p w:rsidR="008513A4" w:rsidRPr="008513A4" w:rsidRDefault="008513A4" w:rsidP="008513A4">
      <w:pPr>
        <w:tabs>
          <w:tab w:val="left" w:pos="240"/>
          <w:tab w:val="left" w:pos="360"/>
          <w:tab w:val="left" w:pos="480"/>
          <w:tab w:val="left" w:pos="600"/>
          <w:tab w:val="left" w:pos="720"/>
        </w:tabs>
        <w:adjustRightInd w:val="0"/>
        <w:spacing w:after="60" w:line="240" w:lineRule="auto"/>
        <w:jc w:val="both"/>
        <w:rPr>
          <w:rFonts w:ascii="Bookman Old Style" w:eastAsia="Times New Roman" w:hAnsi="Bookman Old Style" w:cs="AsterV"/>
        </w:rPr>
      </w:pPr>
      <w:r w:rsidRPr="008513A4">
        <w:rPr>
          <w:rFonts w:ascii="Bookman Old Style" w:eastAsia="Times New Roman" w:hAnsi="Bookman Old Style" w:cs="AsterV"/>
          <w:i/>
          <w:iCs/>
        </w:rPr>
        <w:t>Explanation.</w:t>
      </w:r>
      <w:r w:rsidRPr="008513A4">
        <w:rPr>
          <w:rFonts w:ascii="Bookman Old Style" w:eastAsia="Times New Roman" w:hAnsi="Bookman Old Style" w:cs="AsterV"/>
        </w:rPr>
        <w:t>—</w:t>
      </w:r>
      <w:proofErr w:type="gramStart"/>
      <w:r w:rsidRPr="008513A4">
        <w:rPr>
          <w:rFonts w:ascii="Bookman Old Style" w:eastAsia="Times New Roman" w:hAnsi="Bookman Old Style" w:cs="AsterV"/>
        </w:rPr>
        <w:t>The</w:t>
      </w:r>
      <w:proofErr w:type="gramEnd"/>
      <w:r w:rsidRPr="008513A4">
        <w:rPr>
          <w:rFonts w:ascii="Bookman Old Style" w:eastAsia="Times New Roman" w:hAnsi="Bookman Old Style" w:cs="AsterV"/>
        </w:rPr>
        <w:t xml:space="preserve"> provisions of clause (</w:t>
      </w:r>
      <w:r w:rsidRPr="008513A4">
        <w:rPr>
          <w:rFonts w:ascii="Bookman Old Style" w:eastAsia="Times New Roman" w:hAnsi="Bookman Old Style" w:cs="AsterV"/>
          <w:i/>
          <w:iCs/>
        </w:rPr>
        <w:t>ii</w:t>
      </w:r>
      <w:r w:rsidRPr="008513A4">
        <w:rPr>
          <w:rFonts w:ascii="Bookman Old Style" w:eastAsia="Times New Roman" w:hAnsi="Bookman Old Style" w:cs="AsterV"/>
        </w:rPr>
        <w:t>) of the proviso shall apply only where—</w:t>
      </w:r>
    </w:p>
    <w:p w:rsidR="008513A4" w:rsidRPr="008513A4" w:rsidRDefault="008513A4" w:rsidP="008513A4">
      <w:pPr>
        <w:tabs>
          <w:tab w:val="right" w:pos="840"/>
          <w:tab w:val="left" w:pos="960"/>
        </w:tabs>
        <w:adjustRightInd w:val="0"/>
        <w:spacing w:after="60" w:line="240" w:lineRule="auto"/>
        <w:ind w:left="960" w:hanging="960"/>
        <w:jc w:val="both"/>
        <w:rPr>
          <w:rFonts w:ascii="Bookman Old Style" w:eastAsia="Times New Roman" w:hAnsi="Bookman Old Style" w:cs="AsterV"/>
        </w:rPr>
      </w:pPr>
      <w:r w:rsidRPr="008513A4">
        <w:rPr>
          <w:rFonts w:ascii="Bookman Old Style" w:eastAsia="Times New Roman" w:hAnsi="Bookman Old Style" w:cs="AsterV"/>
        </w:rPr>
        <w:tab/>
        <w:t>(</w:t>
      </w:r>
      <w:r w:rsidRPr="008513A4">
        <w:rPr>
          <w:rFonts w:ascii="Bookman Old Style" w:eastAsia="Times New Roman" w:hAnsi="Bookman Old Style" w:cs="AsterV"/>
          <w:i/>
          <w:iCs/>
        </w:rPr>
        <w:t>i</w:t>
      </w:r>
      <w:r w:rsidRPr="008513A4">
        <w:rPr>
          <w:rFonts w:ascii="Bookman Old Style" w:eastAsia="Times New Roman" w:hAnsi="Bookman Old Style" w:cs="AsterV"/>
        </w:rPr>
        <w:t>)</w:t>
      </w:r>
      <w:r w:rsidRPr="008513A4">
        <w:rPr>
          <w:rFonts w:ascii="Bookman Old Style" w:eastAsia="Times New Roman" w:hAnsi="Bookman Old Style" w:cs="AsterV"/>
        </w:rPr>
        <w:tab/>
      </w:r>
      <w:proofErr w:type="gramStart"/>
      <w:r w:rsidRPr="008513A4">
        <w:rPr>
          <w:rFonts w:ascii="Bookman Old Style" w:eastAsia="Times New Roman" w:hAnsi="Bookman Old Style" w:cs="AsterV"/>
        </w:rPr>
        <w:t>all</w:t>
      </w:r>
      <w:proofErr w:type="gramEnd"/>
      <w:r w:rsidRPr="008513A4">
        <w:rPr>
          <w:rFonts w:ascii="Bookman Old Style" w:eastAsia="Times New Roman" w:hAnsi="Bookman Old Style" w:cs="AsterV"/>
        </w:rPr>
        <w:t xml:space="preserve"> the properties of the firm relating to the business or profession immediately before the succession become the properties of the company ;</w:t>
      </w:r>
    </w:p>
    <w:p w:rsidR="008513A4" w:rsidRPr="008513A4" w:rsidRDefault="008513A4" w:rsidP="008513A4">
      <w:pPr>
        <w:tabs>
          <w:tab w:val="right" w:pos="840"/>
          <w:tab w:val="left" w:pos="960"/>
        </w:tabs>
        <w:adjustRightInd w:val="0"/>
        <w:spacing w:after="60" w:line="240" w:lineRule="auto"/>
        <w:ind w:left="960" w:hanging="960"/>
        <w:jc w:val="both"/>
        <w:rPr>
          <w:rFonts w:ascii="Bookman Old Style" w:eastAsia="Times New Roman" w:hAnsi="Bookman Old Style" w:cs="AsterV"/>
        </w:rPr>
      </w:pPr>
      <w:r w:rsidRPr="008513A4">
        <w:rPr>
          <w:rFonts w:ascii="Bookman Old Style" w:eastAsia="Times New Roman" w:hAnsi="Bookman Old Style" w:cs="AsterV"/>
        </w:rPr>
        <w:tab/>
        <w:t>(</w:t>
      </w:r>
      <w:r w:rsidRPr="008513A4">
        <w:rPr>
          <w:rFonts w:ascii="Bookman Old Style" w:eastAsia="Times New Roman" w:hAnsi="Bookman Old Style" w:cs="AsterV"/>
          <w:i/>
          <w:iCs/>
        </w:rPr>
        <w:t>ii</w:t>
      </w:r>
      <w:r w:rsidRPr="008513A4">
        <w:rPr>
          <w:rFonts w:ascii="Bookman Old Style" w:eastAsia="Times New Roman" w:hAnsi="Bookman Old Style" w:cs="AsterV"/>
        </w:rPr>
        <w:t>)</w:t>
      </w:r>
      <w:r w:rsidRPr="008513A4">
        <w:rPr>
          <w:rFonts w:ascii="Bookman Old Style" w:eastAsia="Times New Roman" w:hAnsi="Bookman Old Style" w:cs="AsterV"/>
        </w:rPr>
        <w:tab/>
      </w:r>
      <w:proofErr w:type="gramStart"/>
      <w:r w:rsidRPr="008513A4">
        <w:rPr>
          <w:rFonts w:ascii="Bookman Old Style" w:eastAsia="Times New Roman" w:hAnsi="Bookman Old Style" w:cs="AsterV"/>
        </w:rPr>
        <w:t>all</w:t>
      </w:r>
      <w:proofErr w:type="gramEnd"/>
      <w:r w:rsidRPr="008513A4">
        <w:rPr>
          <w:rFonts w:ascii="Bookman Old Style" w:eastAsia="Times New Roman" w:hAnsi="Bookman Old Style" w:cs="AsterV"/>
        </w:rPr>
        <w:t xml:space="preserve"> the liabilities of the firm relating to the business or profession immediately before the succession become the liabilities of the company ; and</w:t>
      </w:r>
    </w:p>
    <w:p w:rsidR="008513A4" w:rsidRPr="008513A4" w:rsidRDefault="008513A4" w:rsidP="008513A4">
      <w:pPr>
        <w:tabs>
          <w:tab w:val="right" w:pos="840"/>
          <w:tab w:val="left" w:pos="960"/>
        </w:tabs>
        <w:adjustRightInd w:val="0"/>
        <w:spacing w:after="60" w:line="240" w:lineRule="auto"/>
        <w:ind w:left="960" w:hanging="960"/>
        <w:jc w:val="both"/>
        <w:rPr>
          <w:rFonts w:ascii="Bookman Old Style" w:eastAsia="Times New Roman" w:hAnsi="Bookman Old Style" w:cs="AsterV"/>
        </w:rPr>
      </w:pPr>
      <w:r w:rsidRPr="008513A4">
        <w:rPr>
          <w:rFonts w:ascii="Bookman Old Style" w:eastAsia="Times New Roman" w:hAnsi="Bookman Old Style" w:cs="AsterV"/>
        </w:rPr>
        <w:tab/>
        <w:t>(</w:t>
      </w:r>
      <w:r w:rsidRPr="008513A4">
        <w:rPr>
          <w:rFonts w:ascii="Bookman Old Style" w:eastAsia="Times New Roman" w:hAnsi="Bookman Old Style" w:cs="AsterV"/>
          <w:i/>
          <w:iCs/>
        </w:rPr>
        <w:t>iii</w:t>
      </w:r>
      <w:r w:rsidRPr="008513A4">
        <w:rPr>
          <w:rFonts w:ascii="Bookman Old Style" w:eastAsia="Times New Roman" w:hAnsi="Bookman Old Style" w:cs="AsterV"/>
        </w:rPr>
        <w:t>)</w:t>
      </w:r>
      <w:r w:rsidRPr="008513A4">
        <w:rPr>
          <w:rFonts w:ascii="Bookman Old Style" w:eastAsia="Times New Roman" w:hAnsi="Bookman Old Style" w:cs="AsterV"/>
        </w:rPr>
        <w:tab/>
      </w:r>
      <w:proofErr w:type="gramStart"/>
      <w:r w:rsidRPr="008513A4">
        <w:rPr>
          <w:rFonts w:ascii="Bookman Old Style" w:eastAsia="Times New Roman" w:hAnsi="Bookman Old Style" w:cs="AsterV"/>
        </w:rPr>
        <w:t>all</w:t>
      </w:r>
      <w:proofErr w:type="gramEnd"/>
      <w:r w:rsidRPr="008513A4">
        <w:rPr>
          <w:rFonts w:ascii="Bookman Old Style" w:eastAsia="Times New Roman" w:hAnsi="Bookman Old Style" w:cs="AsterV"/>
        </w:rPr>
        <w:t xml:space="preserve"> the shareholders of the company were partners of the firm immediately before the succession.</w:t>
      </w:r>
    </w:p>
    <w:p w:rsidR="008513A4" w:rsidRPr="008513A4" w:rsidRDefault="008513A4" w:rsidP="008513A4">
      <w:pPr>
        <w:tabs>
          <w:tab w:val="left" w:pos="240"/>
          <w:tab w:val="left" w:pos="360"/>
          <w:tab w:val="left" w:pos="480"/>
          <w:tab w:val="left" w:pos="600"/>
          <w:tab w:val="left" w:pos="720"/>
        </w:tabs>
        <w:adjustRightInd w:val="0"/>
        <w:spacing w:after="60" w:line="240" w:lineRule="auto"/>
        <w:jc w:val="both"/>
        <w:rPr>
          <w:rFonts w:ascii="Bookman Old Style" w:eastAsia="Times New Roman" w:hAnsi="Bookman Old Style" w:cs="AsterV"/>
        </w:rPr>
      </w:pPr>
      <w:r w:rsidRPr="008513A4">
        <w:rPr>
          <w:rFonts w:ascii="Bookman Old Style" w:eastAsia="Times New Roman" w:hAnsi="Bookman Old Style" w:cs="AsterV"/>
        </w:rPr>
        <w:t>(9) The Central Government, if it considers necessary or expedient so to do, may, by notification in the Official Gazette, direct that the deduction allowable under this section shall not be allowed after such date as may be specified therein.</w:t>
      </w:r>
    </w:p>
    <w:p w:rsidR="008513A4" w:rsidRPr="008513A4" w:rsidRDefault="008513A4" w:rsidP="008513A4">
      <w:pPr>
        <w:tabs>
          <w:tab w:val="left" w:pos="240"/>
          <w:tab w:val="left" w:pos="360"/>
          <w:tab w:val="left" w:pos="480"/>
          <w:tab w:val="left" w:pos="600"/>
          <w:tab w:val="left" w:pos="720"/>
        </w:tabs>
        <w:adjustRightInd w:val="0"/>
        <w:spacing w:after="60" w:line="240" w:lineRule="auto"/>
        <w:jc w:val="both"/>
        <w:rPr>
          <w:rFonts w:ascii="Bookman Old Style" w:eastAsia="Times New Roman" w:hAnsi="Bookman Old Style" w:cs="AsterV"/>
        </w:rPr>
      </w:pPr>
      <w:r w:rsidRPr="008513A4">
        <w:rPr>
          <w:rFonts w:ascii="Bookman Old Style" w:eastAsia="Times New Roman" w:hAnsi="Bookman Old Style" w:cs="AsterV"/>
          <w:i/>
          <w:iCs/>
        </w:rPr>
        <w:t>Explanation.</w:t>
      </w:r>
      <w:r w:rsidRPr="008513A4">
        <w:rPr>
          <w:rFonts w:ascii="Bookman Old Style" w:eastAsia="Times New Roman" w:hAnsi="Bookman Old Style" w:cs="AsterV"/>
        </w:rPr>
        <w:t>—</w:t>
      </w:r>
      <w:proofErr w:type="gramStart"/>
      <w:r w:rsidRPr="008513A4">
        <w:rPr>
          <w:rFonts w:ascii="Bookman Old Style" w:eastAsia="Times New Roman" w:hAnsi="Bookman Old Style" w:cs="AsterV"/>
        </w:rPr>
        <w:t>In</w:t>
      </w:r>
      <w:proofErr w:type="gramEnd"/>
      <w:r w:rsidRPr="008513A4">
        <w:rPr>
          <w:rFonts w:ascii="Bookman Old Style" w:eastAsia="Times New Roman" w:hAnsi="Bookman Old Style" w:cs="AsterV"/>
        </w:rPr>
        <w:t xml:space="preserve"> this section,—</w:t>
      </w:r>
    </w:p>
    <w:p w:rsidR="008513A4" w:rsidRPr="008513A4" w:rsidRDefault="008513A4" w:rsidP="008513A4">
      <w:pPr>
        <w:tabs>
          <w:tab w:val="right" w:pos="840"/>
          <w:tab w:val="left" w:pos="960"/>
        </w:tabs>
        <w:adjustRightInd w:val="0"/>
        <w:spacing w:after="60" w:line="240" w:lineRule="auto"/>
        <w:ind w:left="960" w:hanging="960"/>
        <w:jc w:val="both"/>
        <w:rPr>
          <w:rFonts w:ascii="Bookman Old Style" w:eastAsia="Times New Roman" w:hAnsi="Bookman Old Style" w:cs="AsterV"/>
        </w:rPr>
      </w:pPr>
      <w:r w:rsidRPr="008513A4">
        <w:rPr>
          <w:rFonts w:ascii="Bookman Old Style" w:eastAsia="Times New Roman" w:hAnsi="Bookman Old Style" w:cs="AsterV"/>
        </w:rPr>
        <w:tab/>
      </w:r>
      <w:hyperlink r:id="rId36" w:tgtFrame="middle" w:history="1">
        <w:r w:rsidRPr="008513A4">
          <w:rPr>
            <w:rFonts w:ascii="Bookman Old Style" w:eastAsia="Times New Roman" w:hAnsi="Bookman Old Style" w:cs="AsterV"/>
            <w:color w:val="0000FF"/>
            <w:u w:val="single"/>
            <w:vertAlign w:val="superscript"/>
          </w:rPr>
          <w:t>25</w:t>
        </w:r>
      </w:hyperlink>
      <w:r w:rsidRPr="008513A4">
        <w:rPr>
          <w:rFonts w:ascii="Bookman Old Style" w:eastAsia="Times New Roman" w:hAnsi="Bookman Old Style" w:cs="AsterV"/>
        </w:rPr>
        <w:t>[(</w:t>
      </w:r>
      <w:r w:rsidRPr="008513A4">
        <w:rPr>
          <w:rFonts w:ascii="Bookman Old Style" w:eastAsia="Times New Roman" w:hAnsi="Bookman Old Style" w:cs="AsterV"/>
          <w:i/>
          <w:iCs/>
        </w:rPr>
        <w:t>a</w:t>
      </w:r>
      <w:r w:rsidRPr="008513A4">
        <w:rPr>
          <w:rFonts w:ascii="Bookman Old Style" w:eastAsia="Times New Roman" w:hAnsi="Bookman Old Style" w:cs="AsterV"/>
        </w:rPr>
        <w:t>)</w:t>
      </w:r>
      <w:r w:rsidRPr="008513A4">
        <w:rPr>
          <w:rFonts w:ascii="Bookman Old Style" w:eastAsia="Times New Roman" w:hAnsi="Bookman Old Style" w:cs="AsterV"/>
        </w:rPr>
        <w:tab/>
        <w:t>“Coffee Board” means the Coffee Board constituted under section 4 of the Coffee Act, 1942 (7 of 1942);</w:t>
      </w:r>
    </w:p>
    <w:p w:rsidR="008513A4" w:rsidRPr="008513A4" w:rsidRDefault="008513A4" w:rsidP="008513A4">
      <w:pPr>
        <w:tabs>
          <w:tab w:val="right" w:pos="840"/>
          <w:tab w:val="left" w:pos="960"/>
        </w:tabs>
        <w:adjustRightInd w:val="0"/>
        <w:spacing w:after="60" w:line="240" w:lineRule="auto"/>
        <w:ind w:left="960" w:hanging="960"/>
        <w:jc w:val="both"/>
        <w:rPr>
          <w:rFonts w:ascii="Bookman Old Style" w:eastAsia="Times New Roman" w:hAnsi="Bookman Old Style" w:cs="AsterV"/>
        </w:rPr>
      </w:pPr>
      <w:r w:rsidRPr="008513A4">
        <w:rPr>
          <w:rFonts w:ascii="Bookman Old Style" w:eastAsia="Times New Roman" w:hAnsi="Bookman Old Style" w:cs="AsterV"/>
        </w:rPr>
        <w:lastRenderedPageBreak/>
        <w:tab/>
        <w:t>(</w:t>
      </w:r>
      <w:proofErr w:type="spellStart"/>
      <w:proofErr w:type="gramStart"/>
      <w:r w:rsidRPr="008513A4">
        <w:rPr>
          <w:rFonts w:ascii="Bookman Old Style" w:eastAsia="Times New Roman" w:hAnsi="Bookman Old Style" w:cs="AsterV"/>
          <w:i/>
          <w:iCs/>
        </w:rPr>
        <w:t>aa</w:t>
      </w:r>
      <w:proofErr w:type="spellEnd"/>
      <w:proofErr w:type="gramEnd"/>
      <w:r w:rsidRPr="008513A4">
        <w:rPr>
          <w:rFonts w:ascii="Bookman Old Style" w:eastAsia="Times New Roman" w:hAnsi="Bookman Old Style" w:cs="AsterV"/>
        </w:rPr>
        <w:t>)</w:t>
      </w:r>
      <w:r w:rsidRPr="008513A4">
        <w:rPr>
          <w:rFonts w:ascii="Bookman Old Style" w:eastAsia="Times New Roman" w:hAnsi="Bookman Old Style" w:cs="AsterV"/>
        </w:rPr>
        <w:tab/>
        <w:t>“National Bank” means the National Bank for Agriculture and Rural Development established under section 3 of the National Bank for Agriculture and Rural Development Act, 1981 (61 of 1981);</w:t>
      </w:r>
    </w:p>
    <w:p w:rsidR="008513A4" w:rsidRPr="008513A4" w:rsidRDefault="008513A4" w:rsidP="008513A4">
      <w:pPr>
        <w:tabs>
          <w:tab w:val="right" w:pos="840"/>
          <w:tab w:val="left" w:pos="960"/>
        </w:tabs>
        <w:adjustRightInd w:val="0"/>
        <w:spacing w:after="60" w:line="240" w:lineRule="auto"/>
        <w:ind w:left="960" w:hanging="960"/>
        <w:jc w:val="both"/>
        <w:rPr>
          <w:rFonts w:ascii="Bookman Old Style" w:eastAsia="Times New Roman" w:hAnsi="Bookman Old Style" w:cs="AsterV"/>
        </w:rPr>
      </w:pPr>
      <w:r w:rsidRPr="008513A4">
        <w:rPr>
          <w:rFonts w:ascii="Bookman Old Style" w:eastAsia="Times New Roman" w:hAnsi="Bookman Old Style" w:cs="AsterV"/>
        </w:rPr>
        <w:tab/>
        <w:t>(</w:t>
      </w:r>
      <w:proofErr w:type="spellStart"/>
      <w:proofErr w:type="gramStart"/>
      <w:r w:rsidRPr="008513A4">
        <w:rPr>
          <w:rFonts w:ascii="Bookman Old Style" w:eastAsia="Times New Roman" w:hAnsi="Bookman Old Style" w:cs="AsterV"/>
          <w:i/>
          <w:iCs/>
        </w:rPr>
        <w:t>ab</w:t>
      </w:r>
      <w:proofErr w:type="spellEnd"/>
      <w:proofErr w:type="gramEnd"/>
      <w:r w:rsidRPr="008513A4">
        <w:rPr>
          <w:rFonts w:ascii="Bookman Old Style" w:eastAsia="Times New Roman" w:hAnsi="Bookman Old Style" w:cs="AsterV"/>
        </w:rPr>
        <w:t>)</w:t>
      </w:r>
      <w:r w:rsidRPr="008513A4">
        <w:rPr>
          <w:rFonts w:ascii="Bookman Old Style" w:eastAsia="Times New Roman" w:hAnsi="Bookman Old Style" w:cs="AsterV"/>
        </w:rPr>
        <w:tab/>
        <w:t>“Rubber Board” means the Rubber Board constituted under sub-section (1) of section 4 of the Rubber Act, 1947 (24 of 1947);]</w:t>
      </w:r>
    </w:p>
    <w:p w:rsidR="008513A4" w:rsidRDefault="008513A4" w:rsidP="008513A4">
      <w:pPr>
        <w:tabs>
          <w:tab w:val="right" w:pos="840"/>
          <w:tab w:val="left" w:pos="960"/>
        </w:tabs>
        <w:adjustRightInd w:val="0"/>
        <w:spacing w:after="60" w:line="240" w:lineRule="auto"/>
        <w:ind w:left="960" w:hanging="960"/>
        <w:jc w:val="both"/>
        <w:rPr>
          <w:rFonts w:ascii="Bookman Old Style" w:eastAsia="Times New Roman" w:hAnsi="Bookman Old Style" w:cs="AsterV"/>
        </w:rPr>
      </w:pPr>
      <w:r w:rsidRPr="008513A4">
        <w:rPr>
          <w:rFonts w:ascii="Bookman Old Style" w:eastAsia="Times New Roman" w:hAnsi="Bookman Old Style" w:cs="AsterV"/>
        </w:rPr>
        <w:tab/>
        <w:t>(</w:t>
      </w:r>
      <w:r w:rsidRPr="008513A4">
        <w:rPr>
          <w:rFonts w:ascii="Bookman Old Style" w:eastAsia="Times New Roman" w:hAnsi="Bookman Old Style" w:cs="AsterV"/>
          <w:i/>
          <w:iCs/>
        </w:rPr>
        <w:t>b</w:t>
      </w:r>
      <w:r w:rsidRPr="008513A4">
        <w:rPr>
          <w:rFonts w:ascii="Bookman Old Style" w:eastAsia="Times New Roman" w:hAnsi="Bookman Old Style" w:cs="AsterV"/>
        </w:rPr>
        <w:t>)</w:t>
      </w:r>
      <w:r w:rsidRPr="008513A4">
        <w:rPr>
          <w:rFonts w:ascii="Bookman Old Style" w:eastAsia="Times New Roman" w:hAnsi="Bookman Old Style" w:cs="AsterV"/>
        </w:rPr>
        <w:tab/>
        <w:t>“Tea Board” means the Tea Board established under section 4 of the Tea Act, 1953 (29 of 1953).]</w:t>
      </w:r>
    </w:p>
    <w:p w:rsidR="008513A4" w:rsidRPr="008513A4" w:rsidRDefault="008513A4" w:rsidP="008513A4">
      <w:pPr>
        <w:tabs>
          <w:tab w:val="right" w:pos="840"/>
          <w:tab w:val="left" w:pos="960"/>
        </w:tabs>
        <w:adjustRightInd w:val="0"/>
        <w:spacing w:after="60" w:line="240" w:lineRule="auto"/>
        <w:ind w:left="960" w:hanging="960"/>
        <w:jc w:val="both"/>
        <w:rPr>
          <w:rFonts w:ascii="Bookman Old Style" w:eastAsia="Times New Roman" w:hAnsi="Bookman Old Style" w:cs="AsterV"/>
        </w:rPr>
      </w:pPr>
    </w:p>
    <w:tbl>
      <w:tblPr>
        <w:tblW w:w="9390" w:type="dxa"/>
        <w:tblInd w:w="93" w:type="dxa"/>
        <w:tblLook w:val="04A0" w:firstRow="1" w:lastRow="0" w:firstColumn="1" w:lastColumn="0" w:noHBand="0" w:noVBand="1"/>
      </w:tblPr>
      <w:tblGrid>
        <w:gridCol w:w="9390"/>
      </w:tblGrid>
      <w:tr w:rsidR="008513A4" w:rsidRPr="008513A4" w:rsidTr="008513A4">
        <w:trPr>
          <w:trHeight w:val="300"/>
        </w:trPr>
        <w:tc>
          <w:tcPr>
            <w:tcW w:w="9390" w:type="dxa"/>
            <w:tcBorders>
              <w:top w:val="nil"/>
              <w:left w:val="nil"/>
              <w:bottom w:val="nil"/>
              <w:right w:val="nil"/>
            </w:tcBorders>
            <w:shd w:val="clear" w:color="auto" w:fill="auto"/>
            <w:noWrap/>
            <w:vAlign w:val="bottom"/>
            <w:hideMark/>
          </w:tcPr>
          <w:p w:rsidR="008513A4" w:rsidRPr="008513A4" w:rsidRDefault="008513A4" w:rsidP="008513A4">
            <w:pPr>
              <w:spacing w:after="0" w:line="240" w:lineRule="auto"/>
              <w:rPr>
                <w:rFonts w:ascii="Bookman Old Style" w:eastAsia="Times New Roman" w:hAnsi="Bookman Old Style" w:cs="Calibri"/>
                <w:b/>
                <w:bCs/>
                <w:color w:val="000000"/>
                <w:u w:val="single"/>
              </w:rPr>
            </w:pPr>
            <w:r w:rsidRPr="008513A4">
              <w:rPr>
                <w:rFonts w:ascii="Bookman Old Style" w:eastAsia="Times New Roman" w:hAnsi="Bookman Old Style" w:cs="Calibri"/>
                <w:b/>
                <w:bCs/>
                <w:color w:val="000000"/>
                <w:u w:val="single"/>
              </w:rPr>
              <w:t>Meaning:-</w:t>
            </w:r>
          </w:p>
        </w:tc>
      </w:tr>
      <w:tr w:rsidR="008513A4" w:rsidRPr="008513A4" w:rsidTr="008513A4">
        <w:trPr>
          <w:trHeight w:val="300"/>
        </w:trPr>
        <w:tc>
          <w:tcPr>
            <w:tcW w:w="9390" w:type="dxa"/>
            <w:tcBorders>
              <w:top w:val="nil"/>
              <w:left w:val="nil"/>
              <w:bottom w:val="nil"/>
              <w:right w:val="nil"/>
            </w:tcBorders>
            <w:shd w:val="clear" w:color="auto" w:fill="auto"/>
            <w:noWrap/>
            <w:vAlign w:val="bottom"/>
            <w:hideMark/>
          </w:tcPr>
          <w:p w:rsidR="008513A4" w:rsidRDefault="008513A4" w:rsidP="008513A4">
            <w:pPr>
              <w:spacing w:after="0" w:line="240" w:lineRule="auto"/>
              <w:rPr>
                <w:rFonts w:ascii="Bookman Old Style" w:eastAsia="Times New Roman" w:hAnsi="Bookman Old Style" w:cs="Calibri"/>
                <w:color w:val="000000"/>
              </w:rPr>
            </w:pPr>
            <w:r w:rsidRPr="008513A4">
              <w:rPr>
                <w:rFonts w:ascii="Bookman Old Style" w:eastAsia="Times New Roman" w:hAnsi="Bookman Old Style" w:cs="Calibri"/>
                <w:color w:val="000000"/>
              </w:rPr>
              <w:t>1. Assessee should deposit the amount in NABARD / Special deposit Account with in earlier of 6 months from the end of the relevant p.y or before filing of return of income</w:t>
            </w:r>
          </w:p>
          <w:p w:rsidR="008513A4" w:rsidRPr="008513A4" w:rsidRDefault="008513A4" w:rsidP="008513A4">
            <w:pPr>
              <w:spacing w:after="0" w:line="240" w:lineRule="auto"/>
              <w:rPr>
                <w:rFonts w:ascii="Bookman Old Style" w:eastAsia="Times New Roman" w:hAnsi="Bookman Old Style" w:cs="Calibri"/>
                <w:color w:val="000000"/>
              </w:rPr>
            </w:pPr>
          </w:p>
        </w:tc>
      </w:tr>
      <w:tr w:rsidR="008513A4" w:rsidRPr="008513A4" w:rsidTr="008513A4">
        <w:trPr>
          <w:trHeight w:val="300"/>
        </w:trPr>
        <w:tc>
          <w:tcPr>
            <w:tcW w:w="9390" w:type="dxa"/>
            <w:tcBorders>
              <w:top w:val="nil"/>
              <w:left w:val="nil"/>
              <w:bottom w:val="nil"/>
              <w:right w:val="nil"/>
            </w:tcBorders>
            <w:shd w:val="clear" w:color="auto" w:fill="auto"/>
            <w:noWrap/>
            <w:vAlign w:val="bottom"/>
            <w:hideMark/>
          </w:tcPr>
          <w:p w:rsidR="008513A4" w:rsidRPr="008513A4" w:rsidRDefault="008513A4" w:rsidP="008513A4">
            <w:pPr>
              <w:spacing w:after="0" w:line="240" w:lineRule="auto"/>
              <w:rPr>
                <w:rFonts w:ascii="Bookman Old Style" w:eastAsia="Times New Roman" w:hAnsi="Bookman Old Style" w:cs="Calibri"/>
                <w:color w:val="000000"/>
              </w:rPr>
            </w:pPr>
            <w:r w:rsidRPr="008513A4">
              <w:rPr>
                <w:rFonts w:ascii="Bookman Old Style" w:eastAsia="Times New Roman" w:hAnsi="Bookman Old Style" w:cs="Calibri"/>
                <w:color w:val="000000"/>
                <w:u w:val="single"/>
              </w:rPr>
              <w:t>Amount of deduction:-</w:t>
            </w:r>
            <w:r w:rsidRPr="008513A4">
              <w:rPr>
                <w:rFonts w:ascii="Bookman Old Style" w:eastAsia="Times New Roman" w:hAnsi="Bookman Old Style" w:cs="Calibri"/>
                <w:color w:val="000000"/>
              </w:rPr>
              <w:t xml:space="preserve">    </w:t>
            </w:r>
          </w:p>
        </w:tc>
      </w:tr>
      <w:tr w:rsidR="008513A4" w:rsidRPr="008513A4" w:rsidTr="008513A4">
        <w:trPr>
          <w:trHeight w:val="300"/>
        </w:trPr>
        <w:tc>
          <w:tcPr>
            <w:tcW w:w="9390" w:type="dxa"/>
            <w:tcBorders>
              <w:top w:val="nil"/>
              <w:left w:val="nil"/>
              <w:bottom w:val="nil"/>
              <w:right w:val="nil"/>
            </w:tcBorders>
            <w:shd w:val="clear" w:color="auto" w:fill="auto"/>
            <w:noWrap/>
            <w:vAlign w:val="bottom"/>
            <w:hideMark/>
          </w:tcPr>
          <w:p w:rsidR="008513A4" w:rsidRPr="008513A4" w:rsidRDefault="008513A4" w:rsidP="008513A4">
            <w:pPr>
              <w:spacing w:after="0" w:line="240" w:lineRule="auto"/>
              <w:rPr>
                <w:rFonts w:ascii="Bookman Old Style" w:eastAsia="Times New Roman" w:hAnsi="Bookman Old Style" w:cs="Calibri"/>
                <w:color w:val="000000"/>
              </w:rPr>
            </w:pPr>
            <w:r w:rsidRPr="008513A4">
              <w:rPr>
                <w:rFonts w:ascii="Bookman Old Style" w:eastAsia="Times New Roman" w:hAnsi="Bookman Old Style" w:cs="Calibri"/>
                <w:color w:val="000000"/>
              </w:rPr>
              <w:t>A) Amount deposited in a Deposit account framed by Tea Board or Coffee Board or Rubber Board</w:t>
            </w:r>
          </w:p>
        </w:tc>
      </w:tr>
      <w:tr w:rsidR="008513A4" w:rsidRPr="008513A4" w:rsidTr="008513A4">
        <w:trPr>
          <w:trHeight w:val="300"/>
        </w:trPr>
        <w:tc>
          <w:tcPr>
            <w:tcW w:w="9390" w:type="dxa"/>
            <w:tcBorders>
              <w:top w:val="nil"/>
              <w:left w:val="nil"/>
              <w:bottom w:val="nil"/>
              <w:right w:val="nil"/>
            </w:tcBorders>
            <w:shd w:val="clear" w:color="auto" w:fill="auto"/>
            <w:noWrap/>
            <w:vAlign w:val="bottom"/>
            <w:hideMark/>
          </w:tcPr>
          <w:p w:rsidR="008513A4" w:rsidRPr="008513A4" w:rsidRDefault="008513A4" w:rsidP="008513A4">
            <w:pPr>
              <w:spacing w:after="0" w:line="240" w:lineRule="auto"/>
              <w:rPr>
                <w:rFonts w:ascii="Bookman Old Style" w:eastAsia="Times New Roman" w:hAnsi="Bookman Old Style" w:cs="Calibri"/>
                <w:color w:val="000000"/>
                <w:u w:val="single"/>
              </w:rPr>
            </w:pPr>
            <w:r w:rsidRPr="008513A4">
              <w:rPr>
                <w:rFonts w:ascii="Bookman Old Style" w:eastAsia="Times New Roman" w:hAnsi="Bookman Old Style" w:cs="Calibri"/>
                <w:color w:val="000000"/>
              </w:rPr>
              <w:t>B) 40% of current year profits or gain of business or profession</w:t>
            </w:r>
          </w:p>
        </w:tc>
      </w:tr>
      <w:tr w:rsidR="008513A4" w:rsidRPr="008513A4" w:rsidTr="008513A4">
        <w:trPr>
          <w:trHeight w:val="300"/>
        </w:trPr>
        <w:tc>
          <w:tcPr>
            <w:tcW w:w="9390" w:type="dxa"/>
            <w:tcBorders>
              <w:top w:val="nil"/>
              <w:left w:val="nil"/>
              <w:bottom w:val="nil"/>
              <w:right w:val="nil"/>
            </w:tcBorders>
            <w:shd w:val="clear" w:color="auto" w:fill="auto"/>
            <w:noWrap/>
            <w:vAlign w:val="bottom"/>
            <w:hideMark/>
          </w:tcPr>
          <w:p w:rsidR="008513A4" w:rsidRPr="008513A4" w:rsidRDefault="008513A4" w:rsidP="008513A4">
            <w:pPr>
              <w:spacing w:after="0" w:line="240" w:lineRule="auto"/>
              <w:rPr>
                <w:rFonts w:ascii="Bookman Old Style" w:eastAsia="Times New Roman" w:hAnsi="Bookman Old Style" w:cs="Calibri"/>
                <w:color w:val="000000"/>
              </w:rPr>
            </w:pPr>
          </w:p>
        </w:tc>
      </w:tr>
      <w:tr w:rsidR="008513A4" w:rsidRPr="008513A4" w:rsidTr="008513A4">
        <w:trPr>
          <w:trHeight w:val="300"/>
        </w:trPr>
        <w:tc>
          <w:tcPr>
            <w:tcW w:w="9390" w:type="dxa"/>
            <w:tcBorders>
              <w:top w:val="nil"/>
              <w:left w:val="nil"/>
              <w:bottom w:val="nil"/>
              <w:right w:val="nil"/>
            </w:tcBorders>
            <w:shd w:val="clear" w:color="auto" w:fill="auto"/>
            <w:noWrap/>
            <w:vAlign w:val="bottom"/>
            <w:hideMark/>
          </w:tcPr>
          <w:p w:rsidR="008513A4" w:rsidRPr="008513A4" w:rsidRDefault="008513A4" w:rsidP="008513A4">
            <w:pPr>
              <w:spacing w:after="0" w:line="240" w:lineRule="auto"/>
              <w:rPr>
                <w:rFonts w:ascii="Bookman Old Style" w:eastAsia="Times New Roman" w:hAnsi="Bookman Old Style" w:cs="Calibri"/>
                <w:color w:val="000000"/>
              </w:rPr>
            </w:pPr>
            <w:r w:rsidRPr="008513A4">
              <w:rPr>
                <w:rFonts w:ascii="Bookman Old Style" w:eastAsia="Times New Roman" w:hAnsi="Bookman Old Style" w:cs="Calibri"/>
                <w:color w:val="000000"/>
                <w:u w:val="single"/>
              </w:rPr>
              <w:t>Utilization of deposit:-</w:t>
            </w:r>
          </w:p>
        </w:tc>
      </w:tr>
      <w:tr w:rsidR="008513A4" w:rsidRPr="008513A4" w:rsidTr="008513A4">
        <w:trPr>
          <w:trHeight w:val="300"/>
        </w:trPr>
        <w:tc>
          <w:tcPr>
            <w:tcW w:w="9390" w:type="dxa"/>
            <w:tcBorders>
              <w:top w:val="nil"/>
              <w:left w:val="nil"/>
              <w:bottom w:val="nil"/>
              <w:right w:val="nil"/>
            </w:tcBorders>
            <w:shd w:val="clear" w:color="auto" w:fill="auto"/>
            <w:noWrap/>
            <w:vAlign w:val="bottom"/>
            <w:hideMark/>
          </w:tcPr>
          <w:p w:rsidR="008513A4" w:rsidRPr="008513A4" w:rsidRDefault="008513A4" w:rsidP="008513A4">
            <w:pPr>
              <w:spacing w:after="0" w:line="240" w:lineRule="auto"/>
              <w:rPr>
                <w:rFonts w:ascii="Bookman Old Style" w:eastAsia="Times New Roman" w:hAnsi="Bookman Old Style" w:cs="Calibri"/>
                <w:color w:val="000000"/>
              </w:rPr>
            </w:pPr>
            <w:r w:rsidRPr="008513A4">
              <w:rPr>
                <w:rFonts w:ascii="Bookman Old Style" w:eastAsia="Times New Roman" w:hAnsi="Bookman Old Style" w:cs="Calibri"/>
                <w:color w:val="000000"/>
              </w:rPr>
              <w:t>The amount kept in the deposit will be allowed to be withdrawn to be utilized for</w:t>
            </w:r>
          </w:p>
        </w:tc>
      </w:tr>
      <w:tr w:rsidR="008513A4" w:rsidRPr="008513A4" w:rsidTr="008513A4">
        <w:trPr>
          <w:trHeight w:val="300"/>
        </w:trPr>
        <w:tc>
          <w:tcPr>
            <w:tcW w:w="9390" w:type="dxa"/>
            <w:tcBorders>
              <w:top w:val="nil"/>
              <w:left w:val="nil"/>
              <w:bottom w:val="nil"/>
              <w:right w:val="nil"/>
            </w:tcBorders>
            <w:shd w:val="clear" w:color="auto" w:fill="auto"/>
            <w:noWrap/>
            <w:vAlign w:val="bottom"/>
            <w:hideMark/>
          </w:tcPr>
          <w:p w:rsidR="008513A4" w:rsidRPr="008513A4" w:rsidRDefault="008513A4" w:rsidP="008513A4">
            <w:pPr>
              <w:spacing w:after="0" w:line="240" w:lineRule="auto"/>
              <w:rPr>
                <w:rFonts w:ascii="Bookman Old Style" w:eastAsia="Times New Roman" w:hAnsi="Bookman Old Style" w:cs="Calibri"/>
                <w:color w:val="000000"/>
                <w:u w:val="single"/>
              </w:rPr>
            </w:pPr>
            <w:r w:rsidRPr="008513A4">
              <w:rPr>
                <w:rFonts w:ascii="Bookman Old Style" w:eastAsia="Times New Roman" w:hAnsi="Bookman Old Style" w:cs="Calibri"/>
                <w:color w:val="000000"/>
              </w:rPr>
              <w:t>A) Purpose of business of business other than for declaration of dividend</w:t>
            </w:r>
          </w:p>
        </w:tc>
      </w:tr>
      <w:tr w:rsidR="008513A4" w:rsidRPr="008513A4" w:rsidTr="008513A4">
        <w:trPr>
          <w:trHeight w:val="300"/>
        </w:trPr>
        <w:tc>
          <w:tcPr>
            <w:tcW w:w="9390" w:type="dxa"/>
            <w:tcBorders>
              <w:top w:val="nil"/>
              <w:left w:val="nil"/>
              <w:bottom w:val="nil"/>
              <w:right w:val="nil"/>
            </w:tcBorders>
            <w:shd w:val="clear" w:color="auto" w:fill="auto"/>
            <w:noWrap/>
            <w:vAlign w:val="bottom"/>
            <w:hideMark/>
          </w:tcPr>
          <w:p w:rsidR="008513A4" w:rsidRPr="008513A4" w:rsidRDefault="008513A4" w:rsidP="008513A4">
            <w:pPr>
              <w:spacing w:after="0" w:line="240" w:lineRule="auto"/>
              <w:rPr>
                <w:rFonts w:ascii="Bookman Old Style" w:eastAsia="Times New Roman" w:hAnsi="Bookman Old Style" w:cs="Calibri"/>
                <w:color w:val="000000"/>
              </w:rPr>
            </w:pPr>
            <w:r w:rsidRPr="008513A4">
              <w:rPr>
                <w:rFonts w:ascii="Bookman Old Style" w:eastAsia="Times New Roman" w:hAnsi="Bookman Old Style" w:cs="Calibri"/>
                <w:color w:val="000000"/>
              </w:rPr>
              <w:t>B) Purchase of eligible assets for as per the scheme</w:t>
            </w:r>
          </w:p>
        </w:tc>
      </w:tr>
      <w:tr w:rsidR="008513A4" w:rsidRPr="008513A4" w:rsidTr="008513A4">
        <w:trPr>
          <w:trHeight w:val="300"/>
        </w:trPr>
        <w:tc>
          <w:tcPr>
            <w:tcW w:w="9390" w:type="dxa"/>
            <w:tcBorders>
              <w:top w:val="nil"/>
              <w:left w:val="nil"/>
              <w:bottom w:val="nil"/>
              <w:right w:val="nil"/>
            </w:tcBorders>
            <w:shd w:val="clear" w:color="auto" w:fill="auto"/>
            <w:noWrap/>
            <w:vAlign w:val="bottom"/>
            <w:hideMark/>
          </w:tcPr>
          <w:p w:rsidR="008513A4" w:rsidRPr="008513A4" w:rsidRDefault="008513A4" w:rsidP="008513A4">
            <w:pPr>
              <w:spacing w:after="0" w:line="240" w:lineRule="auto"/>
              <w:rPr>
                <w:rFonts w:ascii="Bookman Old Style" w:eastAsia="Times New Roman" w:hAnsi="Bookman Old Style" w:cs="Calibri"/>
                <w:color w:val="000000"/>
              </w:rPr>
            </w:pPr>
          </w:p>
        </w:tc>
      </w:tr>
      <w:tr w:rsidR="008513A4" w:rsidRPr="008513A4" w:rsidTr="008513A4">
        <w:trPr>
          <w:trHeight w:val="300"/>
        </w:trPr>
        <w:tc>
          <w:tcPr>
            <w:tcW w:w="9390" w:type="dxa"/>
            <w:tcBorders>
              <w:top w:val="nil"/>
              <w:left w:val="nil"/>
              <w:bottom w:val="nil"/>
              <w:right w:val="nil"/>
            </w:tcBorders>
            <w:shd w:val="clear" w:color="auto" w:fill="auto"/>
            <w:noWrap/>
            <w:vAlign w:val="bottom"/>
            <w:hideMark/>
          </w:tcPr>
          <w:p w:rsidR="008513A4" w:rsidRPr="008513A4" w:rsidRDefault="008513A4" w:rsidP="00642365">
            <w:pPr>
              <w:spacing w:after="0" w:line="240" w:lineRule="auto"/>
              <w:rPr>
                <w:rFonts w:ascii="Bookman Old Style" w:eastAsia="Times New Roman" w:hAnsi="Bookman Old Style" w:cs="Calibri"/>
                <w:color w:val="000000"/>
                <w:u w:val="single"/>
              </w:rPr>
            </w:pPr>
            <w:r w:rsidRPr="008513A4">
              <w:rPr>
                <w:rFonts w:ascii="Bookman Old Style" w:eastAsia="Times New Roman" w:hAnsi="Bookman Old Style" w:cs="Calibri"/>
                <w:color w:val="000000"/>
                <w:u w:val="single"/>
              </w:rPr>
              <w:t>Ineligible assets:-</w:t>
            </w:r>
          </w:p>
        </w:tc>
      </w:tr>
      <w:tr w:rsidR="008513A4" w:rsidRPr="008513A4" w:rsidTr="008513A4">
        <w:trPr>
          <w:trHeight w:val="300"/>
        </w:trPr>
        <w:tc>
          <w:tcPr>
            <w:tcW w:w="9390" w:type="dxa"/>
            <w:tcBorders>
              <w:top w:val="nil"/>
              <w:left w:val="nil"/>
              <w:bottom w:val="nil"/>
              <w:right w:val="nil"/>
            </w:tcBorders>
            <w:shd w:val="clear" w:color="auto" w:fill="auto"/>
            <w:noWrap/>
            <w:vAlign w:val="bottom"/>
            <w:hideMark/>
          </w:tcPr>
          <w:p w:rsidR="008513A4" w:rsidRPr="008513A4" w:rsidRDefault="008513A4" w:rsidP="00642365">
            <w:pPr>
              <w:spacing w:after="0" w:line="240" w:lineRule="auto"/>
              <w:rPr>
                <w:rFonts w:ascii="Bookman Old Style" w:eastAsia="Times New Roman" w:hAnsi="Bookman Old Style" w:cs="Calibri"/>
                <w:color w:val="000000"/>
              </w:rPr>
            </w:pPr>
            <w:r w:rsidRPr="008513A4">
              <w:rPr>
                <w:rFonts w:ascii="Bookman Old Style" w:eastAsia="Times New Roman" w:hAnsi="Bookman Old Style" w:cs="Calibri"/>
                <w:color w:val="000000"/>
              </w:rPr>
              <w:t>A) Plant and machinery installed in office or residential accommodation or guesthouse</w:t>
            </w:r>
          </w:p>
        </w:tc>
      </w:tr>
      <w:tr w:rsidR="008513A4" w:rsidRPr="008513A4" w:rsidTr="008513A4">
        <w:trPr>
          <w:trHeight w:val="300"/>
        </w:trPr>
        <w:tc>
          <w:tcPr>
            <w:tcW w:w="9390" w:type="dxa"/>
            <w:tcBorders>
              <w:top w:val="nil"/>
              <w:left w:val="nil"/>
              <w:bottom w:val="nil"/>
              <w:right w:val="nil"/>
            </w:tcBorders>
            <w:shd w:val="clear" w:color="auto" w:fill="auto"/>
            <w:noWrap/>
            <w:vAlign w:val="bottom"/>
          </w:tcPr>
          <w:p w:rsidR="008513A4" w:rsidRPr="008513A4" w:rsidRDefault="008513A4" w:rsidP="00642365">
            <w:pPr>
              <w:spacing w:after="0" w:line="240" w:lineRule="auto"/>
              <w:rPr>
                <w:rFonts w:ascii="Bookman Old Style" w:eastAsia="Times New Roman" w:hAnsi="Bookman Old Style" w:cs="Calibri"/>
                <w:color w:val="000000"/>
              </w:rPr>
            </w:pPr>
            <w:r w:rsidRPr="008513A4">
              <w:rPr>
                <w:rFonts w:ascii="Bookman Old Style" w:eastAsia="Times New Roman" w:hAnsi="Bookman Old Style" w:cs="Calibri"/>
                <w:color w:val="000000"/>
              </w:rPr>
              <w:t>B) office appliances other than computers</w:t>
            </w:r>
          </w:p>
        </w:tc>
      </w:tr>
      <w:tr w:rsidR="008513A4" w:rsidRPr="008513A4" w:rsidTr="008513A4">
        <w:trPr>
          <w:trHeight w:val="300"/>
        </w:trPr>
        <w:tc>
          <w:tcPr>
            <w:tcW w:w="9390" w:type="dxa"/>
            <w:tcBorders>
              <w:top w:val="nil"/>
              <w:left w:val="nil"/>
              <w:bottom w:val="nil"/>
              <w:right w:val="nil"/>
            </w:tcBorders>
            <w:shd w:val="clear" w:color="auto" w:fill="auto"/>
            <w:noWrap/>
            <w:vAlign w:val="bottom"/>
          </w:tcPr>
          <w:p w:rsidR="008513A4" w:rsidRPr="008513A4" w:rsidRDefault="008513A4" w:rsidP="00642365">
            <w:pPr>
              <w:spacing w:after="0" w:line="240" w:lineRule="auto"/>
              <w:rPr>
                <w:rFonts w:ascii="Bookman Old Style" w:eastAsia="Times New Roman" w:hAnsi="Bookman Old Style" w:cs="Calibri"/>
                <w:color w:val="000000"/>
              </w:rPr>
            </w:pPr>
            <w:r w:rsidRPr="008513A4">
              <w:rPr>
                <w:rFonts w:ascii="Bookman Old Style" w:eastAsia="Times New Roman" w:hAnsi="Bookman Old Style" w:cs="Calibri"/>
                <w:color w:val="000000"/>
              </w:rPr>
              <w:t>C) Plant and machinery entitled for 100% deduction</w:t>
            </w:r>
          </w:p>
        </w:tc>
      </w:tr>
      <w:tr w:rsidR="008513A4" w:rsidRPr="008513A4" w:rsidTr="008513A4">
        <w:trPr>
          <w:trHeight w:val="300"/>
        </w:trPr>
        <w:tc>
          <w:tcPr>
            <w:tcW w:w="9390" w:type="dxa"/>
            <w:tcBorders>
              <w:top w:val="nil"/>
              <w:left w:val="nil"/>
              <w:bottom w:val="nil"/>
              <w:right w:val="nil"/>
            </w:tcBorders>
            <w:shd w:val="clear" w:color="auto" w:fill="auto"/>
            <w:noWrap/>
            <w:vAlign w:val="bottom"/>
          </w:tcPr>
          <w:p w:rsidR="008513A4" w:rsidRPr="008513A4" w:rsidRDefault="008513A4" w:rsidP="00642365">
            <w:pPr>
              <w:spacing w:after="0" w:line="240" w:lineRule="auto"/>
              <w:rPr>
                <w:rFonts w:ascii="Bookman Old Style" w:eastAsia="Times New Roman" w:hAnsi="Bookman Old Style" w:cs="Calibri"/>
                <w:color w:val="000000"/>
              </w:rPr>
            </w:pPr>
            <w:r w:rsidRPr="008513A4">
              <w:rPr>
                <w:rFonts w:ascii="Bookman Old Style" w:eastAsia="Times New Roman" w:hAnsi="Bookman Old Style" w:cs="Calibri"/>
                <w:color w:val="000000"/>
              </w:rPr>
              <w:t>D) Plant and machinery installed in an industrial undertaking manufacturing any article specified in 11th schedule</w:t>
            </w:r>
          </w:p>
        </w:tc>
      </w:tr>
      <w:tr w:rsidR="008513A4" w:rsidRPr="008513A4" w:rsidTr="008513A4">
        <w:trPr>
          <w:trHeight w:val="300"/>
        </w:trPr>
        <w:tc>
          <w:tcPr>
            <w:tcW w:w="9390" w:type="dxa"/>
            <w:tcBorders>
              <w:top w:val="nil"/>
              <w:left w:val="nil"/>
              <w:bottom w:val="nil"/>
              <w:right w:val="nil"/>
            </w:tcBorders>
            <w:shd w:val="clear" w:color="auto" w:fill="auto"/>
            <w:noWrap/>
            <w:vAlign w:val="bottom"/>
          </w:tcPr>
          <w:p w:rsidR="008513A4" w:rsidRPr="008513A4" w:rsidRDefault="008513A4" w:rsidP="008513A4">
            <w:pPr>
              <w:spacing w:after="0" w:line="240" w:lineRule="auto"/>
              <w:rPr>
                <w:rFonts w:ascii="Bookman Old Style" w:eastAsia="Times New Roman" w:hAnsi="Bookman Old Style" w:cs="Calibri"/>
                <w:color w:val="000000"/>
              </w:rPr>
            </w:pPr>
          </w:p>
        </w:tc>
      </w:tr>
      <w:tr w:rsidR="008513A4" w:rsidRPr="008513A4" w:rsidTr="008513A4">
        <w:trPr>
          <w:trHeight w:val="300"/>
        </w:trPr>
        <w:tc>
          <w:tcPr>
            <w:tcW w:w="9390" w:type="dxa"/>
            <w:tcBorders>
              <w:top w:val="nil"/>
              <w:left w:val="nil"/>
              <w:bottom w:val="nil"/>
              <w:right w:val="nil"/>
            </w:tcBorders>
            <w:shd w:val="clear" w:color="auto" w:fill="auto"/>
            <w:noWrap/>
            <w:vAlign w:val="bottom"/>
          </w:tcPr>
          <w:p w:rsidR="008513A4" w:rsidRPr="008513A4" w:rsidRDefault="008513A4" w:rsidP="008513A4">
            <w:pPr>
              <w:spacing w:after="0" w:line="240" w:lineRule="auto"/>
              <w:rPr>
                <w:rFonts w:ascii="Bookman Old Style" w:eastAsia="Times New Roman" w:hAnsi="Bookman Old Style" w:cs="Calibri"/>
                <w:color w:val="000000"/>
              </w:rPr>
            </w:pPr>
            <w:r w:rsidRPr="008513A4">
              <w:rPr>
                <w:rFonts w:ascii="Bookman Old Style" w:eastAsia="Times New Roman" w:hAnsi="Bookman Old Style" w:cs="Calibri"/>
                <w:color w:val="000000"/>
                <w:u w:val="single"/>
              </w:rPr>
              <w:t>Withdrawal of exemption:-</w:t>
            </w:r>
          </w:p>
        </w:tc>
      </w:tr>
      <w:tr w:rsidR="008513A4" w:rsidRPr="008513A4" w:rsidTr="008513A4">
        <w:trPr>
          <w:trHeight w:val="300"/>
        </w:trPr>
        <w:tc>
          <w:tcPr>
            <w:tcW w:w="9390" w:type="dxa"/>
            <w:tcBorders>
              <w:top w:val="nil"/>
              <w:left w:val="nil"/>
              <w:bottom w:val="nil"/>
              <w:right w:val="nil"/>
            </w:tcBorders>
            <w:shd w:val="clear" w:color="auto" w:fill="auto"/>
            <w:noWrap/>
            <w:vAlign w:val="bottom"/>
            <w:hideMark/>
          </w:tcPr>
          <w:p w:rsidR="008513A4" w:rsidRPr="008513A4" w:rsidRDefault="008513A4" w:rsidP="008513A4">
            <w:pPr>
              <w:spacing w:after="0" w:line="240" w:lineRule="auto"/>
              <w:rPr>
                <w:rFonts w:ascii="Bookman Old Style" w:eastAsia="Times New Roman" w:hAnsi="Bookman Old Style" w:cs="Calibri"/>
                <w:color w:val="000000"/>
              </w:rPr>
            </w:pPr>
            <w:r w:rsidRPr="008513A4">
              <w:rPr>
                <w:rFonts w:ascii="Bookman Old Style" w:eastAsia="Times New Roman" w:hAnsi="Bookman Old Style" w:cs="Calibri"/>
                <w:color w:val="000000"/>
              </w:rPr>
              <w:t>A)</w:t>
            </w:r>
            <w:r>
              <w:rPr>
                <w:rFonts w:ascii="Bookman Old Style" w:eastAsia="Times New Roman" w:hAnsi="Bookman Old Style" w:cs="Calibri"/>
                <w:color w:val="000000"/>
              </w:rPr>
              <w:t xml:space="preserve"> </w:t>
            </w:r>
            <w:r w:rsidRPr="008513A4">
              <w:rPr>
                <w:rFonts w:ascii="Bookman Old Style" w:eastAsia="Times New Roman" w:hAnsi="Bookman Old Style" w:cs="Calibri"/>
                <w:color w:val="000000"/>
              </w:rPr>
              <w:t>If the amount withdrawn during any p.y is not utilized within the previous year or utilised for any purpose other than those specified in the scheme then it shall be treated as income and charged to tax the p.y.</w:t>
            </w:r>
          </w:p>
          <w:p w:rsidR="008513A4" w:rsidRPr="008513A4" w:rsidRDefault="008513A4" w:rsidP="008513A4"/>
          <w:p w:rsidR="008513A4" w:rsidRPr="008513A4" w:rsidRDefault="008513A4" w:rsidP="008513A4">
            <w:r w:rsidRPr="008513A4">
              <w:rPr>
                <w:rFonts w:ascii="Bookman Old Style" w:eastAsia="Times New Roman" w:hAnsi="Bookman Old Style" w:cs="Calibri"/>
                <w:color w:val="000000"/>
              </w:rPr>
              <w:t>B) Where the newly acquired asset is transferred or sold within 8 years from the end of the p.y in which</w:t>
            </w:r>
            <w:r>
              <w:rPr>
                <w:rFonts w:ascii="Bookman Old Style" w:eastAsia="Times New Roman" w:hAnsi="Bookman Old Style" w:cs="Calibri"/>
                <w:color w:val="000000"/>
              </w:rPr>
              <w:t xml:space="preserve"> </w:t>
            </w:r>
            <w:r w:rsidRPr="008513A4">
              <w:rPr>
                <w:rFonts w:ascii="Bookman Old Style" w:eastAsia="Times New Roman" w:hAnsi="Bookman Old Style" w:cs="Calibri"/>
                <w:color w:val="000000"/>
              </w:rPr>
              <w:t>it is acquired the portion of the deduction already allowed should be treated as income of the P.Y in which</w:t>
            </w:r>
            <w:r>
              <w:rPr>
                <w:rFonts w:ascii="Bookman Old Style" w:eastAsia="Times New Roman" w:hAnsi="Bookman Old Style" w:cs="Calibri"/>
                <w:color w:val="000000"/>
              </w:rPr>
              <w:t xml:space="preserve"> </w:t>
            </w:r>
            <w:r w:rsidRPr="008513A4">
              <w:rPr>
                <w:rFonts w:ascii="Bookman Old Style" w:eastAsia="Times New Roman" w:hAnsi="Bookman Old Style" w:cs="Calibri"/>
                <w:color w:val="000000"/>
              </w:rPr>
              <w:t>the asset is sold or otherwise transferred.</w:t>
            </w:r>
          </w:p>
        </w:tc>
      </w:tr>
      <w:tr w:rsidR="008513A4" w:rsidRPr="008513A4" w:rsidTr="008513A4">
        <w:trPr>
          <w:trHeight w:val="300"/>
        </w:trPr>
        <w:tc>
          <w:tcPr>
            <w:tcW w:w="9390" w:type="dxa"/>
            <w:tcBorders>
              <w:top w:val="nil"/>
              <w:left w:val="nil"/>
              <w:bottom w:val="nil"/>
              <w:right w:val="nil"/>
            </w:tcBorders>
            <w:shd w:val="clear" w:color="auto" w:fill="auto"/>
            <w:noWrap/>
            <w:vAlign w:val="bottom"/>
            <w:hideMark/>
          </w:tcPr>
          <w:p w:rsidR="008513A4" w:rsidRPr="008513A4" w:rsidRDefault="008513A4" w:rsidP="008513A4">
            <w:pPr>
              <w:spacing w:after="0" w:line="240" w:lineRule="auto"/>
              <w:rPr>
                <w:rFonts w:ascii="Bookman Old Style" w:eastAsia="Times New Roman" w:hAnsi="Bookman Old Style" w:cs="Calibri"/>
                <w:color w:val="000000"/>
                <w:u w:val="single"/>
              </w:rPr>
            </w:pPr>
            <w:r w:rsidRPr="008513A4">
              <w:rPr>
                <w:rFonts w:ascii="Bookman Old Style" w:eastAsia="Times New Roman" w:hAnsi="Bookman Old Style" w:cs="Calibri"/>
                <w:color w:val="000000"/>
              </w:rPr>
              <w:t>C) Exceptions to the above</w:t>
            </w:r>
          </w:p>
        </w:tc>
      </w:tr>
      <w:tr w:rsidR="008513A4" w:rsidRPr="008513A4" w:rsidTr="008513A4">
        <w:trPr>
          <w:trHeight w:val="300"/>
        </w:trPr>
        <w:tc>
          <w:tcPr>
            <w:tcW w:w="9390" w:type="dxa"/>
            <w:tcBorders>
              <w:top w:val="nil"/>
              <w:left w:val="nil"/>
              <w:bottom w:val="nil"/>
              <w:right w:val="nil"/>
            </w:tcBorders>
            <w:shd w:val="clear" w:color="auto" w:fill="auto"/>
            <w:noWrap/>
            <w:vAlign w:val="bottom"/>
            <w:hideMark/>
          </w:tcPr>
          <w:p w:rsidR="008513A4" w:rsidRPr="008513A4" w:rsidRDefault="008513A4" w:rsidP="00642365">
            <w:pPr>
              <w:spacing w:after="0" w:line="240" w:lineRule="auto"/>
              <w:rPr>
                <w:rFonts w:ascii="Bookman Old Style" w:eastAsia="Times New Roman" w:hAnsi="Bookman Old Style" w:cs="Calibri"/>
                <w:color w:val="000000"/>
              </w:rPr>
            </w:pPr>
            <w:r w:rsidRPr="008513A4">
              <w:rPr>
                <w:rFonts w:ascii="Bookman Old Style" w:eastAsia="Times New Roman" w:hAnsi="Bookman Old Style" w:cs="Calibri"/>
                <w:color w:val="000000"/>
              </w:rPr>
              <w:t xml:space="preserve">    * Transferred to govt or local authority or corporation or govt company</w:t>
            </w:r>
          </w:p>
        </w:tc>
      </w:tr>
      <w:tr w:rsidR="008513A4" w:rsidRPr="008513A4" w:rsidTr="008513A4">
        <w:trPr>
          <w:trHeight w:val="300"/>
        </w:trPr>
        <w:tc>
          <w:tcPr>
            <w:tcW w:w="9390" w:type="dxa"/>
            <w:tcBorders>
              <w:top w:val="nil"/>
              <w:left w:val="nil"/>
              <w:bottom w:val="nil"/>
              <w:right w:val="nil"/>
            </w:tcBorders>
            <w:shd w:val="clear" w:color="auto" w:fill="auto"/>
            <w:noWrap/>
            <w:vAlign w:val="bottom"/>
            <w:hideMark/>
          </w:tcPr>
          <w:p w:rsidR="008513A4" w:rsidRPr="008513A4" w:rsidRDefault="008513A4" w:rsidP="00642365">
            <w:pPr>
              <w:spacing w:after="0" w:line="240" w:lineRule="auto"/>
              <w:rPr>
                <w:rFonts w:ascii="Bookman Old Style" w:eastAsia="Times New Roman" w:hAnsi="Bookman Old Style" w:cs="Calibri"/>
                <w:color w:val="000000"/>
              </w:rPr>
            </w:pPr>
            <w:r w:rsidRPr="008513A4">
              <w:rPr>
                <w:rFonts w:ascii="Bookman Old Style" w:eastAsia="Times New Roman" w:hAnsi="Bookman Old Style" w:cs="Calibri"/>
                <w:color w:val="000000"/>
              </w:rPr>
              <w:t xml:space="preserve">    * Succession of firm by a company</w:t>
            </w:r>
          </w:p>
        </w:tc>
      </w:tr>
      <w:tr w:rsidR="008513A4" w:rsidRPr="008513A4" w:rsidTr="008513A4">
        <w:trPr>
          <w:trHeight w:val="300"/>
        </w:trPr>
        <w:tc>
          <w:tcPr>
            <w:tcW w:w="9390" w:type="dxa"/>
            <w:tcBorders>
              <w:top w:val="nil"/>
              <w:left w:val="nil"/>
              <w:bottom w:val="nil"/>
              <w:right w:val="nil"/>
            </w:tcBorders>
            <w:shd w:val="clear" w:color="auto" w:fill="auto"/>
            <w:noWrap/>
            <w:vAlign w:val="bottom"/>
            <w:hideMark/>
          </w:tcPr>
          <w:p w:rsidR="008513A4" w:rsidRPr="008513A4" w:rsidRDefault="008513A4" w:rsidP="008513A4">
            <w:pPr>
              <w:spacing w:after="0" w:line="240" w:lineRule="auto"/>
              <w:rPr>
                <w:rFonts w:ascii="Bookman Old Style" w:eastAsia="Times New Roman" w:hAnsi="Bookman Old Style" w:cs="Calibri"/>
                <w:color w:val="000000"/>
              </w:rPr>
            </w:pPr>
          </w:p>
        </w:tc>
      </w:tr>
      <w:tr w:rsidR="008513A4" w:rsidRPr="008513A4" w:rsidTr="008513A4">
        <w:trPr>
          <w:trHeight w:val="300"/>
        </w:trPr>
        <w:tc>
          <w:tcPr>
            <w:tcW w:w="9390" w:type="dxa"/>
            <w:tcBorders>
              <w:top w:val="nil"/>
              <w:left w:val="nil"/>
              <w:bottom w:val="nil"/>
              <w:right w:val="nil"/>
            </w:tcBorders>
            <w:shd w:val="clear" w:color="auto" w:fill="auto"/>
            <w:noWrap/>
            <w:vAlign w:val="bottom"/>
            <w:hideMark/>
          </w:tcPr>
          <w:p w:rsidR="008513A4" w:rsidRPr="008513A4" w:rsidRDefault="008513A4" w:rsidP="008513A4">
            <w:pPr>
              <w:spacing w:after="0" w:line="240" w:lineRule="auto"/>
              <w:rPr>
                <w:rFonts w:ascii="Bookman Old Style" w:eastAsia="Times New Roman" w:hAnsi="Bookman Old Style" w:cs="Calibri"/>
                <w:color w:val="000000"/>
              </w:rPr>
            </w:pPr>
            <w:r w:rsidRPr="008513A4">
              <w:rPr>
                <w:rFonts w:ascii="Bookman Old Style" w:eastAsia="Times New Roman" w:hAnsi="Bookman Old Style" w:cs="Calibri"/>
                <w:color w:val="000000"/>
              </w:rPr>
              <w:lastRenderedPageBreak/>
              <w:t xml:space="preserve">    </w:t>
            </w:r>
          </w:p>
        </w:tc>
      </w:tr>
      <w:tr w:rsidR="008513A4" w:rsidRPr="008513A4" w:rsidTr="008513A4">
        <w:trPr>
          <w:trHeight w:val="300"/>
        </w:trPr>
        <w:tc>
          <w:tcPr>
            <w:tcW w:w="9390" w:type="dxa"/>
            <w:tcBorders>
              <w:top w:val="nil"/>
              <w:left w:val="nil"/>
              <w:bottom w:val="nil"/>
              <w:right w:val="nil"/>
            </w:tcBorders>
            <w:shd w:val="clear" w:color="auto" w:fill="auto"/>
            <w:noWrap/>
            <w:vAlign w:val="bottom"/>
            <w:hideMark/>
          </w:tcPr>
          <w:p w:rsidR="008513A4" w:rsidRPr="008513A4" w:rsidRDefault="008513A4" w:rsidP="008513A4">
            <w:pPr>
              <w:spacing w:after="0" w:line="240" w:lineRule="auto"/>
              <w:rPr>
                <w:rFonts w:ascii="Bookman Old Style" w:eastAsia="Times New Roman" w:hAnsi="Bookman Old Style" w:cs="Calibri"/>
                <w:color w:val="000000"/>
              </w:rPr>
            </w:pPr>
            <w:r w:rsidRPr="008513A4">
              <w:rPr>
                <w:rFonts w:ascii="Bookman Old Style" w:eastAsia="Times New Roman" w:hAnsi="Bookman Old Style" w:cs="Calibri"/>
                <w:color w:val="000000"/>
              </w:rPr>
              <w:t xml:space="preserve">    </w:t>
            </w:r>
          </w:p>
        </w:tc>
      </w:tr>
      <w:tr w:rsidR="008513A4" w:rsidRPr="008513A4" w:rsidTr="008513A4">
        <w:trPr>
          <w:trHeight w:val="300"/>
        </w:trPr>
        <w:tc>
          <w:tcPr>
            <w:tcW w:w="9390" w:type="dxa"/>
            <w:tcBorders>
              <w:top w:val="nil"/>
              <w:left w:val="nil"/>
              <w:bottom w:val="nil"/>
              <w:right w:val="nil"/>
            </w:tcBorders>
            <w:shd w:val="clear" w:color="auto" w:fill="auto"/>
            <w:noWrap/>
            <w:vAlign w:val="bottom"/>
            <w:hideMark/>
          </w:tcPr>
          <w:p w:rsidR="008513A4" w:rsidRPr="008513A4" w:rsidRDefault="008513A4" w:rsidP="008513A4">
            <w:pPr>
              <w:spacing w:after="0" w:line="240" w:lineRule="auto"/>
              <w:rPr>
                <w:rFonts w:ascii="Bookman Old Style" w:eastAsia="Times New Roman" w:hAnsi="Bookman Old Style" w:cs="Calibri"/>
                <w:color w:val="000000"/>
              </w:rPr>
            </w:pPr>
          </w:p>
        </w:tc>
      </w:tr>
      <w:tr w:rsidR="008513A4" w:rsidRPr="008513A4" w:rsidTr="008513A4">
        <w:trPr>
          <w:trHeight w:val="300"/>
        </w:trPr>
        <w:tc>
          <w:tcPr>
            <w:tcW w:w="9390" w:type="dxa"/>
            <w:tcBorders>
              <w:top w:val="nil"/>
              <w:left w:val="nil"/>
              <w:bottom w:val="nil"/>
              <w:right w:val="nil"/>
            </w:tcBorders>
            <w:shd w:val="clear" w:color="auto" w:fill="auto"/>
            <w:noWrap/>
            <w:vAlign w:val="bottom"/>
          </w:tcPr>
          <w:p w:rsidR="008513A4" w:rsidRPr="008513A4" w:rsidRDefault="008513A4" w:rsidP="008513A4">
            <w:pPr>
              <w:spacing w:after="0" w:line="240" w:lineRule="auto"/>
              <w:rPr>
                <w:rFonts w:ascii="Bookman Old Style" w:eastAsia="Times New Roman" w:hAnsi="Bookman Old Style" w:cs="Calibri"/>
                <w:color w:val="000000"/>
              </w:rPr>
            </w:pPr>
          </w:p>
        </w:tc>
      </w:tr>
      <w:tr w:rsidR="008513A4" w:rsidRPr="008513A4" w:rsidTr="008513A4">
        <w:trPr>
          <w:trHeight w:val="300"/>
        </w:trPr>
        <w:tc>
          <w:tcPr>
            <w:tcW w:w="9390" w:type="dxa"/>
            <w:tcBorders>
              <w:top w:val="nil"/>
              <w:left w:val="nil"/>
              <w:bottom w:val="nil"/>
              <w:right w:val="nil"/>
            </w:tcBorders>
            <w:shd w:val="clear" w:color="auto" w:fill="auto"/>
            <w:noWrap/>
            <w:vAlign w:val="bottom"/>
          </w:tcPr>
          <w:p w:rsidR="008513A4" w:rsidRPr="008513A4" w:rsidRDefault="008513A4" w:rsidP="008513A4">
            <w:pPr>
              <w:spacing w:after="0" w:line="240" w:lineRule="auto"/>
              <w:rPr>
                <w:rFonts w:ascii="Bookman Old Style" w:eastAsia="Times New Roman" w:hAnsi="Bookman Old Style" w:cs="Calibri"/>
                <w:color w:val="000000"/>
              </w:rPr>
            </w:pPr>
          </w:p>
        </w:tc>
      </w:tr>
      <w:tr w:rsidR="008513A4" w:rsidRPr="008513A4" w:rsidTr="008513A4">
        <w:trPr>
          <w:trHeight w:val="300"/>
        </w:trPr>
        <w:tc>
          <w:tcPr>
            <w:tcW w:w="9390" w:type="dxa"/>
            <w:tcBorders>
              <w:top w:val="nil"/>
              <w:left w:val="nil"/>
              <w:bottom w:val="nil"/>
              <w:right w:val="nil"/>
            </w:tcBorders>
            <w:shd w:val="clear" w:color="auto" w:fill="auto"/>
            <w:noWrap/>
            <w:vAlign w:val="bottom"/>
            <w:hideMark/>
          </w:tcPr>
          <w:p w:rsidR="008513A4" w:rsidRPr="008513A4" w:rsidRDefault="008513A4" w:rsidP="008513A4">
            <w:pPr>
              <w:spacing w:after="0" w:line="240" w:lineRule="auto"/>
              <w:rPr>
                <w:rFonts w:ascii="Bookman Old Style" w:eastAsia="Times New Roman" w:hAnsi="Bookman Old Style" w:cs="Calibri"/>
                <w:color w:val="000000"/>
              </w:rPr>
            </w:pPr>
          </w:p>
        </w:tc>
      </w:tr>
      <w:tr w:rsidR="008513A4" w:rsidRPr="008513A4" w:rsidTr="008513A4">
        <w:trPr>
          <w:trHeight w:val="300"/>
        </w:trPr>
        <w:tc>
          <w:tcPr>
            <w:tcW w:w="9390" w:type="dxa"/>
            <w:tcBorders>
              <w:top w:val="nil"/>
              <w:left w:val="nil"/>
              <w:bottom w:val="nil"/>
              <w:right w:val="nil"/>
            </w:tcBorders>
            <w:shd w:val="clear" w:color="auto" w:fill="auto"/>
            <w:noWrap/>
            <w:vAlign w:val="bottom"/>
            <w:hideMark/>
          </w:tcPr>
          <w:p w:rsidR="008513A4" w:rsidRPr="008513A4" w:rsidRDefault="008513A4" w:rsidP="008513A4">
            <w:pPr>
              <w:spacing w:after="0" w:line="240" w:lineRule="auto"/>
              <w:rPr>
                <w:rFonts w:ascii="Bookman Old Style" w:eastAsia="Times New Roman" w:hAnsi="Bookman Old Style" w:cs="Calibri"/>
                <w:color w:val="000000"/>
                <w:u w:val="single"/>
              </w:rPr>
            </w:pPr>
            <w:r w:rsidRPr="008513A4">
              <w:rPr>
                <w:rFonts w:ascii="Bookman Old Style" w:eastAsia="Times New Roman" w:hAnsi="Bookman Old Style" w:cs="Calibri"/>
                <w:color w:val="000000"/>
                <w:u w:val="single"/>
              </w:rPr>
              <w:t>Proforma for computation procedure in case of sec 33AB:-</w:t>
            </w:r>
          </w:p>
        </w:tc>
      </w:tr>
    </w:tbl>
    <w:p w:rsidR="008513A4" w:rsidRPr="008513A4" w:rsidRDefault="008513A4">
      <w:pPr>
        <w:rPr>
          <w:rFonts w:ascii="Bookman Old Style" w:hAnsi="Bookman Old Style"/>
          <w:b/>
          <w:u w:val="single"/>
        </w:rPr>
      </w:pPr>
    </w:p>
    <w:tbl>
      <w:tblPr>
        <w:tblW w:w="9743" w:type="dxa"/>
        <w:tblInd w:w="85" w:type="dxa"/>
        <w:tblLook w:val="04A0" w:firstRow="1" w:lastRow="0" w:firstColumn="1" w:lastColumn="0" w:noHBand="0" w:noVBand="1"/>
      </w:tblPr>
      <w:tblGrid>
        <w:gridCol w:w="7943"/>
        <w:gridCol w:w="900"/>
        <w:gridCol w:w="900"/>
      </w:tblGrid>
      <w:tr w:rsidR="008513A4" w:rsidRPr="008513A4" w:rsidTr="001A6060">
        <w:trPr>
          <w:trHeight w:val="315"/>
        </w:trPr>
        <w:tc>
          <w:tcPr>
            <w:tcW w:w="7943" w:type="dxa"/>
            <w:tcBorders>
              <w:top w:val="double" w:sz="6" w:space="0" w:color="000000"/>
              <w:left w:val="double" w:sz="6" w:space="0" w:color="000000"/>
              <w:bottom w:val="single" w:sz="4" w:space="0" w:color="000000"/>
              <w:right w:val="single" w:sz="4" w:space="0" w:color="000000"/>
            </w:tcBorders>
            <w:shd w:val="clear" w:color="auto" w:fill="auto"/>
            <w:noWrap/>
            <w:vAlign w:val="bottom"/>
            <w:hideMark/>
          </w:tcPr>
          <w:p w:rsidR="008513A4" w:rsidRPr="008513A4" w:rsidRDefault="008513A4" w:rsidP="008513A4">
            <w:pPr>
              <w:spacing w:after="0" w:line="240" w:lineRule="auto"/>
              <w:jc w:val="center"/>
              <w:rPr>
                <w:rFonts w:ascii="Bookman Old Style" w:eastAsia="Times New Roman" w:hAnsi="Bookman Old Style" w:cs="Calibri"/>
                <w:b/>
                <w:bCs/>
                <w:color w:val="000000"/>
              </w:rPr>
            </w:pPr>
            <w:r w:rsidRPr="008513A4">
              <w:rPr>
                <w:rFonts w:ascii="Bookman Old Style" w:eastAsia="Times New Roman" w:hAnsi="Bookman Old Style" w:cs="Calibri"/>
                <w:b/>
                <w:bCs/>
                <w:color w:val="000000"/>
              </w:rPr>
              <w:t>Particulars</w:t>
            </w:r>
          </w:p>
        </w:tc>
        <w:tc>
          <w:tcPr>
            <w:tcW w:w="900" w:type="dxa"/>
            <w:tcBorders>
              <w:top w:val="double" w:sz="6" w:space="0" w:color="000000"/>
              <w:left w:val="nil"/>
              <w:bottom w:val="single" w:sz="4" w:space="0" w:color="000000"/>
              <w:right w:val="single" w:sz="4" w:space="0" w:color="000000"/>
            </w:tcBorders>
            <w:shd w:val="clear" w:color="auto" w:fill="auto"/>
            <w:noWrap/>
            <w:vAlign w:val="bottom"/>
            <w:hideMark/>
          </w:tcPr>
          <w:p w:rsidR="008513A4" w:rsidRPr="008513A4" w:rsidRDefault="008513A4" w:rsidP="008513A4">
            <w:pPr>
              <w:spacing w:after="0" w:line="240" w:lineRule="auto"/>
              <w:jc w:val="right"/>
              <w:rPr>
                <w:rFonts w:ascii="Bookman Old Style" w:eastAsia="Times New Roman" w:hAnsi="Bookman Old Style" w:cs="Calibri"/>
                <w:color w:val="000000"/>
              </w:rPr>
            </w:pPr>
            <w:r w:rsidRPr="008513A4">
              <w:rPr>
                <w:rFonts w:ascii="Bookman Old Style" w:eastAsia="Times New Roman" w:hAnsi="Bookman Old Style" w:cs="Calibri"/>
                <w:color w:val="000000"/>
              </w:rPr>
              <w:t> </w:t>
            </w:r>
          </w:p>
        </w:tc>
        <w:tc>
          <w:tcPr>
            <w:tcW w:w="900" w:type="dxa"/>
            <w:tcBorders>
              <w:top w:val="double" w:sz="6" w:space="0" w:color="000000"/>
              <w:left w:val="nil"/>
              <w:bottom w:val="single" w:sz="4" w:space="0" w:color="000000"/>
              <w:right w:val="double" w:sz="6" w:space="0" w:color="000000"/>
            </w:tcBorders>
            <w:shd w:val="clear" w:color="auto" w:fill="auto"/>
            <w:noWrap/>
            <w:vAlign w:val="bottom"/>
            <w:hideMark/>
          </w:tcPr>
          <w:p w:rsidR="008513A4" w:rsidRPr="008513A4" w:rsidRDefault="008513A4" w:rsidP="008513A4">
            <w:pPr>
              <w:spacing w:after="0" w:line="240" w:lineRule="auto"/>
              <w:jc w:val="right"/>
              <w:rPr>
                <w:rFonts w:ascii="Bookman Old Style" w:eastAsia="Times New Roman" w:hAnsi="Bookman Old Style" w:cs="Calibri"/>
                <w:color w:val="000000"/>
              </w:rPr>
            </w:pPr>
            <w:r w:rsidRPr="008513A4">
              <w:rPr>
                <w:rFonts w:ascii="Bookman Old Style" w:eastAsia="Times New Roman" w:hAnsi="Bookman Old Style" w:cs="Calibri"/>
                <w:color w:val="000000"/>
              </w:rPr>
              <w:t> </w:t>
            </w:r>
          </w:p>
        </w:tc>
      </w:tr>
      <w:tr w:rsidR="008513A4" w:rsidRPr="008513A4" w:rsidTr="001A6060">
        <w:trPr>
          <w:trHeight w:val="300"/>
        </w:trPr>
        <w:tc>
          <w:tcPr>
            <w:tcW w:w="7943" w:type="dxa"/>
            <w:tcBorders>
              <w:top w:val="single" w:sz="4" w:space="0" w:color="000000"/>
              <w:left w:val="double" w:sz="6" w:space="0" w:color="000000"/>
              <w:bottom w:val="nil"/>
              <w:right w:val="single" w:sz="4" w:space="0" w:color="000000"/>
            </w:tcBorders>
            <w:shd w:val="clear" w:color="auto" w:fill="auto"/>
            <w:noWrap/>
            <w:vAlign w:val="bottom"/>
            <w:hideMark/>
          </w:tcPr>
          <w:p w:rsidR="008513A4" w:rsidRPr="008513A4" w:rsidRDefault="008513A4" w:rsidP="008513A4">
            <w:pPr>
              <w:spacing w:after="0" w:line="240" w:lineRule="auto"/>
              <w:rPr>
                <w:rFonts w:ascii="Bookman Old Style" w:eastAsia="Times New Roman" w:hAnsi="Bookman Old Style" w:cs="Calibri"/>
                <w:color w:val="000000"/>
              </w:rPr>
            </w:pPr>
            <w:r w:rsidRPr="008513A4">
              <w:rPr>
                <w:rFonts w:ascii="Bookman Old Style" w:eastAsia="Times New Roman" w:hAnsi="Bookman Old Style" w:cs="Calibri"/>
                <w:color w:val="000000"/>
              </w:rPr>
              <w:t xml:space="preserve">          Computation of chapter IV-D profit before deduction u/s 33AB</w:t>
            </w:r>
          </w:p>
        </w:tc>
        <w:tc>
          <w:tcPr>
            <w:tcW w:w="900" w:type="dxa"/>
            <w:tcBorders>
              <w:top w:val="nil"/>
              <w:left w:val="nil"/>
              <w:bottom w:val="nil"/>
              <w:right w:val="single" w:sz="4" w:space="0" w:color="000000"/>
            </w:tcBorders>
            <w:shd w:val="clear" w:color="auto" w:fill="auto"/>
            <w:noWrap/>
            <w:vAlign w:val="bottom"/>
            <w:hideMark/>
          </w:tcPr>
          <w:p w:rsidR="008513A4" w:rsidRPr="008513A4" w:rsidRDefault="008513A4" w:rsidP="008513A4">
            <w:pPr>
              <w:spacing w:after="0" w:line="240" w:lineRule="auto"/>
              <w:jc w:val="right"/>
              <w:rPr>
                <w:rFonts w:ascii="Bookman Old Style" w:eastAsia="Times New Roman" w:hAnsi="Bookman Old Style" w:cs="Calibri"/>
                <w:color w:val="000000"/>
              </w:rPr>
            </w:pPr>
            <w:r w:rsidRPr="008513A4">
              <w:rPr>
                <w:rFonts w:ascii="Bookman Old Style" w:eastAsia="Times New Roman" w:hAnsi="Bookman Old Style" w:cs="Calibri"/>
                <w:color w:val="000000"/>
              </w:rPr>
              <w:t> </w:t>
            </w:r>
          </w:p>
        </w:tc>
        <w:tc>
          <w:tcPr>
            <w:tcW w:w="900" w:type="dxa"/>
            <w:tcBorders>
              <w:top w:val="nil"/>
              <w:left w:val="nil"/>
              <w:bottom w:val="nil"/>
              <w:right w:val="double" w:sz="6" w:space="0" w:color="000000"/>
            </w:tcBorders>
            <w:shd w:val="clear" w:color="auto" w:fill="auto"/>
            <w:noWrap/>
            <w:vAlign w:val="bottom"/>
            <w:hideMark/>
          </w:tcPr>
          <w:p w:rsidR="008513A4" w:rsidRPr="008513A4" w:rsidRDefault="008513A4" w:rsidP="008513A4">
            <w:pPr>
              <w:spacing w:after="0" w:line="240" w:lineRule="auto"/>
              <w:jc w:val="right"/>
              <w:rPr>
                <w:rFonts w:ascii="Bookman Old Style" w:eastAsia="Times New Roman" w:hAnsi="Bookman Old Style" w:cs="Calibri"/>
                <w:color w:val="000000"/>
              </w:rPr>
            </w:pPr>
            <w:r w:rsidRPr="008513A4">
              <w:rPr>
                <w:rFonts w:ascii="Bookman Old Style" w:eastAsia="Times New Roman" w:hAnsi="Bookman Old Style" w:cs="Calibri"/>
                <w:color w:val="000000"/>
              </w:rPr>
              <w:t>****</w:t>
            </w:r>
          </w:p>
        </w:tc>
      </w:tr>
      <w:tr w:rsidR="008513A4" w:rsidRPr="008513A4" w:rsidTr="001A6060">
        <w:trPr>
          <w:trHeight w:val="300"/>
        </w:trPr>
        <w:tc>
          <w:tcPr>
            <w:tcW w:w="7943" w:type="dxa"/>
            <w:tcBorders>
              <w:top w:val="nil"/>
              <w:left w:val="double" w:sz="6" w:space="0" w:color="000000"/>
              <w:bottom w:val="nil"/>
              <w:right w:val="single" w:sz="4" w:space="0" w:color="000000"/>
            </w:tcBorders>
            <w:shd w:val="clear" w:color="auto" w:fill="auto"/>
            <w:noWrap/>
            <w:vAlign w:val="bottom"/>
            <w:hideMark/>
          </w:tcPr>
          <w:p w:rsidR="008513A4" w:rsidRPr="008513A4" w:rsidRDefault="008513A4" w:rsidP="008513A4">
            <w:pPr>
              <w:spacing w:after="0" w:line="240" w:lineRule="auto"/>
              <w:rPr>
                <w:rFonts w:ascii="Bookman Old Style" w:eastAsia="Times New Roman" w:hAnsi="Bookman Old Style" w:cs="Calibri"/>
                <w:color w:val="000000"/>
              </w:rPr>
            </w:pPr>
            <w:r w:rsidRPr="008513A4">
              <w:rPr>
                <w:rFonts w:ascii="Bookman Old Style" w:eastAsia="Times New Roman" w:hAnsi="Bookman Old Style" w:cs="Calibri"/>
                <w:color w:val="000000"/>
              </w:rPr>
              <w:t xml:space="preserve">Less:  Deduction u/s 33AB-Leaset of the following    </w:t>
            </w:r>
          </w:p>
        </w:tc>
        <w:tc>
          <w:tcPr>
            <w:tcW w:w="900" w:type="dxa"/>
            <w:tcBorders>
              <w:top w:val="nil"/>
              <w:left w:val="nil"/>
              <w:bottom w:val="nil"/>
              <w:right w:val="single" w:sz="4" w:space="0" w:color="000000"/>
            </w:tcBorders>
            <w:shd w:val="clear" w:color="auto" w:fill="auto"/>
            <w:noWrap/>
            <w:vAlign w:val="bottom"/>
            <w:hideMark/>
          </w:tcPr>
          <w:p w:rsidR="008513A4" w:rsidRPr="008513A4" w:rsidRDefault="008513A4" w:rsidP="008513A4">
            <w:pPr>
              <w:spacing w:after="0" w:line="240" w:lineRule="auto"/>
              <w:jc w:val="right"/>
              <w:rPr>
                <w:rFonts w:ascii="Bookman Old Style" w:eastAsia="Times New Roman" w:hAnsi="Bookman Old Style" w:cs="Calibri"/>
                <w:color w:val="000000"/>
              </w:rPr>
            </w:pPr>
            <w:r w:rsidRPr="008513A4">
              <w:rPr>
                <w:rFonts w:ascii="Bookman Old Style" w:eastAsia="Times New Roman" w:hAnsi="Bookman Old Style" w:cs="Calibri"/>
                <w:color w:val="000000"/>
              </w:rPr>
              <w:t> </w:t>
            </w:r>
          </w:p>
        </w:tc>
        <w:tc>
          <w:tcPr>
            <w:tcW w:w="900" w:type="dxa"/>
            <w:tcBorders>
              <w:top w:val="nil"/>
              <w:left w:val="nil"/>
              <w:bottom w:val="nil"/>
              <w:right w:val="double" w:sz="6" w:space="0" w:color="000000"/>
            </w:tcBorders>
            <w:shd w:val="clear" w:color="auto" w:fill="auto"/>
            <w:noWrap/>
            <w:vAlign w:val="bottom"/>
            <w:hideMark/>
          </w:tcPr>
          <w:p w:rsidR="008513A4" w:rsidRPr="008513A4" w:rsidRDefault="008513A4" w:rsidP="008513A4">
            <w:pPr>
              <w:spacing w:after="0" w:line="240" w:lineRule="auto"/>
              <w:jc w:val="right"/>
              <w:rPr>
                <w:rFonts w:ascii="Bookman Old Style" w:eastAsia="Times New Roman" w:hAnsi="Bookman Old Style" w:cs="Calibri"/>
                <w:color w:val="000000"/>
              </w:rPr>
            </w:pPr>
            <w:r w:rsidRPr="008513A4">
              <w:rPr>
                <w:rFonts w:ascii="Bookman Old Style" w:eastAsia="Times New Roman" w:hAnsi="Bookman Old Style" w:cs="Calibri"/>
                <w:color w:val="000000"/>
              </w:rPr>
              <w:t> </w:t>
            </w:r>
          </w:p>
        </w:tc>
      </w:tr>
      <w:tr w:rsidR="008513A4" w:rsidRPr="008513A4" w:rsidTr="001A6060">
        <w:trPr>
          <w:trHeight w:val="300"/>
        </w:trPr>
        <w:tc>
          <w:tcPr>
            <w:tcW w:w="7943" w:type="dxa"/>
            <w:tcBorders>
              <w:top w:val="nil"/>
              <w:left w:val="double" w:sz="6" w:space="0" w:color="000000"/>
              <w:bottom w:val="nil"/>
              <w:right w:val="single" w:sz="4" w:space="0" w:color="000000"/>
            </w:tcBorders>
            <w:shd w:val="clear" w:color="auto" w:fill="auto"/>
            <w:noWrap/>
            <w:vAlign w:val="bottom"/>
            <w:hideMark/>
          </w:tcPr>
          <w:p w:rsidR="008513A4" w:rsidRPr="008513A4" w:rsidRDefault="008513A4" w:rsidP="008513A4">
            <w:pPr>
              <w:spacing w:after="0" w:line="240" w:lineRule="auto"/>
              <w:rPr>
                <w:rFonts w:ascii="Bookman Old Style" w:eastAsia="Times New Roman" w:hAnsi="Bookman Old Style" w:cs="Calibri"/>
                <w:color w:val="000000"/>
              </w:rPr>
            </w:pPr>
            <w:r w:rsidRPr="008513A4">
              <w:rPr>
                <w:rFonts w:ascii="Bookman Old Style" w:eastAsia="Times New Roman" w:hAnsi="Bookman Old Style" w:cs="Calibri"/>
                <w:color w:val="000000"/>
              </w:rPr>
              <w:t xml:space="preserve">          (a) 40% of the profit of the business</w:t>
            </w:r>
          </w:p>
        </w:tc>
        <w:tc>
          <w:tcPr>
            <w:tcW w:w="900" w:type="dxa"/>
            <w:tcBorders>
              <w:top w:val="nil"/>
              <w:left w:val="nil"/>
              <w:bottom w:val="nil"/>
              <w:right w:val="single" w:sz="4" w:space="0" w:color="000000"/>
            </w:tcBorders>
            <w:shd w:val="clear" w:color="auto" w:fill="auto"/>
            <w:noWrap/>
            <w:vAlign w:val="bottom"/>
            <w:hideMark/>
          </w:tcPr>
          <w:p w:rsidR="008513A4" w:rsidRPr="008513A4" w:rsidRDefault="008513A4" w:rsidP="008513A4">
            <w:pPr>
              <w:spacing w:after="0" w:line="240" w:lineRule="auto"/>
              <w:jc w:val="right"/>
              <w:rPr>
                <w:rFonts w:ascii="Bookman Old Style" w:eastAsia="Times New Roman" w:hAnsi="Bookman Old Style" w:cs="Calibri"/>
                <w:color w:val="000000"/>
              </w:rPr>
            </w:pPr>
            <w:r w:rsidRPr="008513A4">
              <w:rPr>
                <w:rFonts w:ascii="Bookman Old Style" w:eastAsia="Times New Roman" w:hAnsi="Bookman Old Style" w:cs="Calibri"/>
                <w:color w:val="000000"/>
              </w:rPr>
              <w:t>***</w:t>
            </w:r>
          </w:p>
        </w:tc>
        <w:tc>
          <w:tcPr>
            <w:tcW w:w="900" w:type="dxa"/>
            <w:tcBorders>
              <w:top w:val="nil"/>
              <w:left w:val="nil"/>
              <w:bottom w:val="nil"/>
              <w:right w:val="double" w:sz="6" w:space="0" w:color="000000"/>
            </w:tcBorders>
            <w:shd w:val="clear" w:color="auto" w:fill="auto"/>
            <w:noWrap/>
            <w:vAlign w:val="bottom"/>
            <w:hideMark/>
          </w:tcPr>
          <w:p w:rsidR="008513A4" w:rsidRPr="008513A4" w:rsidRDefault="008513A4" w:rsidP="008513A4">
            <w:pPr>
              <w:spacing w:after="0" w:line="240" w:lineRule="auto"/>
              <w:jc w:val="right"/>
              <w:rPr>
                <w:rFonts w:ascii="Bookman Old Style" w:eastAsia="Times New Roman" w:hAnsi="Bookman Old Style" w:cs="Calibri"/>
                <w:color w:val="000000"/>
              </w:rPr>
            </w:pPr>
            <w:r w:rsidRPr="008513A4">
              <w:rPr>
                <w:rFonts w:ascii="Bookman Old Style" w:eastAsia="Times New Roman" w:hAnsi="Bookman Old Style" w:cs="Calibri"/>
                <w:color w:val="000000"/>
              </w:rPr>
              <w:t> </w:t>
            </w:r>
          </w:p>
        </w:tc>
      </w:tr>
      <w:tr w:rsidR="008513A4" w:rsidRPr="008513A4" w:rsidTr="001A6060">
        <w:trPr>
          <w:trHeight w:val="300"/>
        </w:trPr>
        <w:tc>
          <w:tcPr>
            <w:tcW w:w="7943" w:type="dxa"/>
            <w:tcBorders>
              <w:top w:val="nil"/>
              <w:left w:val="double" w:sz="6" w:space="0" w:color="000000"/>
              <w:bottom w:val="single" w:sz="4" w:space="0" w:color="000000"/>
              <w:right w:val="single" w:sz="4" w:space="0" w:color="000000"/>
            </w:tcBorders>
            <w:shd w:val="clear" w:color="auto" w:fill="auto"/>
            <w:noWrap/>
            <w:vAlign w:val="bottom"/>
            <w:hideMark/>
          </w:tcPr>
          <w:p w:rsidR="008513A4" w:rsidRPr="008513A4" w:rsidRDefault="008513A4" w:rsidP="008513A4">
            <w:pPr>
              <w:spacing w:after="0" w:line="240" w:lineRule="auto"/>
              <w:rPr>
                <w:rFonts w:ascii="Bookman Old Style" w:eastAsia="Times New Roman" w:hAnsi="Bookman Old Style" w:cs="Calibri"/>
                <w:color w:val="000000"/>
              </w:rPr>
            </w:pPr>
            <w:r w:rsidRPr="008513A4">
              <w:rPr>
                <w:rFonts w:ascii="Bookman Old Style" w:eastAsia="Times New Roman" w:hAnsi="Bookman Old Style" w:cs="Calibri"/>
                <w:color w:val="000000"/>
              </w:rPr>
              <w:t xml:space="preserve">          (b) Amount deposited in the deposit account before due date    </w:t>
            </w:r>
          </w:p>
        </w:tc>
        <w:tc>
          <w:tcPr>
            <w:tcW w:w="900" w:type="dxa"/>
            <w:tcBorders>
              <w:top w:val="nil"/>
              <w:left w:val="nil"/>
              <w:bottom w:val="nil"/>
              <w:right w:val="single" w:sz="4" w:space="0" w:color="000000"/>
            </w:tcBorders>
            <w:shd w:val="clear" w:color="auto" w:fill="auto"/>
            <w:noWrap/>
            <w:vAlign w:val="bottom"/>
            <w:hideMark/>
          </w:tcPr>
          <w:p w:rsidR="008513A4" w:rsidRPr="008513A4" w:rsidRDefault="008513A4" w:rsidP="008513A4">
            <w:pPr>
              <w:spacing w:after="0" w:line="240" w:lineRule="auto"/>
              <w:jc w:val="right"/>
              <w:rPr>
                <w:rFonts w:ascii="Bookman Old Style" w:eastAsia="Times New Roman" w:hAnsi="Bookman Old Style" w:cs="Calibri"/>
                <w:color w:val="000000"/>
              </w:rPr>
            </w:pPr>
            <w:r w:rsidRPr="008513A4">
              <w:rPr>
                <w:rFonts w:ascii="Bookman Old Style" w:eastAsia="Times New Roman" w:hAnsi="Bookman Old Style" w:cs="Calibri"/>
                <w:color w:val="000000"/>
              </w:rPr>
              <w:t>***</w:t>
            </w:r>
          </w:p>
        </w:tc>
        <w:tc>
          <w:tcPr>
            <w:tcW w:w="900" w:type="dxa"/>
            <w:tcBorders>
              <w:top w:val="nil"/>
              <w:left w:val="nil"/>
              <w:bottom w:val="nil"/>
              <w:right w:val="double" w:sz="6" w:space="0" w:color="000000"/>
            </w:tcBorders>
            <w:shd w:val="clear" w:color="auto" w:fill="auto"/>
            <w:noWrap/>
            <w:vAlign w:val="bottom"/>
            <w:hideMark/>
          </w:tcPr>
          <w:p w:rsidR="008513A4" w:rsidRPr="008513A4" w:rsidRDefault="008513A4" w:rsidP="008513A4">
            <w:pPr>
              <w:spacing w:after="0" w:line="240" w:lineRule="auto"/>
              <w:jc w:val="right"/>
              <w:rPr>
                <w:rFonts w:ascii="Bookman Old Style" w:eastAsia="Times New Roman" w:hAnsi="Bookman Old Style" w:cs="Calibri"/>
                <w:color w:val="000000"/>
              </w:rPr>
            </w:pPr>
            <w:r w:rsidRPr="008513A4">
              <w:rPr>
                <w:rFonts w:ascii="Bookman Old Style" w:eastAsia="Times New Roman" w:hAnsi="Bookman Old Style" w:cs="Calibri"/>
                <w:color w:val="000000"/>
              </w:rPr>
              <w:t>(***)</w:t>
            </w:r>
          </w:p>
        </w:tc>
      </w:tr>
      <w:tr w:rsidR="008513A4" w:rsidRPr="008513A4" w:rsidTr="001A6060">
        <w:trPr>
          <w:trHeight w:val="300"/>
        </w:trPr>
        <w:tc>
          <w:tcPr>
            <w:tcW w:w="7943" w:type="dxa"/>
            <w:tcBorders>
              <w:top w:val="single" w:sz="4" w:space="0" w:color="000000"/>
              <w:left w:val="double" w:sz="6" w:space="0" w:color="000000"/>
              <w:bottom w:val="single" w:sz="4" w:space="0" w:color="000000"/>
              <w:right w:val="single" w:sz="4" w:space="0" w:color="000000"/>
            </w:tcBorders>
            <w:shd w:val="clear" w:color="auto" w:fill="auto"/>
            <w:noWrap/>
            <w:vAlign w:val="bottom"/>
            <w:hideMark/>
          </w:tcPr>
          <w:p w:rsidR="008513A4" w:rsidRPr="008513A4" w:rsidRDefault="008513A4" w:rsidP="008513A4">
            <w:pPr>
              <w:spacing w:after="0" w:line="240" w:lineRule="auto"/>
              <w:rPr>
                <w:rFonts w:ascii="Bookman Old Style" w:eastAsia="Times New Roman" w:hAnsi="Bookman Old Style" w:cs="Calibri"/>
                <w:color w:val="000000"/>
              </w:rPr>
            </w:pPr>
            <w:r w:rsidRPr="008513A4">
              <w:rPr>
                <w:rFonts w:ascii="Bookman Old Style" w:eastAsia="Times New Roman" w:hAnsi="Bookman Old Style" w:cs="Calibri"/>
                <w:color w:val="000000"/>
              </w:rPr>
              <w:t>Profit of the business</w:t>
            </w:r>
          </w:p>
        </w:tc>
        <w:tc>
          <w:tcPr>
            <w:tcW w:w="900" w:type="dxa"/>
            <w:tcBorders>
              <w:top w:val="single" w:sz="4" w:space="0" w:color="000000"/>
              <w:left w:val="nil"/>
              <w:bottom w:val="single" w:sz="4" w:space="0" w:color="000000"/>
              <w:right w:val="single" w:sz="4" w:space="0" w:color="000000"/>
            </w:tcBorders>
            <w:shd w:val="clear" w:color="auto" w:fill="auto"/>
            <w:noWrap/>
            <w:vAlign w:val="bottom"/>
            <w:hideMark/>
          </w:tcPr>
          <w:p w:rsidR="008513A4" w:rsidRPr="008513A4" w:rsidRDefault="008513A4" w:rsidP="008513A4">
            <w:pPr>
              <w:spacing w:after="0" w:line="240" w:lineRule="auto"/>
              <w:jc w:val="right"/>
              <w:rPr>
                <w:rFonts w:ascii="Bookman Old Style" w:eastAsia="Times New Roman" w:hAnsi="Bookman Old Style" w:cs="Calibri"/>
                <w:color w:val="000000"/>
              </w:rPr>
            </w:pPr>
            <w:r w:rsidRPr="008513A4">
              <w:rPr>
                <w:rFonts w:ascii="Bookman Old Style" w:eastAsia="Times New Roman" w:hAnsi="Bookman Old Style" w:cs="Calibri"/>
                <w:color w:val="000000"/>
              </w:rPr>
              <w:t> </w:t>
            </w:r>
          </w:p>
        </w:tc>
        <w:tc>
          <w:tcPr>
            <w:tcW w:w="900" w:type="dxa"/>
            <w:tcBorders>
              <w:top w:val="single" w:sz="4" w:space="0" w:color="000000"/>
              <w:left w:val="nil"/>
              <w:bottom w:val="single" w:sz="4" w:space="0" w:color="000000"/>
              <w:right w:val="double" w:sz="6" w:space="0" w:color="000000"/>
            </w:tcBorders>
            <w:shd w:val="clear" w:color="auto" w:fill="auto"/>
            <w:noWrap/>
            <w:vAlign w:val="bottom"/>
            <w:hideMark/>
          </w:tcPr>
          <w:p w:rsidR="008513A4" w:rsidRPr="008513A4" w:rsidRDefault="008513A4" w:rsidP="008513A4">
            <w:pPr>
              <w:spacing w:after="0" w:line="240" w:lineRule="auto"/>
              <w:jc w:val="right"/>
              <w:rPr>
                <w:rFonts w:ascii="Bookman Old Style" w:eastAsia="Times New Roman" w:hAnsi="Bookman Old Style" w:cs="Calibri"/>
                <w:b/>
                <w:bCs/>
                <w:color w:val="000000"/>
              </w:rPr>
            </w:pPr>
            <w:r w:rsidRPr="008513A4">
              <w:rPr>
                <w:rFonts w:ascii="Bookman Old Style" w:eastAsia="Times New Roman" w:hAnsi="Bookman Old Style" w:cs="Calibri"/>
                <w:b/>
                <w:bCs/>
                <w:color w:val="000000"/>
              </w:rPr>
              <w:t>***</w:t>
            </w:r>
          </w:p>
        </w:tc>
      </w:tr>
      <w:tr w:rsidR="008513A4" w:rsidRPr="008513A4" w:rsidTr="001A6060">
        <w:trPr>
          <w:trHeight w:val="300"/>
        </w:trPr>
        <w:tc>
          <w:tcPr>
            <w:tcW w:w="7943" w:type="dxa"/>
            <w:tcBorders>
              <w:top w:val="single" w:sz="4" w:space="0" w:color="000000"/>
              <w:left w:val="double" w:sz="6" w:space="0" w:color="000000"/>
              <w:bottom w:val="nil"/>
              <w:right w:val="single" w:sz="4" w:space="0" w:color="000000"/>
            </w:tcBorders>
            <w:shd w:val="clear" w:color="auto" w:fill="auto"/>
            <w:noWrap/>
            <w:vAlign w:val="bottom"/>
            <w:hideMark/>
          </w:tcPr>
          <w:p w:rsidR="008513A4" w:rsidRPr="008513A4" w:rsidRDefault="008513A4" w:rsidP="008513A4">
            <w:pPr>
              <w:spacing w:after="0" w:line="240" w:lineRule="auto"/>
              <w:rPr>
                <w:rFonts w:ascii="Bookman Old Style" w:eastAsia="Times New Roman" w:hAnsi="Bookman Old Style" w:cs="Calibri"/>
                <w:color w:val="000000"/>
              </w:rPr>
            </w:pPr>
            <w:r w:rsidRPr="008513A4">
              <w:rPr>
                <w:rFonts w:ascii="Bookman Old Style" w:eastAsia="Times New Roman" w:hAnsi="Bookman Old Style" w:cs="Calibri"/>
                <w:color w:val="000000"/>
              </w:rPr>
              <w:t>Apply rule 7A/ 7B 8 on the  above profit of the business as follows</w:t>
            </w:r>
          </w:p>
        </w:tc>
        <w:tc>
          <w:tcPr>
            <w:tcW w:w="900" w:type="dxa"/>
            <w:tcBorders>
              <w:top w:val="nil"/>
              <w:left w:val="nil"/>
              <w:bottom w:val="nil"/>
              <w:right w:val="single" w:sz="4" w:space="0" w:color="000000"/>
            </w:tcBorders>
            <w:shd w:val="clear" w:color="auto" w:fill="auto"/>
            <w:noWrap/>
            <w:vAlign w:val="bottom"/>
            <w:hideMark/>
          </w:tcPr>
          <w:p w:rsidR="008513A4" w:rsidRPr="008513A4" w:rsidRDefault="008513A4" w:rsidP="008513A4">
            <w:pPr>
              <w:spacing w:after="0" w:line="240" w:lineRule="auto"/>
              <w:jc w:val="right"/>
              <w:rPr>
                <w:rFonts w:ascii="Bookman Old Style" w:eastAsia="Times New Roman" w:hAnsi="Bookman Old Style" w:cs="Calibri"/>
                <w:color w:val="000000"/>
              </w:rPr>
            </w:pPr>
            <w:r w:rsidRPr="008513A4">
              <w:rPr>
                <w:rFonts w:ascii="Bookman Old Style" w:eastAsia="Times New Roman" w:hAnsi="Bookman Old Style" w:cs="Calibri"/>
                <w:color w:val="000000"/>
              </w:rPr>
              <w:t> </w:t>
            </w:r>
          </w:p>
        </w:tc>
        <w:tc>
          <w:tcPr>
            <w:tcW w:w="900" w:type="dxa"/>
            <w:tcBorders>
              <w:top w:val="nil"/>
              <w:left w:val="nil"/>
              <w:bottom w:val="nil"/>
              <w:right w:val="double" w:sz="6" w:space="0" w:color="000000"/>
            </w:tcBorders>
            <w:shd w:val="clear" w:color="auto" w:fill="auto"/>
            <w:noWrap/>
            <w:vAlign w:val="bottom"/>
            <w:hideMark/>
          </w:tcPr>
          <w:p w:rsidR="008513A4" w:rsidRPr="008513A4" w:rsidRDefault="008513A4" w:rsidP="008513A4">
            <w:pPr>
              <w:spacing w:after="0" w:line="240" w:lineRule="auto"/>
              <w:jc w:val="right"/>
              <w:rPr>
                <w:rFonts w:ascii="Bookman Old Style" w:eastAsia="Times New Roman" w:hAnsi="Bookman Old Style" w:cs="Calibri"/>
                <w:color w:val="000000"/>
              </w:rPr>
            </w:pPr>
            <w:r w:rsidRPr="008513A4">
              <w:rPr>
                <w:rFonts w:ascii="Bookman Old Style" w:eastAsia="Times New Roman" w:hAnsi="Bookman Old Style" w:cs="Calibri"/>
                <w:color w:val="000000"/>
              </w:rPr>
              <w:t> </w:t>
            </w:r>
          </w:p>
        </w:tc>
      </w:tr>
      <w:tr w:rsidR="008513A4" w:rsidRPr="008513A4" w:rsidTr="001A6060">
        <w:trPr>
          <w:trHeight w:val="300"/>
        </w:trPr>
        <w:tc>
          <w:tcPr>
            <w:tcW w:w="7943" w:type="dxa"/>
            <w:tcBorders>
              <w:top w:val="nil"/>
              <w:left w:val="double" w:sz="6" w:space="0" w:color="000000"/>
              <w:bottom w:val="nil"/>
              <w:right w:val="single" w:sz="4" w:space="0" w:color="000000"/>
            </w:tcBorders>
            <w:shd w:val="clear" w:color="auto" w:fill="auto"/>
            <w:noWrap/>
            <w:vAlign w:val="bottom"/>
            <w:hideMark/>
          </w:tcPr>
          <w:p w:rsidR="008513A4" w:rsidRPr="008513A4" w:rsidRDefault="008513A4" w:rsidP="008513A4">
            <w:pPr>
              <w:spacing w:after="0" w:line="240" w:lineRule="auto"/>
              <w:rPr>
                <w:rFonts w:ascii="Bookman Old Style" w:eastAsia="Times New Roman" w:hAnsi="Bookman Old Style" w:cs="Calibri"/>
                <w:color w:val="000000"/>
              </w:rPr>
            </w:pPr>
            <w:r w:rsidRPr="008513A4">
              <w:rPr>
                <w:rFonts w:ascii="Bookman Old Style" w:eastAsia="Times New Roman" w:hAnsi="Bookman Old Style" w:cs="Calibri"/>
                <w:color w:val="000000"/>
              </w:rPr>
              <w:t>Agricultural income (65%/ 75%/ 60% of the profit) as applicable</w:t>
            </w:r>
          </w:p>
        </w:tc>
        <w:tc>
          <w:tcPr>
            <w:tcW w:w="900" w:type="dxa"/>
            <w:tcBorders>
              <w:top w:val="nil"/>
              <w:left w:val="nil"/>
              <w:bottom w:val="nil"/>
              <w:right w:val="single" w:sz="4" w:space="0" w:color="000000"/>
            </w:tcBorders>
            <w:shd w:val="clear" w:color="auto" w:fill="auto"/>
            <w:noWrap/>
            <w:vAlign w:val="bottom"/>
            <w:hideMark/>
          </w:tcPr>
          <w:p w:rsidR="008513A4" w:rsidRPr="008513A4" w:rsidRDefault="008513A4" w:rsidP="008513A4">
            <w:pPr>
              <w:spacing w:after="0" w:line="240" w:lineRule="auto"/>
              <w:jc w:val="right"/>
              <w:rPr>
                <w:rFonts w:ascii="Bookman Old Style" w:eastAsia="Times New Roman" w:hAnsi="Bookman Old Style" w:cs="Calibri"/>
                <w:color w:val="000000"/>
              </w:rPr>
            </w:pPr>
            <w:r w:rsidRPr="008513A4">
              <w:rPr>
                <w:rFonts w:ascii="Bookman Old Style" w:eastAsia="Times New Roman" w:hAnsi="Bookman Old Style" w:cs="Calibri"/>
                <w:color w:val="000000"/>
              </w:rPr>
              <w:t> </w:t>
            </w:r>
          </w:p>
        </w:tc>
        <w:tc>
          <w:tcPr>
            <w:tcW w:w="900" w:type="dxa"/>
            <w:tcBorders>
              <w:top w:val="nil"/>
              <w:left w:val="nil"/>
              <w:bottom w:val="nil"/>
              <w:right w:val="double" w:sz="6" w:space="0" w:color="000000"/>
            </w:tcBorders>
            <w:shd w:val="clear" w:color="auto" w:fill="auto"/>
            <w:noWrap/>
            <w:vAlign w:val="bottom"/>
            <w:hideMark/>
          </w:tcPr>
          <w:p w:rsidR="008513A4" w:rsidRPr="008513A4" w:rsidRDefault="008513A4" w:rsidP="008513A4">
            <w:pPr>
              <w:spacing w:after="0" w:line="240" w:lineRule="auto"/>
              <w:jc w:val="right"/>
              <w:rPr>
                <w:rFonts w:ascii="Bookman Old Style" w:eastAsia="Times New Roman" w:hAnsi="Bookman Old Style" w:cs="Calibri"/>
                <w:color w:val="000000"/>
              </w:rPr>
            </w:pPr>
            <w:r w:rsidRPr="008513A4">
              <w:rPr>
                <w:rFonts w:ascii="Bookman Old Style" w:eastAsia="Times New Roman" w:hAnsi="Bookman Old Style" w:cs="Calibri"/>
                <w:color w:val="000000"/>
              </w:rPr>
              <w:t>***</w:t>
            </w:r>
          </w:p>
        </w:tc>
      </w:tr>
      <w:tr w:rsidR="008513A4" w:rsidRPr="008513A4" w:rsidTr="001A6060">
        <w:trPr>
          <w:trHeight w:val="315"/>
        </w:trPr>
        <w:tc>
          <w:tcPr>
            <w:tcW w:w="7943" w:type="dxa"/>
            <w:tcBorders>
              <w:top w:val="nil"/>
              <w:left w:val="double" w:sz="6" w:space="0" w:color="000000"/>
              <w:bottom w:val="double" w:sz="6" w:space="0" w:color="000000"/>
              <w:right w:val="single" w:sz="4" w:space="0" w:color="000000"/>
            </w:tcBorders>
            <w:shd w:val="clear" w:color="auto" w:fill="auto"/>
            <w:noWrap/>
            <w:vAlign w:val="bottom"/>
            <w:hideMark/>
          </w:tcPr>
          <w:p w:rsidR="008513A4" w:rsidRPr="008513A4" w:rsidRDefault="008513A4" w:rsidP="008513A4">
            <w:pPr>
              <w:spacing w:after="0" w:line="240" w:lineRule="auto"/>
              <w:rPr>
                <w:rFonts w:ascii="Bookman Old Style" w:eastAsia="Times New Roman" w:hAnsi="Bookman Old Style" w:cs="Calibri"/>
                <w:color w:val="000000"/>
              </w:rPr>
            </w:pPr>
            <w:r w:rsidRPr="008513A4">
              <w:rPr>
                <w:rFonts w:ascii="Bookman Old Style" w:eastAsia="Times New Roman" w:hAnsi="Bookman Old Style" w:cs="Calibri"/>
                <w:color w:val="000000"/>
              </w:rPr>
              <w:t>Business income (35%/ 25%/ 40%/ of profit of business)</w:t>
            </w:r>
          </w:p>
        </w:tc>
        <w:tc>
          <w:tcPr>
            <w:tcW w:w="900" w:type="dxa"/>
            <w:tcBorders>
              <w:top w:val="nil"/>
              <w:left w:val="nil"/>
              <w:bottom w:val="double" w:sz="6" w:space="0" w:color="000000"/>
              <w:right w:val="single" w:sz="4" w:space="0" w:color="000000"/>
            </w:tcBorders>
            <w:shd w:val="clear" w:color="auto" w:fill="auto"/>
            <w:noWrap/>
            <w:vAlign w:val="bottom"/>
            <w:hideMark/>
          </w:tcPr>
          <w:p w:rsidR="008513A4" w:rsidRPr="008513A4" w:rsidRDefault="008513A4" w:rsidP="008513A4">
            <w:pPr>
              <w:spacing w:after="0" w:line="240" w:lineRule="auto"/>
              <w:jc w:val="right"/>
              <w:rPr>
                <w:rFonts w:ascii="Bookman Old Style" w:eastAsia="Times New Roman" w:hAnsi="Bookman Old Style" w:cs="Calibri"/>
                <w:color w:val="000000"/>
              </w:rPr>
            </w:pPr>
            <w:r w:rsidRPr="008513A4">
              <w:rPr>
                <w:rFonts w:ascii="Bookman Old Style" w:eastAsia="Times New Roman" w:hAnsi="Bookman Old Style" w:cs="Calibri"/>
                <w:color w:val="000000"/>
              </w:rPr>
              <w:t> </w:t>
            </w:r>
          </w:p>
        </w:tc>
        <w:tc>
          <w:tcPr>
            <w:tcW w:w="900" w:type="dxa"/>
            <w:tcBorders>
              <w:top w:val="nil"/>
              <w:left w:val="nil"/>
              <w:bottom w:val="double" w:sz="6" w:space="0" w:color="000000"/>
              <w:right w:val="double" w:sz="6" w:space="0" w:color="000000"/>
            </w:tcBorders>
            <w:shd w:val="clear" w:color="auto" w:fill="auto"/>
            <w:noWrap/>
            <w:vAlign w:val="bottom"/>
            <w:hideMark/>
          </w:tcPr>
          <w:p w:rsidR="008513A4" w:rsidRPr="008513A4" w:rsidRDefault="008513A4" w:rsidP="008513A4">
            <w:pPr>
              <w:spacing w:after="0" w:line="240" w:lineRule="auto"/>
              <w:jc w:val="right"/>
              <w:rPr>
                <w:rFonts w:ascii="Bookman Old Style" w:eastAsia="Times New Roman" w:hAnsi="Bookman Old Style" w:cs="Calibri"/>
                <w:b/>
                <w:bCs/>
                <w:color w:val="000000"/>
              </w:rPr>
            </w:pPr>
            <w:r w:rsidRPr="008513A4">
              <w:rPr>
                <w:rFonts w:ascii="Bookman Old Style" w:eastAsia="Times New Roman" w:hAnsi="Bookman Old Style" w:cs="Calibri"/>
                <w:b/>
                <w:bCs/>
                <w:color w:val="000000"/>
              </w:rPr>
              <w:t>***</w:t>
            </w:r>
          </w:p>
        </w:tc>
      </w:tr>
    </w:tbl>
    <w:p w:rsidR="008513A4" w:rsidRPr="008513A4" w:rsidRDefault="008513A4">
      <w:pPr>
        <w:rPr>
          <w:rFonts w:ascii="Bookman Old Style" w:hAnsi="Bookman Old Style"/>
          <w:b/>
          <w:u w:val="single"/>
        </w:rPr>
      </w:pPr>
    </w:p>
    <w:sectPr w:rsidR="008513A4" w:rsidRPr="008513A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F75BE" w:rsidRDefault="00BF75BE" w:rsidP="00BF75BE">
      <w:pPr>
        <w:spacing w:after="0" w:line="240" w:lineRule="auto"/>
      </w:pPr>
      <w:r>
        <w:separator/>
      </w:r>
    </w:p>
  </w:endnote>
  <w:endnote w:type="continuationSeparator" w:id="0">
    <w:p w:rsidR="00BF75BE" w:rsidRDefault="00BF75BE" w:rsidP="00BF75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Bookman Old Style">
    <w:panose1 w:val="02050604050505020204"/>
    <w:charset w:val="00"/>
    <w:family w:val="roman"/>
    <w:pitch w:val="variable"/>
    <w:sig w:usb0="00000287" w:usb1="00000000" w:usb2="00000000" w:usb3="00000000" w:csb0="0000009F" w:csb1="00000000"/>
  </w:font>
  <w:font w:name="AsterV">
    <w:altName w:val="Times New Roman"/>
    <w:charset w:val="00"/>
    <w:family w:val="auto"/>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F75BE" w:rsidRDefault="00BF75BE" w:rsidP="00BF75BE">
      <w:pPr>
        <w:spacing w:after="0" w:line="240" w:lineRule="auto"/>
      </w:pPr>
      <w:r>
        <w:separator/>
      </w:r>
    </w:p>
  </w:footnote>
  <w:footnote w:type="continuationSeparator" w:id="0">
    <w:p w:rsidR="00BF75BE" w:rsidRDefault="00BF75BE" w:rsidP="00BF75B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3F41E6"/>
    <w:multiLevelType w:val="hybridMultilevel"/>
    <w:tmpl w:val="17209C12"/>
    <w:lvl w:ilvl="0" w:tplc="2AF08EA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B134ADC"/>
    <w:multiLevelType w:val="hybridMultilevel"/>
    <w:tmpl w:val="0BE2223E"/>
    <w:lvl w:ilvl="0" w:tplc="BE6CDA08">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13A4"/>
    <w:rsid w:val="000232CA"/>
    <w:rsid w:val="001A6060"/>
    <w:rsid w:val="002818F0"/>
    <w:rsid w:val="008513A4"/>
    <w:rsid w:val="00BF75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8513A4"/>
    <w:rPr>
      <w:color w:val="0000FF"/>
      <w:u w:val="single"/>
    </w:rPr>
  </w:style>
  <w:style w:type="paragraph" w:styleId="ListParagraph">
    <w:name w:val="List Paragraph"/>
    <w:basedOn w:val="Normal"/>
    <w:uiPriority w:val="34"/>
    <w:qFormat/>
    <w:rsid w:val="008513A4"/>
    <w:pPr>
      <w:ind w:left="720"/>
      <w:contextualSpacing/>
    </w:pPr>
  </w:style>
  <w:style w:type="paragraph" w:styleId="Header">
    <w:name w:val="header"/>
    <w:basedOn w:val="Normal"/>
    <w:link w:val="HeaderChar"/>
    <w:uiPriority w:val="99"/>
    <w:unhideWhenUsed/>
    <w:rsid w:val="00BF75BE"/>
    <w:pPr>
      <w:tabs>
        <w:tab w:val="center" w:pos="4680"/>
        <w:tab w:val="right" w:pos="9360"/>
      </w:tabs>
      <w:spacing w:after="0" w:line="240" w:lineRule="auto"/>
    </w:pPr>
  </w:style>
  <w:style w:type="character" w:customStyle="1" w:styleId="HeaderChar">
    <w:name w:val="Header Char"/>
    <w:basedOn w:val="DefaultParagraphFont"/>
    <w:link w:val="Header"/>
    <w:uiPriority w:val="99"/>
    <w:rsid w:val="00BF75BE"/>
  </w:style>
  <w:style w:type="paragraph" w:styleId="Footer">
    <w:name w:val="footer"/>
    <w:basedOn w:val="Normal"/>
    <w:link w:val="FooterChar"/>
    <w:uiPriority w:val="99"/>
    <w:unhideWhenUsed/>
    <w:rsid w:val="00BF75BE"/>
    <w:pPr>
      <w:tabs>
        <w:tab w:val="center" w:pos="4680"/>
        <w:tab w:val="right" w:pos="9360"/>
      </w:tabs>
      <w:spacing w:after="0" w:line="240" w:lineRule="auto"/>
    </w:pPr>
  </w:style>
  <w:style w:type="character" w:customStyle="1" w:styleId="FooterChar">
    <w:name w:val="Footer Char"/>
    <w:basedOn w:val="DefaultParagraphFont"/>
    <w:link w:val="Footer"/>
    <w:uiPriority w:val="99"/>
    <w:rsid w:val="00BF75B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8513A4"/>
    <w:rPr>
      <w:color w:val="0000FF"/>
      <w:u w:val="single"/>
    </w:rPr>
  </w:style>
  <w:style w:type="paragraph" w:styleId="ListParagraph">
    <w:name w:val="List Paragraph"/>
    <w:basedOn w:val="Normal"/>
    <w:uiPriority w:val="34"/>
    <w:qFormat/>
    <w:rsid w:val="008513A4"/>
    <w:pPr>
      <w:ind w:left="720"/>
      <w:contextualSpacing/>
    </w:pPr>
  </w:style>
  <w:style w:type="paragraph" w:styleId="Header">
    <w:name w:val="header"/>
    <w:basedOn w:val="Normal"/>
    <w:link w:val="HeaderChar"/>
    <w:uiPriority w:val="99"/>
    <w:unhideWhenUsed/>
    <w:rsid w:val="00BF75BE"/>
    <w:pPr>
      <w:tabs>
        <w:tab w:val="center" w:pos="4680"/>
        <w:tab w:val="right" w:pos="9360"/>
      </w:tabs>
      <w:spacing w:after="0" w:line="240" w:lineRule="auto"/>
    </w:pPr>
  </w:style>
  <w:style w:type="character" w:customStyle="1" w:styleId="HeaderChar">
    <w:name w:val="Header Char"/>
    <w:basedOn w:val="DefaultParagraphFont"/>
    <w:link w:val="Header"/>
    <w:uiPriority w:val="99"/>
    <w:rsid w:val="00BF75BE"/>
  </w:style>
  <w:style w:type="paragraph" w:styleId="Footer">
    <w:name w:val="footer"/>
    <w:basedOn w:val="Normal"/>
    <w:link w:val="FooterChar"/>
    <w:uiPriority w:val="99"/>
    <w:unhideWhenUsed/>
    <w:rsid w:val="00BF75BE"/>
    <w:pPr>
      <w:tabs>
        <w:tab w:val="center" w:pos="4680"/>
        <w:tab w:val="right" w:pos="9360"/>
      </w:tabs>
      <w:spacing w:after="0" w:line="240" w:lineRule="auto"/>
    </w:pPr>
  </w:style>
  <w:style w:type="character" w:customStyle="1" w:styleId="FooterChar">
    <w:name w:val="Footer Char"/>
    <w:basedOn w:val="DefaultParagraphFont"/>
    <w:link w:val="Footer"/>
    <w:uiPriority w:val="99"/>
    <w:rsid w:val="00BF75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8978800">
      <w:bodyDiv w:val="1"/>
      <w:marLeft w:val="0"/>
      <w:marRight w:val="0"/>
      <w:marTop w:val="0"/>
      <w:marBottom w:val="0"/>
      <w:divBdr>
        <w:top w:val="none" w:sz="0" w:space="0" w:color="auto"/>
        <w:left w:val="none" w:sz="0" w:space="0" w:color="auto"/>
        <w:bottom w:val="none" w:sz="0" w:space="0" w:color="auto"/>
        <w:right w:val="none" w:sz="0" w:space="0" w:color="auto"/>
      </w:divBdr>
    </w:div>
    <w:div w:id="671878894">
      <w:bodyDiv w:val="1"/>
      <w:marLeft w:val="0"/>
      <w:marRight w:val="0"/>
      <w:marTop w:val="0"/>
      <w:marBottom w:val="0"/>
      <w:divBdr>
        <w:top w:val="none" w:sz="0" w:space="0" w:color="auto"/>
        <w:left w:val="none" w:sz="0" w:space="0" w:color="auto"/>
        <w:bottom w:val="none" w:sz="0" w:space="0" w:color="auto"/>
        <w:right w:val="none" w:sz="0" w:space="0" w:color="auto"/>
      </w:divBdr>
    </w:div>
    <w:div w:id="1456027719">
      <w:bodyDiv w:val="1"/>
      <w:marLeft w:val="0"/>
      <w:marRight w:val="0"/>
      <w:marTop w:val="0"/>
      <w:marBottom w:val="0"/>
      <w:divBdr>
        <w:top w:val="none" w:sz="0" w:space="0" w:color="auto"/>
        <w:left w:val="none" w:sz="0" w:space="0" w:color="auto"/>
        <w:bottom w:val="none" w:sz="0" w:space="0" w:color="auto"/>
        <w:right w:val="none" w:sz="0" w:space="0" w:color="auto"/>
      </w:divBdr>
    </w:div>
    <w:div w:id="1470434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law.incometaxindia.gov.in/DIT/HtmlFileProcess.aspx?FooterPath=D:\WebSites\DITTaxmann\Act2010\DirectTaxLaws\ITACT\HTMLFiles\2010&amp;DFile=ftn7section33.htm&amp;tar=middle" TargetMode="External"/><Relationship Id="rId13" Type="http://schemas.openxmlformats.org/officeDocument/2006/relationships/hyperlink" Target="http://law.incometaxindia.gov.in/DIT/HtmlFileProcess.aspx?FooterPath=D:\WebSites\DITTaxmann\Act2010\DirectTaxLaws\ITACT\HTMLFiles\2010&amp;DFile=ftn10section33.htm&amp;tar=middle" TargetMode="External"/><Relationship Id="rId18" Type="http://schemas.openxmlformats.org/officeDocument/2006/relationships/hyperlink" Target="http://law.incometaxindia.gov.in/DIT/HtmlFileProcess.aspx?FooterPath=D:\WebSites\DITTaxmann\Act2010\DirectTaxLaws\ITACT\HTMLFiles\2010&amp;DFile=section288.htm&amp;tar=top" TargetMode="External"/><Relationship Id="rId26" Type="http://schemas.openxmlformats.org/officeDocument/2006/relationships/hyperlink" Target="http://law.incometaxindia.gov.in/DIT/HtmlFileProcess.aspx?FooterPath=D:\WebSites\DITTaxmann\Act2010\DirectTaxLaws\ITACT\HTMLFiles\2010&amp;DFile=ftn19section33.htm&amp;tar=middle" TargetMode="External"/><Relationship Id="rId3" Type="http://schemas.microsoft.com/office/2007/relationships/stylesWithEffects" Target="stylesWithEffects.xml"/><Relationship Id="rId21" Type="http://schemas.openxmlformats.org/officeDocument/2006/relationships/hyperlink" Target="http://law.incometaxindia.gov.in/DIT/HtmlFileProcess.aspx?FooterPath=D:\WebSites\DITTaxmann\Act2010\DirectTaxLaws\ITACT\HTMLFiles\2010&amp;DFile=ftn16section33.htm&amp;tar=middle" TargetMode="External"/><Relationship Id="rId34" Type="http://schemas.openxmlformats.org/officeDocument/2006/relationships/hyperlink" Target="http://law.incometaxindia.gov.in/DIT/HtmlFileProcess.aspx?FooterPath=D:\WebSites\DITTaxmann\Act2010\DirectTaxLaws\ITACT\HTMLFiles\2010&amp;DFile=ftn23section33.htm&amp;tar=middle" TargetMode="External"/><Relationship Id="rId7" Type="http://schemas.openxmlformats.org/officeDocument/2006/relationships/endnotes" Target="endnotes.xml"/><Relationship Id="rId12" Type="http://schemas.openxmlformats.org/officeDocument/2006/relationships/hyperlink" Target="http://law.incometaxindia.gov.in/DIT/HtmlFileProcess.aspx?FooterPath=D:\WebSites\DITTaxmann\Act2010\DirectTaxLaws\ITACT\HTMLFiles\2010&amp;DFile=ftn9section33.htm&amp;tar=middle" TargetMode="External"/><Relationship Id="rId17" Type="http://schemas.openxmlformats.org/officeDocument/2006/relationships/hyperlink" Target="http://law.incometaxindia.gov.in/DIT/HtmlFileProcess.aspx?FooterPath=D:\WebSites\DITTaxmann\Act2010\DirectTaxLaws\ITACT\HTMLFiles\2010&amp;DFile=ftn13section33.htm&amp;tar=middle" TargetMode="External"/><Relationship Id="rId25" Type="http://schemas.openxmlformats.org/officeDocument/2006/relationships/hyperlink" Target="http://law.incometaxindia.gov.in/DIT/HtmlFileProcess.aspx?FooterPath=D:\WebSites\DITTaxmann\Act2010\DirectTaxLaws\ITACT\HTMLFiles\2010&amp;DFile=ftn20section33.htm&amp;tar=middle" TargetMode="External"/><Relationship Id="rId33" Type="http://schemas.openxmlformats.org/officeDocument/2006/relationships/hyperlink" Target="http://law.incometaxindia.gov.in/DIT/HtmlFileProcess.aspx?FooterPath=D:\WebSites\DITTaxmann\Act2010\DirectTaxLaws\ITACT\HTMLFiles\2010&amp;DFile=ftn21section33.htm&amp;tar=middle" TargetMode="Externa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law.incometaxindia.gov.in/DIT/HtmlFileProcess.aspx?FooterPath=D:\WebSites\DITTaxmann\Act2010\DirectTaxLaws\ITACT\HTMLFiles\2010&amp;DFile=ftn12section33.htm&amp;tar=middle" TargetMode="External"/><Relationship Id="rId20" Type="http://schemas.openxmlformats.org/officeDocument/2006/relationships/hyperlink" Target="http://law.incometaxindia.gov.in/DIT/HtmlFileProcess.aspx?FooterPath=D:\WebSites\DITTaxmann\Act2010\DirectTaxLaws\ITACT\HTMLFiles\2010&amp;DFile=ftn15section33.htm&amp;tar=middle" TargetMode="External"/><Relationship Id="rId29" Type="http://schemas.openxmlformats.org/officeDocument/2006/relationships/hyperlink" Target="http://law.incometaxindia.gov.in/DIT/HtmlFileProcess.aspx?FooterPath=D:\WebSites\DITTaxmann\Act2010\DirectTaxLaws\ITACT\HTMLFiles\2010&amp;DFile=ftn22section33.htm&amp;tar=middle"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law.incometaxindia.gov.in/DIT/HtmlFileProcess.aspx?FooterPath=D:\WebSites\DITTaxmann\Act2010\DirectTaxLaws\ITACT\HTMLFiles\2010&amp;DFile=ftn8section33.htm&amp;tar=middle" TargetMode="External"/><Relationship Id="rId24" Type="http://schemas.openxmlformats.org/officeDocument/2006/relationships/hyperlink" Target="http://law.incometaxindia.gov.in/DIT/HtmlFileProcess.aspx?FooterPath=D:\WebSites\DITTaxmann\Act2010\DirectTaxLaws\ITACT\HTMLFiles\2010&amp;DFile=ftn19section33.htm&amp;tar=middle" TargetMode="External"/><Relationship Id="rId32" Type="http://schemas.openxmlformats.org/officeDocument/2006/relationships/hyperlink" Target="http://law.incometaxindia.gov.in/DIT/HtmlFileProcess.aspx?FooterPath=D:\WebSites\DITTaxmann\Act2010\DirectTaxLaws\ITACT\HTMLFiles\2010&amp;DFile=ftn21section33.htm&amp;tar=middle"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law.incometaxindia.gov.in/DIT/HtmlFileProcess.aspx?FooterPath=D:\WebSites\DITTaxmann\Act2010\DirectTaxLaws\ITACT\HTMLFiles\2010&amp;DFile=ftn11section33.htm&amp;tar=middle" TargetMode="External"/><Relationship Id="rId23" Type="http://schemas.openxmlformats.org/officeDocument/2006/relationships/hyperlink" Target="http://law.incometaxindia.gov.in/DIT/HtmlFileProcess.aspx?FooterPath=D:\WebSites\DITTaxmann\Act2010\DirectTaxLaws\ITACT\HTMLFiles\2010&amp;DFile=ftn18section33.htm&amp;tar=middle" TargetMode="External"/><Relationship Id="rId28" Type="http://schemas.openxmlformats.org/officeDocument/2006/relationships/hyperlink" Target="http://law.incometaxindia.gov.in/DIT/HtmlFileProcess.aspx?FooterPath=D:\WebSites\DITTaxmann\Act2010\DirectTaxLaws\ITACT\HTMLFiles\2010&amp;DFile=ftn21section33.htm&amp;tar=middle" TargetMode="External"/><Relationship Id="rId36" Type="http://schemas.openxmlformats.org/officeDocument/2006/relationships/hyperlink" Target="http://law.incometaxindia.gov.in/DIT/HtmlFileProcess.aspx?FooterPath=D:\WebSites\DITTaxmann\Act2010\DirectTaxLaws\ITACT\HTMLFiles\2010&amp;DFile=ftn25section33.htm&amp;tar=middle" TargetMode="External"/><Relationship Id="rId10" Type="http://schemas.openxmlformats.org/officeDocument/2006/relationships/hyperlink" Target="http://law.incometaxindia.gov.in/DIT/HtmlFileProcess.aspx?FooterPath=D:\WebSites\DITTaxmann\Act2010\DirectTaxLaws\ITACT\HTMLFiles\2010&amp;DFile=ftn7section33.htm&amp;tar=middle" TargetMode="External"/><Relationship Id="rId19" Type="http://schemas.openxmlformats.org/officeDocument/2006/relationships/hyperlink" Target="http://law.incometaxindia.gov.in/DIT/HtmlFileProcess.aspx?FooterPath=D:\WebSites\DITTaxmann\Act2010\DirectTaxLaws\ITACT\HTMLFiles\2010&amp;DFile=ftn14section33.htm&amp;tar=middle" TargetMode="External"/><Relationship Id="rId31" Type="http://schemas.openxmlformats.org/officeDocument/2006/relationships/hyperlink" Target="http://law.incometaxindia.gov.in/DIT/HtmlFileProcess.aspx?FooterPath=D:\WebSites\DITTaxmann\Act2010\DirectTaxLaws\ITACT\HTMLFiles\2010&amp;DFile=ftn22section33.htm&amp;tar=middle" TargetMode="External"/><Relationship Id="rId4" Type="http://schemas.openxmlformats.org/officeDocument/2006/relationships/settings" Target="settings.xml"/><Relationship Id="rId9" Type="http://schemas.openxmlformats.org/officeDocument/2006/relationships/hyperlink" Target="http://law.incometaxindia.gov.in/DIT/HtmlFileProcess.aspx?FooterPath=D:\WebSites\DITTaxmann\Act2010\DirectTaxLaws\ITACT\HTMLFiles\2010&amp;DFile=ftn7section33.htm&amp;tar=middle" TargetMode="External"/><Relationship Id="rId14" Type="http://schemas.openxmlformats.org/officeDocument/2006/relationships/hyperlink" Target="http://law.incometaxindia.gov.in/DIT/HtmlFileProcess.aspx?FooterPath=D:\WebSites\DITTaxmann\Act2010\DirectTaxLaws\ITACT\HTMLFiles\2010&amp;DFile=section72.htm&amp;tar=top" TargetMode="External"/><Relationship Id="rId22" Type="http://schemas.openxmlformats.org/officeDocument/2006/relationships/hyperlink" Target="http://law.incometaxindia.gov.in/DIT/HtmlFileProcess.aspx?FooterPath=D:\WebSites\DITTaxmann\Act2010\DirectTaxLaws\ITACT\HTMLFiles\2010&amp;DFile=ftn17section33.htm&amp;tar=middle" TargetMode="External"/><Relationship Id="rId27" Type="http://schemas.openxmlformats.org/officeDocument/2006/relationships/hyperlink" Target="http://law.incometaxindia.gov.in/DIT/HtmlFileProcess.aspx?FooterPath=D:\WebSites\DITTaxmann\Act2010\DirectTaxLaws\ITACT\HTMLFiles\2010&amp;DFile=ftn20section33.htm&amp;tar=middle" TargetMode="External"/><Relationship Id="rId30" Type="http://schemas.openxmlformats.org/officeDocument/2006/relationships/hyperlink" Target="http://law.incometaxindia.gov.in/DIT/HtmlFileProcess.aspx?FooterPath=D:\WebSites\DITTaxmann\Act2010\DirectTaxLaws\ITACT\HTMLFiles\2010&amp;DFile=ftn21section33.htm&amp;tar=middle" TargetMode="External"/><Relationship Id="rId35" Type="http://schemas.openxmlformats.org/officeDocument/2006/relationships/hyperlink" Target="http://law.incometaxindia.gov.in/DIT/HtmlFileProcess.aspx?FooterPath=D:\WebSites\DITTaxmann\Act2010\DirectTaxLaws\ITACT\HTMLFiles\2010&amp;DFile=ftn24section33.htm&amp;tar=middl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5</Pages>
  <Words>2616</Words>
  <Characters>14917</Characters>
  <Application>Microsoft Office Word</Application>
  <DocSecurity>0</DocSecurity>
  <Lines>124</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Mahesh M.</dc:creator>
  <cp:lastModifiedBy>Mahesh M.</cp:lastModifiedBy>
  <cp:revision>4</cp:revision>
  <cp:lastPrinted>2010-12-06T10:08:00Z</cp:lastPrinted>
  <dcterms:created xsi:type="dcterms:W3CDTF">2010-12-06T09:55:00Z</dcterms:created>
  <dcterms:modified xsi:type="dcterms:W3CDTF">2010-12-06T10:22:00Z</dcterms:modified>
</cp:coreProperties>
</file>