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D2E00t00" w:hAnsi="TTE51D2E00t00" w:cs="TTE51D2E00t00"/>
          <w:color w:val="000000"/>
          <w:sz w:val="24"/>
          <w:szCs w:val="24"/>
          <w:lang w:val="en-IN" w:bidi="ar-SA"/>
        </w:rPr>
      </w:pPr>
    </w:p>
    <w:p w:rsidR="0030566E" w:rsidRDefault="0030566E" w:rsidP="0030566E">
      <w:pPr>
        <w:pStyle w:val="Title"/>
        <w:rPr>
          <w:lang w:val="en-IN" w:bidi="ar-SA"/>
        </w:rPr>
      </w:pPr>
      <w:r>
        <w:rPr>
          <w:lang w:val="en-IN" w:bidi="ar-SA"/>
        </w:rPr>
        <w:tab/>
      </w:r>
      <w:r>
        <w:rPr>
          <w:lang w:val="en-IN" w:bidi="ar-SA"/>
        </w:rPr>
        <w:tab/>
        <w:t>Case Laws (INCOME TAX)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D2E00t00" w:hAnsi="TTE51D2E00t00" w:cs="TTE51D2E00t00"/>
          <w:color w:val="000000"/>
          <w:sz w:val="24"/>
          <w:szCs w:val="24"/>
          <w:lang w:val="en-IN" w:bidi="ar-SA"/>
        </w:rPr>
      </w:pP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D2E00t00" w:hAnsi="TTE51D2E00t00" w:cs="TTE51D2E00t00"/>
          <w:color w:val="000000"/>
          <w:sz w:val="24"/>
          <w:szCs w:val="24"/>
          <w:lang w:val="en-IN" w:bidi="ar-SA"/>
        </w:rPr>
      </w:pP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D2E00t00" w:hAnsi="TTE51D2E00t00" w:cs="TTE51D2E00t00"/>
          <w:color w:val="000000"/>
          <w:sz w:val="24"/>
          <w:szCs w:val="24"/>
          <w:lang w:val="en-IN" w:bidi="ar-SA"/>
        </w:rPr>
      </w:pPr>
      <w:r>
        <w:rPr>
          <w:rFonts w:ascii="TTE51D2E00t00" w:hAnsi="TTE51D2E00t00" w:cs="TTE51D2E00t00"/>
          <w:color w:val="000000"/>
          <w:sz w:val="24"/>
          <w:szCs w:val="24"/>
          <w:lang w:val="en-IN" w:bidi="ar-SA"/>
        </w:rPr>
        <w:t>a. Shares of an Indian public company transferred without consideration by a foreign</w:t>
      </w:r>
      <w:r w:rsidR="002A462A">
        <w:rPr>
          <w:rFonts w:ascii="TTE51D2E00t00" w:hAnsi="TTE51D2E00t00" w:cs="TTE51D2E0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D2E00t00" w:hAnsi="TTE51D2E00t00" w:cs="TTE51D2E00t00"/>
          <w:color w:val="000000"/>
          <w:sz w:val="24"/>
          <w:szCs w:val="24"/>
          <w:lang w:val="en-IN" w:bidi="ar-SA"/>
        </w:rPr>
        <w:t>company to its foreign subsidiary, neither attracts capital gains in the hands of the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D2E00t00" w:hAnsi="TTE51D2E00t00" w:cs="TTE51D2E00t00"/>
          <w:color w:val="000000"/>
          <w:sz w:val="24"/>
          <w:szCs w:val="24"/>
          <w:lang w:val="en-IN" w:bidi="ar-SA"/>
        </w:rPr>
      </w:pPr>
      <w:proofErr w:type="gramStart"/>
      <w:r>
        <w:rPr>
          <w:rFonts w:ascii="TTE51D2E00t00" w:hAnsi="TTE51D2E00t00" w:cs="TTE51D2E00t00"/>
          <w:color w:val="000000"/>
          <w:sz w:val="24"/>
          <w:szCs w:val="24"/>
          <w:lang w:val="en-IN" w:bidi="ar-SA"/>
        </w:rPr>
        <w:t>transferor</w:t>
      </w:r>
      <w:proofErr w:type="gramEnd"/>
      <w:r>
        <w:rPr>
          <w:rFonts w:ascii="TTE51D2E00t00" w:hAnsi="TTE51D2E00t00" w:cs="TTE51D2E00t00"/>
          <w:color w:val="000000"/>
          <w:sz w:val="24"/>
          <w:szCs w:val="24"/>
          <w:lang w:val="en-IN" w:bidi="ar-SA"/>
        </w:rPr>
        <w:t xml:space="preserve"> nor such receipt would be chargeable under “income from other</w:t>
      </w:r>
      <w:r w:rsidR="002A462A">
        <w:rPr>
          <w:rFonts w:ascii="TTE51D2E00t00" w:hAnsi="TTE51D2E00t00" w:cs="TTE51D2E0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D2E00t00" w:hAnsi="TTE51D2E00t00" w:cs="TTE51D2E00t00"/>
          <w:color w:val="000000"/>
          <w:sz w:val="24"/>
          <w:szCs w:val="24"/>
          <w:lang w:val="en-IN" w:bidi="ar-SA"/>
        </w:rPr>
        <w:t>sources” in the hands of transferee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D2E00t00" w:hAnsi="TTE51D2E00t00" w:cs="TTE51D2E00t00"/>
          <w:color w:val="000000"/>
          <w:sz w:val="24"/>
          <w:szCs w:val="24"/>
          <w:lang w:val="en-IN" w:bidi="ar-SA"/>
        </w:rPr>
      </w:pPr>
      <w:r>
        <w:rPr>
          <w:rFonts w:ascii="TTE51D2E00t00" w:hAnsi="TTE51D2E00t00" w:cs="TTE51D2E00t00"/>
          <w:color w:val="000000"/>
          <w:sz w:val="24"/>
          <w:szCs w:val="24"/>
          <w:lang w:val="en-IN" w:bidi="ar-SA"/>
        </w:rPr>
        <w:t>Goodyear Tire &amp; Rubber Company, Goodyear Orient Company (Private) Limited,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D2E00t00" w:hAnsi="TTE51D2E00t00" w:cs="TTE51D2E00t00"/>
          <w:color w:val="000000"/>
          <w:sz w:val="24"/>
          <w:szCs w:val="24"/>
          <w:lang w:val="en-IN" w:bidi="ar-SA"/>
        </w:rPr>
      </w:pPr>
      <w:r>
        <w:rPr>
          <w:rFonts w:ascii="TTE51D2E00t00" w:hAnsi="TTE51D2E00t00" w:cs="TTE51D2E00t00"/>
          <w:color w:val="000000"/>
          <w:sz w:val="24"/>
          <w:szCs w:val="24"/>
          <w:lang w:val="en-IN" w:bidi="ar-SA"/>
        </w:rPr>
        <w:t>[Authority for Advance Rulings (</w:t>
      </w:r>
      <w:proofErr w:type="gramStart"/>
      <w:r>
        <w:rPr>
          <w:rFonts w:ascii="TTE51D2E00t00" w:hAnsi="TTE51D2E00t00" w:cs="TTE51D2E00t00"/>
          <w:color w:val="000000"/>
          <w:sz w:val="24"/>
          <w:szCs w:val="24"/>
          <w:lang w:val="en-IN" w:bidi="ar-SA"/>
        </w:rPr>
        <w:t>Income-tax</w:t>
      </w:r>
      <w:proofErr w:type="gramEnd"/>
      <w:r>
        <w:rPr>
          <w:rFonts w:ascii="TTE51D2E00t00" w:hAnsi="TTE51D2E00t00" w:cs="TTE51D2E00t00"/>
          <w:color w:val="000000"/>
          <w:sz w:val="24"/>
          <w:szCs w:val="24"/>
          <w:lang w:val="en-IN" w:bidi="ar-SA"/>
        </w:rPr>
        <w:t>)]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D2E00t00" w:hAnsi="TTE51D2E00t00" w:cs="TTE51D2E00t00"/>
          <w:color w:val="000000"/>
          <w:sz w:val="24"/>
          <w:szCs w:val="24"/>
          <w:lang w:val="en-IN" w:bidi="ar-SA"/>
        </w:rPr>
      </w:pP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D2E00t00" w:hAnsi="TTE51D2E00t00" w:cs="TTE51D2E00t00"/>
          <w:color w:val="000000"/>
          <w:sz w:val="24"/>
          <w:szCs w:val="24"/>
          <w:lang w:val="en-IN" w:bidi="ar-SA"/>
        </w:rPr>
      </w:pPr>
      <w:r>
        <w:rPr>
          <w:rFonts w:ascii="TTE51D2E00t00" w:hAnsi="TTE51D2E00t00" w:cs="TTE51D2E00t00"/>
          <w:color w:val="000000"/>
          <w:sz w:val="24"/>
          <w:szCs w:val="24"/>
          <w:lang w:val="en-IN" w:bidi="ar-SA"/>
        </w:rPr>
        <w:t>Facts: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proofErr w:type="spell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i</w:t>
      </w:r>
      <w:proofErr w:type="spell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. The applicant, Goodyear Tire and Rubber Company (GTRC), a company</w:t>
      </w:r>
      <w:r w:rsidR="002A462A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incorporated under the laws of USA has a wholly owned subsidiary company</w:t>
      </w:r>
      <w:r w:rsidR="002A462A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Goodyear Orient Company (Private) Limited (GOCPL), a Singapore company,</w:t>
      </w:r>
      <w:r w:rsidR="002A462A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which is also another applicant in this case.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ii. GOCPL is an operating company and manages the natural rubber purchasing,</w:t>
      </w:r>
      <w:r w:rsidR="002A462A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delivery, financi</w:t>
      </w:r>
      <w:r w:rsidR="002A462A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ng, treasury and quality of the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worldwide operations of GTRC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iii. GTRC holds 74% shares in Goodyear India Limited (GIL</w:t>
      </w:r>
      <w:proofErr w:type="gram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) which</w:t>
      </w:r>
      <w:proofErr w:type="gram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is a listed Indian</w:t>
      </w:r>
      <w:r w:rsidR="002A462A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public company,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iv. As a part of its global corporate strategy, GTRC was contemplating a</w:t>
      </w:r>
      <w:r w:rsidR="002A462A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reorganization of its investment in GIL to expand the role of GOCPL for the</w:t>
      </w:r>
      <w:r w:rsidR="002A462A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ben</w:t>
      </w:r>
      <w:r w:rsidR="002A462A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efit of other group entities by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making it a financially strong and important</w:t>
      </w:r>
      <w:r w:rsidR="002A462A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entity of the group.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v. With this end, GTRC proposed to transfer its entire holding of 74% shares in GIL</w:t>
      </w:r>
      <w:r w:rsidR="002A462A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to GOCPL without consideration by entering into a Share Contribution Deed</w:t>
      </w:r>
      <w:r w:rsidR="002A462A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(SCD)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D2E00t00" w:hAnsi="TTE51D2E00t00" w:cs="TTE51D2E00t00"/>
          <w:color w:val="000000"/>
          <w:sz w:val="24"/>
          <w:szCs w:val="24"/>
          <w:lang w:val="en-IN" w:bidi="ar-SA"/>
        </w:rPr>
      </w:pP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r>
        <w:rPr>
          <w:rFonts w:ascii="TTE51D2E00t00" w:hAnsi="TTE51D2E00t00" w:cs="TTE51D2E00t00"/>
          <w:color w:val="000000"/>
          <w:sz w:val="24"/>
          <w:szCs w:val="24"/>
          <w:lang w:val="en-IN" w:bidi="ar-SA"/>
        </w:rPr>
        <w:t>Issues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: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The applicant sought ruling of the Authority on the following questions -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proofErr w:type="spell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i</w:t>
      </w:r>
      <w:proofErr w:type="spell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. Whether the transferor (i.e. GTRC) is liable to capital gain tax u/s 45 of the Act</w:t>
      </w:r>
      <w:r w:rsidR="002A462A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and further whet</w:t>
      </w:r>
      <w:r w:rsidR="002A462A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her the transferee (i.e. GOCPL)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is liable to tax, as the shares</w:t>
      </w:r>
      <w:r w:rsidR="002A462A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proofErr w:type="gram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have b</w:t>
      </w:r>
      <w:r w:rsidR="002A462A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een received</w:t>
      </w:r>
      <w:proofErr w:type="gramEnd"/>
      <w:r w:rsidR="002A462A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as gift, under the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head “income from other sources”.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ii. Whether GTRC or GOCPL is required to withhold tax on the </w:t>
      </w:r>
      <w:proofErr w:type="gram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aforesaid</w:t>
      </w:r>
      <w:proofErr w:type="gramEnd"/>
      <w:r w:rsidR="002A462A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contribution of shares in</w:t>
      </w:r>
      <w:r w:rsidR="002A462A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accordance with the provisions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of section 195 of the</w:t>
      </w:r>
      <w:r w:rsidR="002A462A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Act?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proofErr w:type="gram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iii. Whether the proposed contribution of shares by GTRC to GOCPL attracts the</w:t>
      </w:r>
      <w:r w:rsidR="002A462A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transfer pricing prov</w:t>
      </w:r>
      <w:r w:rsidR="002A462A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isions contemplated under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section 92 to section 92F of the</w:t>
      </w:r>
      <w:r w:rsidR="002A462A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Act?</w:t>
      </w:r>
      <w:proofErr w:type="gramEnd"/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D2E00t00" w:hAnsi="TTE51D2E00t00" w:cs="TTE51D2E00t00"/>
          <w:color w:val="000000"/>
          <w:sz w:val="24"/>
          <w:szCs w:val="24"/>
          <w:lang w:val="en-IN" w:bidi="ar-SA"/>
        </w:rPr>
      </w:pP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D2E00t00" w:hAnsi="TTE51D2E00t00" w:cs="TTE51D2E00t00"/>
          <w:color w:val="000000"/>
          <w:sz w:val="24"/>
          <w:szCs w:val="24"/>
          <w:lang w:val="en-IN" w:bidi="ar-SA"/>
        </w:rPr>
      </w:pPr>
      <w:r>
        <w:rPr>
          <w:rFonts w:ascii="TTE51D2E00t00" w:hAnsi="TTE51D2E00t00" w:cs="TTE51D2E00t00"/>
          <w:color w:val="000000"/>
          <w:sz w:val="24"/>
          <w:szCs w:val="24"/>
          <w:lang w:val="en-IN" w:bidi="ar-SA"/>
        </w:rPr>
        <w:t xml:space="preserve">Held: The </w:t>
      </w:r>
      <w:proofErr w:type="spellStart"/>
      <w:r>
        <w:rPr>
          <w:rFonts w:ascii="TTE51D2E00t00" w:hAnsi="TTE51D2E00t00" w:cs="TTE51D2E00t00"/>
          <w:color w:val="000000"/>
          <w:sz w:val="24"/>
          <w:szCs w:val="24"/>
          <w:lang w:val="en-IN" w:bidi="ar-SA"/>
        </w:rPr>
        <w:t>H’ble</w:t>
      </w:r>
      <w:proofErr w:type="spellEnd"/>
      <w:r>
        <w:rPr>
          <w:rFonts w:ascii="TTE51D2E00t00" w:hAnsi="TTE51D2E00t00" w:cs="TTE51D2E00t00"/>
          <w:color w:val="000000"/>
          <w:sz w:val="24"/>
          <w:szCs w:val="24"/>
          <w:lang w:val="en-IN" w:bidi="ar-SA"/>
        </w:rPr>
        <w:t xml:space="preserve"> AAR held as under: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proofErr w:type="spell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i</w:t>
      </w:r>
      <w:proofErr w:type="spell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. No consideration in money or money’s worth would accrue or arise to GTRC by</w:t>
      </w:r>
      <w:r w:rsidR="002A462A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the transfer of shares by way of gift and GTRC </w:t>
      </w:r>
      <w:proofErr w:type="gram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cannot be said</w:t>
      </w:r>
      <w:proofErr w:type="gram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to have derived</w:t>
      </w:r>
      <w:r w:rsidR="002A462A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any profit or gain from the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transaction. Since the consideration is incapable of</w:t>
      </w:r>
      <w:r w:rsidR="002A462A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being valued in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definite terms or it remains unascertainable on the date of</w:t>
      </w:r>
      <w:r w:rsidR="002A462A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occurrence of taxable event, the question of applying section 45 read with</w:t>
      </w:r>
      <w:r w:rsidR="002A462A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section 48 of the Act would not arise.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ii. As GIL is a company in which public are substantially interested and its shares are</w:t>
      </w:r>
      <w:r w:rsidR="002A462A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listed on BSE, any income arising from the transfer of shares (long-term capital</w:t>
      </w:r>
      <w:r w:rsidR="002A462A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asset) are otherwise exempt under section 10(38) of the Act. </w:t>
      </w:r>
      <w:proofErr w:type="gram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Thus</w:t>
      </w:r>
      <w:proofErr w:type="gram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it is proved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proofErr w:type="gram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lastRenderedPageBreak/>
        <w:t>that</w:t>
      </w:r>
      <w:proofErr w:type="gram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the transaction is not designed</w:t>
      </w:r>
      <w:r w:rsidR="002A462A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for avoidance of tax. Further,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as no</w:t>
      </w:r>
      <w:r w:rsidR="002A462A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consideration will pass </w:t>
      </w:r>
      <w:r w:rsidR="002A462A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on transfer of shares of GIL by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GTRC, no income will arise</w:t>
      </w:r>
      <w:r w:rsidR="002A462A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and hence, the transfer pricing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provisions are not applicable in this case.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iii. Since GIL is a public company i.e. a company in which public are substantially</w:t>
      </w:r>
      <w:r w:rsidR="002A462A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interested, the share</w:t>
      </w:r>
      <w:r w:rsidR="002A462A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s are not a property within the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meaning of section 56(</w:t>
      </w:r>
      <w:proofErr w:type="spell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viia</w:t>
      </w:r>
      <w:proofErr w:type="spell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)</w:t>
      </w:r>
      <w:r w:rsidR="002A462A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of the Act. </w:t>
      </w:r>
      <w:proofErr w:type="gram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Hence</w:t>
      </w:r>
      <w:proofErr w:type="gram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the recipient of such shares (</w:t>
      </w:r>
      <w:proofErr w:type="spell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i.e.GOCPL</w:t>
      </w:r>
      <w:proofErr w:type="spell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) is not taxable on</w:t>
      </w:r>
      <w:r w:rsidR="002A462A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receipt of such shares even under the head “income from other sources” even</w:t>
      </w:r>
      <w:r w:rsidR="002A462A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though it is received without consideration. Further, as there is no income liable</w:t>
      </w:r>
      <w:r w:rsidR="002A462A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to tax in the hands of the recipient (GOCPL), the transfer pricing provisions are</w:t>
      </w:r>
      <w:r w:rsidR="002A462A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not applicable.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iv. As there is no liability to pay tax, transferor (i.e. GRTC) as well as transferee are</w:t>
      </w:r>
      <w:r w:rsidR="002A462A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not liable to deduct tax at source u/s 195 of the Act.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D2E00t00" w:hAnsi="TTE51D2E00t00" w:cs="TTE51D2E00t00"/>
          <w:color w:val="000000"/>
          <w:sz w:val="24"/>
          <w:szCs w:val="24"/>
          <w:lang w:val="en-IN" w:bidi="ar-SA"/>
        </w:rPr>
      </w:pP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D2E00t00" w:hAnsi="TTE51D2E00t00" w:cs="TTE51D2E00t00"/>
          <w:color w:val="000000"/>
          <w:sz w:val="24"/>
          <w:szCs w:val="24"/>
          <w:lang w:val="en-IN" w:bidi="ar-SA"/>
        </w:rPr>
      </w:pP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D2E00t00" w:hAnsi="TTE51D2E00t00" w:cs="TTE51D2E00t00"/>
          <w:color w:val="000000"/>
          <w:sz w:val="24"/>
          <w:szCs w:val="24"/>
          <w:lang w:val="en-IN" w:bidi="ar-SA"/>
        </w:rPr>
      </w:pPr>
      <w:r>
        <w:rPr>
          <w:rFonts w:ascii="TTE51D2E00t00" w:hAnsi="TTE51D2E00t00" w:cs="TTE51D2E00t00"/>
          <w:color w:val="000000"/>
          <w:sz w:val="24"/>
          <w:szCs w:val="24"/>
          <w:lang w:val="en-IN" w:bidi="ar-SA"/>
        </w:rPr>
        <w:t>b. Gains arising from PMS transactions are capital gains and not business profit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D2E00t00" w:hAnsi="TTE51D2E00t00" w:cs="TTE51D2E00t00"/>
          <w:color w:val="000000"/>
          <w:sz w:val="24"/>
          <w:szCs w:val="24"/>
          <w:lang w:val="en-IN" w:bidi="ar-SA"/>
        </w:rPr>
      </w:pPr>
      <w:r>
        <w:rPr>
          <w:rFonts w:ascii="TTE51D2E00t00" w:hAnsi="TTE51D2E00t00" w:cs="TTE51D2E00t00"/>
          <w:color w:val="000000"/>
          <w:sz w:val="24"/>
          <w:szCs w:val="24"/>
          <w:lang w:val="en-IN" w:bidi="ar-SA"/>
        </w:rPr>
        <w:t xml:space="preserve">ITO vs. </w:t>
      </w:r>
      <w:proofErr w:type="spellStart"/>
      <w:r>
        <w:rPr>
          <w:rFonts w:ascii="TTE51D2E00t00" w:hAnsi="TTE51D2E00t00" w:cs="TTE51D2E00t00"/>
          <w:color w:val="000000"/>
          <w:sz w:val="24"/>
          <w:szCs w:val="24"/>
          <w:lang w:val="en-IN" w:bidi="ar-SA"/>
        </w:rPr>
        <w:t>Radha</w:t>
      </w:r>
      <w:proofErr w:type="spellEnd"/>
      <w:r>
        <w:rPr>
          <w:rFonts w:ascii="TTE51D2E00t00" w:hAnsi="TTE51D2E00t00" w:cs="TTE51D2E00t00"/>
          <w:color w:val="000000"/>
          <w:sz w:val="24"/>
          <w:szCs w:val="24"/>
          <w:lang w:val="en-IN" w:bidi="ar-SA"/>
        </w:rPr>
        <w:t xml:space="preserve"> </w:t>
      </w:r>
      <w:proofErr w:type="spellStart"/>
      <w:r>
        <w:rPr>
          <w:rFonts w:ascii="TTE51D2E00t00" w:hAnsi="TTE51D2E00t00" w:cs="TTE51D2E00t00"/>
          <w:color w:val="000000"/>
          <w:sz w:val="24"/>
          <w:szCs w:val="24"/>
          <w:lang w:val="en-IN" w:bidi="ar-SA"/>
        </w:rPr>
        <w:t>Birju</w:t>
      </w:r>
      <w:proofErr w:type="spellEnd"/>
      <w:r>
        <w:rPr>
          <w:rFonts w:ascii="TTE51D2E00t00" w:hAnsi="TTE51D2E00t00" w:cs="TTE51D2E00t00"/>
          <w:color w:val="000000"/>
          <w:sz w:val="24"/>
          <w:szCs w:val="24"/>
          <w:lang w:val="en-IN" w:bidi="ar-SA"/>
        </w:rPr>
        <w:t xml:space="preserve"> Patel (ITAT Mumbai)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D2E00t00" w:hAnsi="TTE51D2E00t00" w:cs="TTE51D2E00t00"/>
          <w:color w:val="000000"/>
          <w:sz w:val="24"/>
          <w:szCs w:val="24"/>
          <w:lang w:val="en-IN" w:bidi="ar-SA"/>
        </w:rPr>
      </w:pP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D2E00t00" w:hAnsi="TTE51D2E00t00" w:cs="TTE51D2E00t00"/>
          <w:color w:val="000000"/>
          <w:sz w:val="24"/>
          <w:szCs w:val="24"/>
          <w:lang w:val="en-IN" w:bidi="ar-SA"/>
        </w:rPr>
      </w:pPr>
      <w:r>
        <w:rPr>
          <w:rFonts w:ascii="TTE51D2E00t00" w:hAnsi="TTE51D2E00t00" w:cs="TTE51D2E00t00"/>
          <w:color w:val="000000"/>
          <w:sz w:val="24"/>
          <w:szCs w:val="24"/>
          <w:lang w:val="en-IN" w:bidi="ar-SA"/>
        </w:rPr>
        <w:t>Facts: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proofErr w:type="spell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i</w:t>
      </w:r>
      <w:proofErr w:type="spell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. The appellant is a </w:t>
      </w:r>
      <w:proofErr w:type="gram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lady</w:t>
      </w:r>
      <w:proofErr w:type="gram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who has invested her surplus fund in shares &amp; stock, &amp;</w:t>
      </w:r>
      <w:r w:rsidR="002A462A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has shown it as investments in her balance sheet.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ii. She has chosen Portfolio Management Scheme (PMS) for managing the surplus</w:t>
      </w:r>
      <w:r w:rsidR="002A462A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fund, which is a discretionary PMS and she had no control over it </w:t>
      </w:r>
      <w:proofErr w:type="gram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so</w:t>
      </w:r>
      <w:proofErr w:type="gram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far as</w:t>
      </w:r>
      <w:r w:rsidR="002A462A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method of investment, no. of transaction, etc is concerned.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iii. The assessee earned a gain of Rs. 11.61 </w:t>
      </w:r>
      <w:proofErr w:type="spell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lakhs</w:t>
      </w:r>
      <w:proofErr w:type="spell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which she offered to tax as </w:t>
      </w:r>
      <w:proofErr w:type="gram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short</w:t>
      </w:r>
      <w:r w:rsidR="002A462A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term</w:t>
      </w:r>
      <w:proofErr w:type="gramEnd"/>
      <w:r w:rsidR="002A462A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capital gains. She has done only </w:t>
      </w:r>
      <w:proofErr w:type="gram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9</w:t>
      </w:r>
      <w:proofErr w:type="gram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transactions resulting in LTCG and transaction resulting in STCG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iv. The AO assessed the gains as business profits on the ground that (</w:t>
      </w:r>
      <w:proofErr w:type="spell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i</w:t>
      </w:r>
      <w:proofErr w:type="spell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) as per CBDT</w:t>
      </w:r>
      <w:r w:rsidR="002A462A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circular No.4 of </w:t>
      </w:r>
      <w:proofErr w:type="gram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2007 dated</w:t>
      </w:r>
      <w:proofErr w:type="gram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15.6.2007, the assessee was trading in shares, (ii) the</w:t>
      </w:r>
      <w:r w:rsidR="002A462A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purchase of shares was solely and exclusively with intention to resell at a profit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proofErr w:type="gram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and</w:t>
      </w:r>
      <w:proofErr w:type="gram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without an intention to hold the shares, (iii) the dividend earned was</w:t>
      </w:r>
      <w:r w:rsidR="002A462A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proofErr w:type="spell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meager</w:t>
      </w:r>
      <w:proofErr w:type="spell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and </w:t>
      </w:r>
      <w:r w:rsidR="002A462A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(iv) there were large number of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transactions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D2E00t00" w:hAnsi="TTE51D2E00t00" w:cs="TTE51D2E00t00"/>
          <w:color w:val="000000"/>
          <w:sz w:val="24"/>
          <w:szCs w:val="24"/>
          <w:lang w:val="en-IN" w:bidi="ar-SA"/>
        </w:rPr>
      </w:pP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r>
        <w:rPr>
          <w:rFonts w:ascii="TTE51D2E00t00" w:hAnsi="TTE51D2E00t00" w:cs="TTE51D2E00t00"/>
          <w:color w:val="000000"/>
          <w:sz w:val="24"/>
          <w:szCs w:val="24"/>
          <w:lang w:val="en-IN" w:bidi="ar-SA"/>
        </w:rPr>
        <w:t>Issue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: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proofErr w:type="gram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Whether gains arising from PMS transactions are capital gains or business profit?</w:t>
      </w:r>
      <w:proofErr w:type="gramEnd"/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D2E00t00" w:hAnsi="TTE51D2E00t00" w:cs="TTE51D2E00t00"/>
          <w:color w:val="000000"/>
          <w:sz w:val="24"/>
          <w:szCs w:val="24"/>
          <w:lang w:val="en-IN" w:bidi="ar-SA"/>
        </w:rPr>
      </w:pP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D2E00t00" w:hAnsi="TTE51D2E00t00" w:cs="TTE51D2E00t00"/>
          <w:color w:val="000000"/>
          <w:sz w:val="24"/>
          <w:szCs w:val="24"/>
          <w:lang w:val="en-IN" w:bidi="ar-SA"/>
        </w:rPr>
      </w:pPr>
      <w:r>
        <w:rPr>
          <w:rFonts w:ascii="TTE51D2E00t00" w:hAnsi="TTE51D2E00t00" w:cs="TTE51D2E00t00"/>
          <w:color w:val="000000"/>
          <w:sz w:val="24"/>
          <w:szCs w:val="24"/>
          <w:lang w:val="en-IN" w:bidi="ar-SA"/>
        </w:rPr>
        <w:t>Held: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The </w:t>
      </w:r>
      <w:proofErr w:type="spell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H’ble</w:t>
      </w:r>
      <w:proofErr w:type="spell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ITAT held that the transactions carried on under the Portfolio</w:t>
      </w:r>
      <w:r w:rsidR="002A462A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Management Schem</w:t>
      </w:r>
      <w:r w:rsidR="002A462A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e </w:t>
      </w:r>
      <w:proofErr w:type="gramStart"/>
      <w:r w:rsidR="002A462A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are meant</w:t>
      </w:r>
      <w:proofErr w:type="gramEnd"/>
      <w:r w:rsidR="002A462A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for maximization of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wealth rather than earning</w:t>
      </w:r>
      <w:r w:rsidR="002A462A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profits on appreciation in t</w:t>
      </w:r>
      <w:r w:rsidR="002A462A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he value of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the shares. It </w:t>
      </w:r>
      <w:proofErr w:type="gram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cannot be said</w:t>
      </w:r>
      <w:proofErr w:type="gram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that the Portfolio</w:t>
      </w:r>
      <w:r w:rsidR="002A462A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Management is a scheme of trading in shares &amp; stock. Whether the assessee is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proofErr w:type="gram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engaged</w:t>
      </w:r>
      <w:proofErr w:type="gram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in the business of dealing in shares or investment in shares is essentially a</w:t>
      </w:r>
      <w:r w:rsidR="002A462A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question of fact and it has to be determined with regard to the entirety of the</w:t>
      </w:r>
      <w:r w:rsidR="002A462A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circumstances. Where the assessee is engaged in systematic activities of holding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portfolio through a PMS Manager, it cannot, by any stretch of imagination, be said</w:t>
      </w:r>
      <w:r w:rsidR="002A462A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that the main object of holding the portfolio is to make profit by sale of shares</w:t>
      </w:r>
      <w:r w:rsidR="002A462A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during the course of maintaining the portfolio investment over the period. The high</w:t>
      </w:r>
      <w:r w:rsidR="002A462A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number of transactions shown in the statem</w:t>
      </w:r>
      <w:r w:rsidR="002A462A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ent is misleading because these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are</w:t>
      </w:r>
      <w:r w:rsidR="002A462A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computer-split transactions and </w:t>
      </w:r>
      <w:proofErr w:type="gram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not independent</w:t>
      </w:r>
      <w:proofErr w:type="gram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transactions. Therefore, after</w:t>
      </w:r>
      <w:r w:rsidR="002A462A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considering the facts of the case it </w:t>
      </w:r>
      <w:proofErr w:type="gram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was held</w:t>
      </w:r>
      <w:proofErr w:type="gram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that the gains arising from PMS</w:t>
      </w:r>
      <w:r w:rsidR="002A462A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transactions are capital gains.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r>
        <w:rPr>
          <w:rFonts w:ascii="TTE51D2E00t00" w:hAnsi="TTE51D2E00t00" w:cs="TTE51D2E00t00"/>
          <w:color w:val="000000"/>
          <w:sz w:val="24"/>
          <w:szCs w:val="24"/>
          <w:lang w:val="en-IN" w:bidi="ar-SA"/>
        </w:rPr>
        <w:lastRenderedPageBreak/>
        <w:t xml:space="preserve">Note: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In the case of </w:t>
      </w:r>
      <w:r>
        <w:rPr>
          <w:rFonts w:ascii="TTE51D2E00t00" w:hAnsi="TTE51D2E00t00" w:cs="TTE51D2E00t00"/>
          <w:color w:val="000000"/>
          <w:sz w:val="24"/>
          <w:szCs w:val="24"/>
          <w:lang w:val="en-IN" w:bidi="ar-SA"/>
        </w:rPr>
        <w:t xml:space="preserve">ARA Trading &amp; Investments Pvt. Ltd. vs. DCIT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(ITAT </w:t>
      </w:r>
      <w:proofErr w:type="spell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Pune</w:t>
      </w:r>
      <w:proofErr w:type="spell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), the</w:t>
      </w:r>
      <w:r w:rsidR="002A462A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assessee company engaged in the business of investment in financial instruments,</w:t>
      </w:r>
      <w:r w:rsidR="002A462A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offered gain arising from shares held under PMS as Short Term Capital Gain. The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Assessing Officer treated entire </w:t>
      </w:r>
      <w:proofErr w:type="gram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shor</w:t>
      </w:r>
      <w:r w:rsidR="002A462A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t term</w:t>
      </w:r>
      <w:proofErr w:type="gramEnd"/>
      <w:r w:rsidR="002A462A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capital gain as business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income. The</w:t>
      </w:r>
      <w:r w:rsidR="002A462A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proofErr w:type="spellStart"/>
      <w:r>
        <w:rPr>
          <w:rFonts w:ascii="TTE51D2E00t00" w:hAnsi="TTE51D2E00t00" w:cs="TTE51D2E00t00"/>
          <w:color w:val="000000"/>
          <w:sz w:val="24"/>
          <w:szCs w:val="24"/>
          <w:lang w:val="en-IN" w:bidi="ar-SA"/>
        </w:rPr>
        <w:t>Pune</w:t>
      </w:r>
      <w:proofErr w:type="spellEnd"/>
      <w:r>
        <w:rPr>
          <w:rFonts w:ascii="TTE51D2E00t00" w:hAnsi="TTE51D2E00t00" w:cs="TTE51D2E00t00"/>
          <w:color w:val="000000"/>
          <w:sz w:val="24"/>
          <w:szCs w:val="24"/>
          <w:lang w:val="en-IN" w:bidi="ar-SA"/>
        </w:rPr>
        <w:t xml:space="preserve"> Tribunal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accepted the contention of the assessee on the ground that (</w:t>
      </w:r>
      <w:proofErr w:type="spell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i</w:t>
      </w:r>
      <w:proofErr w:type="spell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) the</w:t>
      </w:r>
      <w:r w:rsidR="002A462A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assessee had engaged a portfolio manager to look after its investments and all</w:t>
      </w:r>
      <w:r w:rsidR="002A462A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decisions to buy and sell were taken by the portfolio manager and not by the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proofErr w:type="spellStart"/>
      <w:proofErr w:type="gram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asessee</w:t>
      </w:r>
      <w:proofErr w:type="spellEnd"/>
      <w:proofErr w:type="gram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, the assessee cannot be called a “dealer”; (ii) The object of the PMS was to</w:t>
      </w:r>
      <w:r w:rsidR="002A462A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maximize the value of the portfolio. It was “wealth maximization” and not “profit</w:t>
      </w:r>
      <w:r w:rsidR="002A462A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maximization”; (iii) </w:t>
      </w:r>
      <w:proofErr w:type="gram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In</w:t>
      </w:r>
      <w:proofErr w:type="gram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the balance sheet, the shares were valued at cost and not at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proofErr w:type="gram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lower</w:t>
      </w:r>
      <w:proofErr w:type="gram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of cost or market value.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0"/>
          <w:szCs w:val="20"/>
          <w:lang w:val="en-IN" w:bidi="ar-SA"/>
        </w:rPr>
      </w:pPr>
    </w:p>
    <w:p w:rsidR="0094035B" w:rsidRDefault="0094035B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D2E00t00" w:hAnsi="TTE51D2E00t00" w:cs="TTE51D2E00t00"/>
          <w:color w:val="000000"/>
          <w:sz w:val="24"/>
          <w:szCs w:val="24"/>
          <w:lang w:val="en-IN" w:bidi="ar-SA"/>
        </w:rPr>
      </w:pPr>
    </w:p>
    <w:p w:rsidR="0094035B" w:rsidRDefault="0094035B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D2E00t00" w:hAnsi="TTE51D2E00t00" w:cs="TTE51D2E00t00"/>
          <w:color w:val="000000"/>
          <w:sz w:val="24"/>
          <w:szCs w:val="24"/>
          <w:lang w:val="en-IN" w:bidi="ar-SA"/>
        </w:rPr>
      </w:pPr>
    </w:p>
    <w:p w:rsidR="0094035B" w:rsidRDefault="0094035B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D2E00t00" w:hAnsi="TTE51D2E00t00" w:cs="TTE51D2E00t00"/>
          <w:color w:val="000000"/>
          <w:sz w:val="24"/>
          <w:szCs w:val="24"/>
          <w:lang w:val="en-IN" w:bidi="ar-SA"/>
        </w:rPr>
      </w:pPr>
    </w:p>
    <w:p w:rsidR="0094035B" w:rsidRDefault="0094035B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D2E00t00" w:hAnsi="TTE51D2E00t00" w:cs="TTE51D2E00t00"/>
          <w:color w:val="000000"/>
          <w:sz w:val="24"/>
          <w:szCs w:val="24"/>
          <w:lang w:val="en-IN" w:bidi="ar-SA"/>
        </w:rPr>
      </w:pPr>
    </w:p>
    <w:p w:rsidR="0094035B" w:rsidRDefault="0094035B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D2E00t00" w:hAnsi="TTE51D2E00t00" w:cs="TTE51D2E00t00"/>
          <w:color w:val="000000"/>
          <w:sz w:val="24"/>
          <w:szCs w:val="24"/>
          <w:lang w:val="en-IN" w:bidi="ar-SA"/>
        </w:rPr>
      </w:pPr>
    </w:p>
    <w:p w:rsidR="0094035B" w:rsidRDefault="0094035B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D2E00t00" w:hAnsi="TTE51D2E00t00" w:cs="TTE51D2E00t00"/>
          <w:color w:val="000000"/>
          <w:sz w:val="24"/>
          <w:szCs w:val="24"/>
          <w:lang w:val="en-IN" w:bidi="ar-SA"/>
        </w:rPr>
      </w:pP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D2E00t00" w:hAnsi="TTE51D2E00t00" w:cs="TTE51D2E00t00"/>
          <w:color w:val="000000"/>
          <w:sz w:val="24"/>
          <w:szCs w:val="24"/>
          <w:lang w:val="en-IN" w:bidi="ar-SA"/>
        </w:rPr>
      </w:pPr>
      <w:r>
        <w:rPr>
          <w:rFonts w:ascii="TTE51D2E00t00" w:hAnsi="TTE51D2E00t00" w:cs="TTE51D2E00t00"/>
          <w:color w:val="000000"/>
          <w:sz w:val="24"/>
          <w:szCs w:val="24"/>
          <w:lang w:val="en-IN" w:bidi="ar-SA"/>
        </w:rPr>
        <w:t>c. If the loss making companies are excluded from the comparables, comparables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D2E00t00" w:hAnsi="TTE51D2E00t00" w:cs="TTE51D2E00t00"/>
          <w:color w:val="000000"/>
          <w:sz w:val="24"/>
          <w:szCs w:val="24"/>
          <w:lang w:val="en-IN" w:bidi="ar-SA"/>
        </w:rPr>
      </w:pPr>
      <w:proofErr w:type="gramStart"/>
      <w:r>
        <w:rPr>
          <w:rFonts w:ascii="TTE51D2E00t00" w:hAnsi="TTE51D2E00t00" w:cs="TTE51D2E00t00"/>
          <w:color w:val="000000"/>
          <w:sz w:val="24"/>
          <w:szCs w:val="24"/>
          <w:lang w:val="en-IN" w:bidi="ar-SA"/>
        </w:rPr>
        <w:t>earning</w:t>
      </w:r>
      <w:proofErr w:type="gramEnd"/>
      <w:r>
        <w:rPr>
          <w:rFonts w:ascii="TTE51D2E00t00" w:hAnsi="TTE51D2E00t00" w:cs="TTE51D2E00t00"/>
          <w:color w:val="000000"/>
          <w:sz w:val="24"/>
          <w:szCs w:val="24"/>
          <w:lang w:val="en-IN" w:bidi="ar-SA"/>
        </w:rPr>
        <w:t xml:space="preserve"> super profits should also be excluded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D2E00t00" w:hAnsi="TTE51D2E00t00" w:cs="TTE51D2E00t00"/>
          <w:color w:val="000000"/>
          <w:sz w:val="24"/>
          <w:szCs w:val="24"/>
          <w:lang w:val="en-IN" w:bidi="ar-SA"/>
        </w:rPr>
      </w:pPr>
      <w:r>
        <w:rPr>
          <w:rFonts w:ascii="TTE51D2E00t00" w:hAnsi="TTE51D2E00t00" w:cs="TTE51D2E00t00"/>
          <w:color w:val="000000"/>
          <w:sz w:val="24"/>
          <w:szCs w:val="24"/>
          <w:lang w:val="en-IN" w:bidi="ar-SA"/>
        </w:rPr>
        <w:t>Sapient Corporation Pvt. Ltd vs. DCIT (ITAT – Delhi)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D2E00t00" w:hAnsi="TTE51D2E00t00" w:cs="TTE51D2E00t00"/>
          <w:color w:val="000000"/>
          <w:sz w:val="24"/>
          <w:szCs w:val="24"/>
          <w:lang w:val="en-IN" w:bidi="ar-SA"/>
        </w:rPr>
      </w:pP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r>
        <w:rPr>
          <w:rFonts w:ascii="TTE51D2E00t00" w:hAnsi="TTE51D2E00t00" w:cs="TTE51D2E00t00"/>
          <w:color w:val="000000"/>
          <w:sz w:val="24"/>
          <w:szCs w:val="24"/>
          <w:lang w:val="en-IN" w:bidi="ar-SA"/>
        </w:rPr>
        <w:t>Facts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: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Assessee </w:t>
      </w:r>
      <w:proofErr w:type="gram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company</w:t>
      </w:r>
      <w:proofErr w:type="gram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, a subsidiary of M/s Sapient Corporation, USA, provided software</w:t>
      </w:r>
      <w:r w:rsidR="002A462A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development and post sales services to its associated enterprises (AE). For the</w:t>
      </w:r>
      <w:r w:rsidR="002A462A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purpose of determination of arm’s length price for the said transactions,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proofErr w:type="gram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“Transaction Net Margin Method (TNMM)” was applied by the assessee as most</w:t>
      </w:r>
      <w:r w:rsidR="002A462A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appropriate method for benchmarking</w:t>
      </w:r>
      <w:proofErr w:type="gram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. Profit margin on transactions with AE was</w:t>
      </w:r>
      <w:r w:rsidR="002A462A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determined at 12.49% as compared to average profit margin for similar transactions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proofErr w:type="gram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with</w:t>
      </w:r>
      <w:proofErr w:type="gram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unrelated third parties at 9.31%. However, the Transfer Pricing Officer (TPO)</w:t>
      </w:r>
      <w:r w:rsidR="002A462A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rejected inclusion of five companies for the purpose of determination of average</w:t>
      </w:r>
      <w:r w:rsidR="002A462A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mean on the ground of decreasing profitability and negative net worth of these</w:t>
      </w:r>
      <w:r w:rsidR="002A462A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companies. </w:t>
      </w:r>
      <w:proofErr w:type="gram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Also</w:t>
      </w:r>
      <w:proofErr w:type="gram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, </w:t>
      </w:r>
      <w:proofErr w:type="spell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assessee’s</w:t>
      </w:r>
      <w:proofErr w:type="spell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plea for non inclusion of one of the companies engaged</w:t>
      </w:r>
      <w:r w:rsidR="002A462A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in software selling along with other services earning supernormal profits was</w:t>
      </w:r>
      <w:r w:rsidR="002A462A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rejec</w:t>
      </w:r>
      <w:r w:rsidR="002A462A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ted on the ground that the said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company was included in the list of</w:t>
      </w:r>
      <w:r w:rsidR="002A462A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comparables by the assessee himself and now he cannot agitate against its inclusion.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D2E00t00" w:hAnsi="TTE51D2E00t00" w:cs="TTE51D2E00t00"/>
          <w:color w:val="000000"/>
          <w:sz w:val="24"/>
          <w:szCs w:val="24"/>
          <w:lang w:val="en-IN" w:bidi="ar-SA"/>
        </w:rPr>
      </w:pPr>
    </w:p>
    <w:p w:rsidR="0094035B" w:rsidRDefault="0094035B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D2E00t00" w:hAnsi="TTE51D2E00t00" w:cs="TTE51D2E00t00"/>
          <w:color w:val="000000"/>
          <w:sz w:val="24"/>
          <w:szCs w:val="24"/>
          <w:lang w:val="en-IN" w:bidi="ar-SA"/>
        </w:rPr>
      </w:pP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D2E00t00" w:hAnsi="TTE51D2E00t00" w:cs="TTE51D2E00t00"/>
          <w:color w:val="000000"/>
          <w:sz w:val="24"/>
          <w:szCs w:val="24"/>
          <w:lang w:val="en-IN" w:bidi="ar-SA"/>
        </w:rPr>
      </w:pPr>
      <w:r>
        <w:rPr>
          <w:rFonts w:ascii="TTE51D2E00t00" w:hAnsi="TTE51D2E00t00" w:cs="TTE51D2E00t00"/>
          <w:color w:val="000000"/>
          <w:sz w:val="24"/>
          <w:szCs w:val="24"/>
          <w:lang w:val="en-IN" w:bidi="ar-SA"/>
        </w:rPr>
        <w:t>Issue: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proofErr w:type="gram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Whether the officer was justified in considering said company earning supernormal</w:t>
      </w:r>
      <w:r w:rsidR="0094035B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profits even though it did not satisfy his own additional filters?</w:t>
      </w:r>
      <w:proofErr w:type="gramEnd"/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D2E00t00" w:hAnsi="TTE51D2E00t00" w:cs="TTE51D2E00t00"/>
          <w:color w:val="000000"/>
          <w:sz w:val="24"/>
          <w:szCs w:val="24"/>
          <w:lang w:val="en-IN" w:bidi="ar-SA"/>
        </w:rPr>
      </w:pP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D2E00t00" w:hAnsi="TTE51D2E00t00" w:cs="TTE51D2E00t00"/>
          <w:color w:val="000000"/>
          <w:sz w:val="24"/>
          <w:szCs w:val="24"/>
          <w:lang w:val="en-IN" w:bidi="ar-SA"/>
        </w:rPr>
      </w:pPr>
      <w:r>
        <w:rPr>
          <w:rFonts w:ascii="TTE51D2E00t00" w:hAnsi="TTE51D2E00t00" w:cs="TTE51D2E00t00"/>
          <w:color w:val="000000"/>
          <w:sz w:val="24"/>
          <w:szCs w:val="24"/>
          <w:lang w:val="en-IN" w:bidi="ar-SA"/>
        </w:rPr>
        <w:t>Held: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When the loss making companies </w:t>
      </w:r>
      <w:proofErr w:type="gram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are excluded</w:t>
      </w:r>
      <w:proofErr w:type="gram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from the list of comparables,</w:t>
      </w:r>
      <w:r w:rsidR="0094035B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companies having super normal profits should also be excluded. The fact that</w:t>
      </w:r>
      <w:r w:rsidR="0094035B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assessee has himself included company with supernormal profits in the list of</w:t>
      </w:r>
      <w:r w:rsidR="0094035B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comparables cannot act as </w:t>
      </w:r>
      <w:proofErr w:type="spell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estoppel</w:t>
      </w:r>
      <w:proofErr w:type="spell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more particularly because of the fact that AO</w:t>
      </w:r>
      <w:r w:rsidR="0094035B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has himself rejected companies with lower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lastRenderedPageBreak/>
        <w:t xml:space="preserve">profits. Rejection of companies </w:t>
      </w:r>
      <w:proofErr w:type="gram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on the</w:t>
      </w:r>
      <w:r w:rsidR="0094035B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basis of</w:t>
      </w:r>
      <w:proofErr w:type="gram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profit margin, rather than functional or asset profile, would not meet the</w:t>
      </w:r>
      <w:r w:rsidR="0094035B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comparability standard as required in application of the "TNMM”. It is a settled</w:t>
      </w:r>
      <w:r w:rsidR="0094035B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position that under transfer pricing regulation, comparability is to </w:t>
      </w:r>
      <w:proofErr w:type="gram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be judged</w:t>
      </w:r>
      <w:proofErr w:type="gram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with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proofErr w:type="gram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reference</w:t>
      </w:r>
      <w:proofErr w:type="gram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to functions performed, assets utilized and risk assumed (FAR) and the</w:t>
      </w:r>
      <w:r w:rsidR="0094035B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parameters such as declining operating results and sales, etc., are not the relevant</w:t>
      </w:r>
      <w:r w:rsidR="0094035B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consideration. Hence, when loss making companies have been removed from</w:t>
      </w:r>
      <w:r w:rsidR="0094035B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comparables by the TPO, assessee is right in contending that company showing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proofErr w:type="gram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super</w:t>
      </w:r>
      <w:proofErr w:type="gram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profits should also be removed.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D2E00t00" w:hAnsi="TTE51D2E00t00" w:cs="TTE51D2E00t00"/>
          <w:color w:val="000000"/>
          <w:sz w:val="24"/>
          <w:szCs w:val="24"/>
          <w:lang w:val="en-IN" w:bidi="ar-SA"/>
        </w:rPr>
      </w:pP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D2E00t00" w:hAnsi="TTE51D2E00t00" w:cs="TTE51D2E00t00"/>
          <w:color w:val="000000"/>
          <w:sz w:val="24"/>
          <w:szCs w:val="24"/>
          <w:lang w:val="en-IN" w:bidi="ar-SA"/>
        </w:rPr>
      </w:pPr>
      <w:proofErr w:type="gramStart"/>
      <w:r>
        <w:rPr>
          <w:rFonts w:ascii="TTE51D2E00t00" w:hAnsi="TTE51D2E00t00" w:cs="TTE51D2E00t00"/>
          <w:color w:val="000000"/>
          <w:sz w:val="24"/>
          <w:szCs w:val="24"/>
          <w:lang w:val="en-IN" w:bidi="ar-SA"/>
        </w:rPr>
        <w:t>d</w:t>
      </w:r>
      <w:proofErr w:type="gramEnd"/>
      <w:r>
        <w:rPr>
          <w:rFonts w:ascii="TTE51D2E00t00" w:hAnsi="TTE51D2E00t00" w:cs="TTE51D2E00t00"/>
          <w:color w:val="000000"/>
          <w:sz w:val="24"/>
          <w:szCs w:val="24"/>
          <w:lang w:val="en-IN" w:bidi="ar-SA"/>
        </w:rPr>
        <w:t>. Section 2(22)(e) “deemed dividend” not assessable if recipient not shareholder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D2E00t00" w:hAnsi="TTE51D2E00t00" w:cs="TTE51D2E00t00"/>
          <w:color w:val="000000"/>
          <w:sz w:val="24"/>
          <w:szCs w:val="24"/>
          <w:lang w:val="en-IN" w:bidi="ar-SA"/>
        </w:rPr>
      </w:pPr>
      <w:r>
        <w:rPr>
          <w:rFonts w:ascii="TTE51D2E00t00" w:hAnsi="TTE51D2E00t00" w:cs="TTE51D2E00t00"/>
          <w:color w:val="000000"/>
          <w:sz w:val="24"/>
          <w:szCs w:val="24"/>
          <w:lang w:val="en-IN" w:bidi="ar-SA"/>
        </w:rPr>
        <w:t xml:space="preserve">CIT vs. </w:t>
      </w:r>
      <w:proofErr w:type="spellStart"/>
      <w:r>
        <w:rPr>
          <w:rFonts w:ascii="TTE51D2E00t00" w:hAnsi="TTE51D2E00t00" w:cs="TTE51D2E00t00"/>
          <w:color w:val="000000"/>
          <w:sz w:val="24"/>
          <w:szCs w:val="24"/>
          <w:lang w:val="en-IN" w:bidi="ar-SA"/>
        </w:rPr>
        <w:t>Ankitech</w:t>
      </w:r>
      <w:proofErr w:type="spellEnd"/>
      <w:r>
        <w:rPr>
          <w:rFonts w:ascii="TTE51D2E00t00" w:hAnsi="TTE51D2E00t00" w:cs="TTE51D2E00t00"/>
          <w:color w:val="000000"/>
          <w:sz w:val="24"/>
          <w:szCs w:val="24"/>
          <w:lang w:val="en-IN" w:bidi="ar-SA"/>
        </w:rPr>
        <w:t xml:space="preserve"> </w:t>
      </w:r>
      <w:proofErr w:type="spellStart"/>
      <w:r>
        <w:rPr>
          <w:rFonts w:ascii="TTE51D2E00t00" w:hAnsi="TTE51D2E00t00" w:cs="TTE51D2E00t00"/>
          <w:color w:val="000000"/>
          <w:sz w:val="24"/>
          <w:szCs w:val="24"/>
          <w:lang w:val="en-IN" w:bidi="ar-SA"/>
        </w:rPr>
        <w:t>Pvt</w:t>
      </w:r>
      <w:proofErr w:type="spellEnd"/>
      <w:r>
        <w:rPr>
          <w:rFonts w:ascii="TTE51D2E00t00" w:hAnsi="TTE51D2E00t00" w:cs="TTE51D2E00t00"/>
          <w:color w:val="000000"/>
          <w:sz w:val="24"/>
          <w:szCs w:val="24"/>
          <w:lang w:val="en-IN" w:bidi="ar-SA"/>
        </w:rPr>
        <w:t xml:space="preserve"> Ltd (Delhi High Court)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D2E00t00" w:hAnsi="TTE51D2E00t00" w:cs="TTE51D2E00t00"/>
          <w:color w:val="000000"/>
          <w:sz w:val="24"/>
          <w:szCs w:val="24"/>
          <w:lang w:val="en-IN" w:bidi="ar-SA"/>
        </w:rPr>
      </w:pP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r>
        <w:rPr>
          <w:rFonts w:ascii="TTE51D2E00t00" w:hAnsi="TTE51D2E00t00" w:cs="TTE51D2E00t00"/>
          <w:color w:val="000000"/>
          <w:sz w:val="24"/>
          <w:szCs w:val="24"/>
          <w:lang w:val="en-IN" w:bidi="ar-SA"/>
        </w:rPr>
        <w:t>Facts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: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proofErr w:type="spell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i</w:t>
      </w:r>
      <w:proofErr w:type="spell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. The assessee received advances of Rs. 6.32 </w:t>
      </w:r>
      <w:proofErr w:type="spell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crores</w:t>
      </w:r>
      <w:proofErr w:type="spell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by way of book entry from</w:t>
      </w:r>
      <w:r w:rsidR="0094035B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Jacksons Generators Pvt. Ltd (JGPL), a closely held company during the year</w:t>
      </w:r>
      <w:r w:rsidR="0094035B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under consideration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ii. The assessee company was not a shareholder of JGPL </w:t>
      </w:r>
      <w:proofErr w:type="gram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however</w:t>
      </w:r>
      <w:proofErr w:type="gram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the shareholders</w:t>
      </w:r>
      <w:r w:rsidR="0094035B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having substantial interest in the assessee company were the shareholders</w:t>
      </w:r>
      <w:r w:rsidR="0094035B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having substantial interest in JGPL.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iii. AO and </w:t>
      </w:r>
      <w:proofErr w:type="gram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CIT(</w:t>
      </w:r>
      <w:proofErr w:type="gram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A) were of the view that such advances/loans is to be considered as</w:t>
      </w:r>
      <w:r w:rsidR="0094035B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“deemed dividend” u/s 2(22)(e) of the Act and added the amount to the total</w:t>
      </w:r>
      <w:r w:rsidR="0094035B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income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iv. On further appeal, ITAT deleted the addition. Aggrieved by the order of ITAT,</w:t>
      </w:r>
      <w:r w:rsidR="0094035B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revenue preferred an appeal to the High Court.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D2E00t00" w:hAnsi="TTE51D2E00t00" w:cs="TTE51D2E00t00"/>
          <w:color w:val="000000"/>
          <w:sz w:val="24"/>
          <w:szCs w:val="24"/>
          <w:lang w:val="en-IN" w:bidi="ar-SA"/>
        </w:rPr>
      </w:pP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D2E00t00" w:hAnsi="TTE51D2E00t00" w:cs="TTE51D2E00t00"/>
          <w:color w:val="000000"/>
          <w:sz w:val="24"/>
          <w:szCs w:val="24"/>
          <w:lang w:val="en-IN" w:bidi="ar-SA"/>
        </w:rPr>
      </w:pPr>
      <w:r>
        <w:rPr>
          <w:rFonts w:ascii="TTE51D2E00t00" w:hAnsi="TTE51D2E00t00" w:cs="TTE51D2E00t00"/>
          <w:color w:val="000000"/>
          <w:sz w:val="24"/>
          <w:szCs w:val="24"/>
          <w:lang w:val="en-IN" w:bidi="ar-SA"/>
        </w:rPr>
        <w:t>Issue: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Whether the amount received by the assessee by way of book entry falls within the</w:t>
      </w:r>
      <w:r w:rsidR="0094035B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ambit of Section 2(22</w:t>
      </w:r>
      <w:proofErr w:type="gram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)(</w:t>
      </w:r>
      <w:proofErr w:type="gram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e) of the Act?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D2E00t00" w:hAnsi="TTE51D2E00t00" w:cs="TTE51D2E00t00"/>
          <w:color w:val="000000"/>
          <w:sz w:val="24"/>
          <w:szCs w:val="24"/>
          <w:lang w:val="en-IN" w:bidi="ar-SA"/>
        </w:rPr>
      </w:pP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r>
        <w:rPr>
          <w:rFonts w:ascii="TTE51D2E00t00" w:hAnsi="TTE51D2E00t00" w:cs="TTE51D2E00t00"/>
          <w:color w:val="000000"/>
          <w:sz w:val="24"/>
          <w:szCs w:val="24"/>
          <w:lang w:val="en-IN" w:bidi="ar-SA"/>
        </w:rPr>
        <w:t xml:space="preserve">Held: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Delhi High Court held as under: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proofErr w:type="spell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i</w:t>
      </w:r>
      <w:proofErr w:type="spell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. The intention behind enacting the provisions of 2(22)(e) of the Act is that in case</w:t>
      </w:r>
      <w:r w:rsidR="0094035B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of closely held</w:t>
      </w:r>
      <w:r w:rsidR="0094035B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companies which are controlled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by a group of members,</w:t>
      </w:r>
      <w:r w:rsidR="0094035B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company instead of distributing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accumulated profits as dividend, used to</w:t>
      </w:r>
      <w:r w:rsidR="0094035B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distribute them as loan or advance to shareholders, for the individual benefit of</w:t>
      </w:r>
      <w:r w:rsidR="0094035B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such shareholder.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ii. In such an event, by deeming provision, such payment by company </w:t>
      </w:r>
      <w:proofErr w:type="gram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is treated</w:t>
      </w:r>
      <w:proofErr w:type="gram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as</w:t>
      </w:r>
      <w:r w:rsidR="0094035B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dividend. Since the intention is to tax dividend in the hands of shareholder, the</w:t>
      </w:r>
      <w:r w:rsidR="0094035B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deeming provisions as it applies to the case of loans or advances by a company</w:t>
      </w:r>
      <w:r w:rsidR="0094035B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to a concern in which its shareholder has substantial interest, is based on the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proofErr w:type="gram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presumption</w:t>
      </w:r>
      <w:proofErr w:type="gram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that the loans or advances would ultimately be made available to</w:t>
      </w:r>
      <w:r w:rsidR="0094035B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the shareholders of the company giving the loan or advance. It has been made so</w:t>
      </w:r>
      <w:r w:rsidR="0094035B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by legal fiction created under Section 2(22</w:t>
      </w:r>
      <w:proofErr w:type="gram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)(</w:t>
      </w:r>
      <w:proofErr w:type="gram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e) of the Act. It is the definition of</w:t>
      </w:r>
      <w:r w:rsidR="0094035B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proofErr w:type="gram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dividend which</w:t>
      </w:r>
      <w:proofErr w:type="gram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is enlarged by deeming provision. Legal fiction does not extend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proofErr w:type="gram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to</w:t>
      </w:r>
      <w:proofErr w:type="gram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‘shareholder’.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iii. If the intention of the Legislature was to tax such loan or advance as deemed</w:t>
      </w:r>
      <w:r w:rsidR="0094035B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dividend in the hands of ―deeming shareholder, then the Legislature would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proofErr w:type="gram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have</w:t>
      </w:r>
      <w:proofErr w:type="gram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inserted deeming provision in respect of shareholder as well, that has not</w:t>
      </w:r>
      <w:r w:rsidR="0094035B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happened.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proofErr w:type="gram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lastRenderedPageBreak/>
        <w:t>iv. Also</w:t>
      </w:r>
      <w:proofErr w:type="gram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such loan or advance received by assessee, in the first place, is not an</w:t>
      </w:r>
      <w:r w:rsidR="0094035B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income. Such a loan or advance has to </w:t>
      </w:r>
      <w:proofErr w:type="gram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be returned</w:t>
      </w:r>
      <w:proofErr w:type="gram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by the assessee to the</w:t>
      </w:r>
      <w:r w:rsidR="0094035B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company. </w:t>
      </w:r>
      <w:proofErr w:type="gram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Thus</w:t>
      </w:r>
      <w:proofErr w:type="gram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High Court upheld the order of ITAT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D2E00t00" w:hAnsi="TTE51D2E00t00" w:cs="TTE51D2E00t00"/>
          <w:color w:val="000000"/>
          <w:sz w:val="24"/>
          <w:szCs w:val="24"/>
          <w:lang w:val="en-IN" w:bidi="ar-SA"/>
        </w:rPr>
      </w:pP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D2E00t00" w:hAnsi="TTE51D2E00t00" w:cs="TTE51D2E00t00"/>
          <w:color w:val="000000"/>
          <w:sz w:val="24"/>
          <w:szCs w:val="24"/>
          <w:lang w:val="en-IN" w:bidi="ar-SA"/>
        </w:rPr>
      </w:pPr>
      <w:r>
        <w:rPr>
          <w:rFonts w:ascii="TTE51D2E00t00" w:hAnsi="TTE51D2E00t00" w:cs="TTE51D2E00t00"/>
          <w:color w:val="000000"/>
          <w:sz w:val="24"/>
          <w:szCs w:val="24"/>
          <w:lang w:val="en-IN" w:bidi="ar-SA"/>
        </w:rPr>
        <w:t>e. Section 50C the Income-tax Act does not apply to transfer of leasehold rights in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D2E00t00" w:hAnsi="TTE51D2E00t00" w:cs="TTE51D2E00t00"/>
          <w:color w:val="000000"/>
          <w:sz w:val="24"/>
          <w:szCs w:val="24"/>
          <w:lang w:val="en-IN" w:bidi="ar-SA"/>
        </w:rPr>
      </w:pPr>
      <w:proofErr w:type="gramStart"/>
      <w:r>
        <w:rPr>
          <w:rFonts w:ascii="TTE51D2E00t00" w:hAnsi="TTE51D2E00t00" w:cs="TTE51D2E00t00"/>
          <w:color w:val="000000"/>
          <w:sz w:val="24"/>
          <w:szCs w:val="24"/>
          <w:lang w:val="en-IN" w:bidi="ar-SA"/>
        </w:rPr>
        <w:t>land</w:t>
      </w:r>
      <w:proofErr w:type="gramEnd"/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D2E00t00" w:hAnsi="TTE51D2E00t00" w:cs="TTE51D2E00t00"/>
          <w:color w:val="000000"/>
          <w:sz w:val="24"/>
          <w:szCs w:val="24"/>
          <w:lang w:val="en-IN" w:bidi="ar-SA"/>
        </w:rPr>
      </w:pPr>
      <w:proofErr w:type="spellStart"/>
      <w:r>
        <w:rPr>
          <w:rFonts w:ascii="TTE51D2E00t00" w:hAnsi="TTE51D2E00t00" w:cs="TTE51D2E00t00"/>
          <w:color w:val="000000"/>
          <w:sz w:val="24"/>
          <w:szCs w:val="24"/>
          <w:lang w:val="en-IN" w:bidi="ar-SA"/>
        </w:rPr>
        <w:t>Atul</w:t>
      </w:r>
      <w:proofErr w:type="spellEnd"/>
      <w:r>
        <w:rPr>
          <w:rFonts w:ascii="TTE51D2E00t00" w:hAnsi="TTE51D2E00t00" w:cs="TTE51D2E00t00"/>
          <w:color w:val="000000"/>
          <w:sz w:val="24"/>
          <w:szCs w:val="24"/>
          <w:lang w:val="en-IN" w:bidi="ar-SA"/>
        </w:rPr>
        <w:t xml:space="preserve"> </w:t>
      </w:r>
      <w:proofErr w:type="spellStart"/>
      <w:r>
        <w:rPr>
          <w:rFonts w:ascii="TTE51D2E00t00" w:hAnsi="TTE51D2E00t00" w:cs="TTE51D2E00t00"/>
          <w:color w:val="000000"/>
          <w:sz w:val="24"/>
          <w:szCs w:val="24"/>
          <w:lang w:val="en-IN" w:bidi="ar-SA"/>
        </w:rPr>
        <w:t>Puranik</w:t>
      </w:r>
      <w:proofErr w:type="spellEnd"/>
      <w:r>
        <w:rPr>
          <w:rFonts w:ascii="TTE51D2E00t00" w:hAnsi="TTE51D2E00t00" w:cs="TTE51D2E00t00"/>
          <w:color w:val="000000"/>
          <w:sz w:val="24"/>
          <w:szCs w:val="24"/>
          <w:lang w:val="en-IN" w:bidi="ar-SA"/>
        </w:rPr>
        <w:t xml:space="preserve"> v. ITO (ITAT – Mumbai)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D2E00t00" w:hAnsi="TTE51D2E00t00" w:cs="TTE51D2E00t00"/>
          <w:color w:val="000000"/>
          <w:sz w:val="24"/>
          <w:szCs w:val="24"/>
          <w:lang w:val="en-IN" w:bidi="ar-SA"/>
        </w:rPr>
      </w:pP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r>
        <w:rPr>
          <w:rFonts w:ascii="TTE51D2E00t00" w:hAnsi="TTE51D2E00t00" w:cs="TTE51D2E00t00"/>
          <w:color w:val="000000"/>
          <w:sz w:val="24"/>
          <w:szCs w:val="24"/>
          <w:lang w:val="en-IN" w:bidi="ar-SA"/>
        </w:rPr>
        <w:t>Facts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: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proofErr w:type="spell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i</w:t>
      </w:r>
      <w:proofErr w:type="spell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. The assessee was allotted leasehold right for 60 years in a plot under CIDCO</w:t>
      </w:r>
      <w:r w:rsidR="0094035B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12.5% Scheme.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ii. Assessee transferred the leaseh</w:t>
      </w:r>
      <w:r w:rsidR="0094035B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old rights of said plot to M/s. </w:t>
      </w:r>
      <w:proofErr w:type="spell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Pathik</w:t>
      </w:r>
      <w:proofErr w:type="spell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Construction</w:t>
      </w:r>
      <w:r w:rsidR="0094035B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for a sum of Rs.2.50 </w:t>
      </w:r>
      <w:proofErr w:type="spellStart"/>
      <w:proofErr w:type="gram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crores</w:t>
      </w:r>
      <w:proofErr w:type="spellEnd"/>
      <w:proofErr w:type="gram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.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iii. AO applied the provisions of section 50C of the Act and determined the deemed</w:t>
      </w:r>
      <w:r w:rsidR="0094035B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consideration of Rs. 2.88 </w:t>
      </w:r>
      <w:proofErr w:type="spell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crores</w:t>
      </w:r>
      <w:proofErr w:type="spell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and computed capital gains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iv. CIT (Appeals) upheld the action of AO.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D2E00t00" w:hAnsi="TTE51D2E00t00" w:cs="TTE51D2E00t00"/>
          <w:color w:val="000000"/>
          <w:sz w:val="24"/>
          <w:szCs w:val="24"/>
          <w:lang w:val="en-IN" w:bidi="ar-SA"/>
        </w:rPr>
      </w:pPr>
    </w:p>
    <w:p w:rsidR="0030566E" w:rsidRPr="0094035B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proofErr w:type="gramStart"/>
      <w:r>
        <w:rPr>
          <w:rFonts w:ascii="TTE51D2E00t00" w:hAnsi="TTE51D2E00t00" w:cs="TTE51D2E00t00"/>
          <w:color w:val="000000"/>
          <w:sz w:val="24"/>
          <w:szCs w:val="24"/>
          <w:lang w:val="en-IN" w:bidi="ar-SA"/>
        </w:rPr>
        <w:t xml:space="preserve">Issue: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Whether provision of Section 50C of the Act is applicable to transfer </w:t>
      </w:r>
      <w:r w:rsidR="0094035B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of leasehold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rights in land</w:t>
      </w:r>
      <w:r>
        <w:rPr>
          <w:rFonts w:ascii="TTE51D2E00t00" w:hAnsi="TTE51D2E00t00" w:cs="TTE51D2E00t00"/>
          <w:color w:val="000000"/>
          <w:sz w:val="24"/>
          <w:szCs w:val="24"/>
          <w:lang w:val="en-IN" w:bidi="ar-SA"/>
        </w:rPr>
        <w:t>?</w:t>
      </w:r>
      <w:proofErr w:type="gramEnd"/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D2E00t00" w:hAnsi="TTE51D2E00t00" w:cs="TTE51D2E00t00"/>
          <w:color w:val="000000"/>
          <w:sz w:val="24"/>
          <w:szCs w:val="24"/>
          <w:lang w:val="en-IN" w:bidi="ar-SA"/>
        </w:rPr>
      </w:pP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D2E00t00" w:hAnsi="TTE51D2E00t00" w:cs="TTE51D2E00t00"/>
          <w:color w:val="000000"/>
          <w:sz w:val="24"/>
          <w:szCs w:val="24"/>
          <w:lang w:val="en-IN" w:bidi="ar-SA"/>
        </w:rPr>
      </w:pPr>
      <w:r>
        <w:rPr>
          <w:rFonts w:ascii="TTE51D2E00t00" w:hAnsi="TTE51D2E00t00" w:cs="TTE51D2E00t00"/>
          <w:color w:val="000000"/>
          <w:sz w:val="24"/>
          <w:szCs w:val="24"/>
          <w:lang w:val="en-IN" w:bidi="ar-SA"/>
        </w:rPr>
        <w:t>Held: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In appeal before ITAT, it </w:t>
      </w:r>
      <w:proofErr w:type="gram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was held</w:t>
      </w:r>
      <w:proofErr w:type="gram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that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proofErr w:type="spell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i</w:t>
      </w:r>
      <w:proofErr w:type="spell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. Section 50C extends only to a capital </w:t>
      </w:r>
      <w:proofErr w:type="gram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asset which</w:t>
      </w:r>
      <w:proofErr w:type="gram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is “land or building or both.</w:t>
      </w:r>
      <w:r w:rsidR="0094035B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Deeming provision </w:t>
      </w:r>
      <w:proofErr w:type="gram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cannot be extended</w:t>
      </w:r>
      <w:proofErr w:type="gram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beyond the purpose for which it is</w:t>
      </w:r>
      <w:r w:rsidR="0094035B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enacted.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ii. The deeming fiction of substituting stamp duty value as full value of</w:t>
      </w:r>
      <w:r w:rsidR="0094035B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consideration is applicable only in respect of “</w:t>
      </w:r>
      <w:proofErr w:type="gram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land or building</w:t>
      </w:r>
      <w:proofErr w:type="gram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or both”. If the</w:t>
      </w:r>
      <w:r w:rsidR="0094035B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capital asset under transfer is other than ‘</w:t>
      </w:r>
      <w:proofErr w:type="gram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land or building</w:t>
      </w:r>
      <w:proofErr w:type="gram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or both’, then sec. 50C</w:t>
      </w:r>
      <w:r w:rsidR="0094035B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will cease to apply.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iii. The assessee has assigned the lease right in the said plot to M/s. </w:t>
      </w:r>
      <w:proofErr w:type="spell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Pathik</w:t>
      </w:r>
      <w:proofErr w:type="spellEnd"/>
      <w:r w:rsidR="0094035B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Construction. Lease rig</w:t>
      </w:r>
      <w:r w:rsidR="0094035B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ht in a plot of land is </w:t>
      </w:r>
      <w:proofErr w:type="gramStart"/>
      <w:r w:rsidR="0094035B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neither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‘land or building or both’</w:t>
      </w:r>
      <w:proofErr w:type="gram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.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iv. Provision of section 50C does not apply to leasehold rights in land.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r>
        <w:rPr>
          <w:rFonts w:ascii="TTE51D2E00t00" w:hAnsi="TTE51D2E00t00" w:cs="TTE51D2E00t00"/>
          <w:color w:val="000000"/>
          <w:sz w:val="24"/>
          <w:szCs w:val="24"/>
          <w:lang w:val="en-IN" w:bidi="ar-SA"/>
        </w:rPr>
        <w:t xml:space="preserve">Note: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A similar view </w:t>
      </w:r>
      <w:proofErr w:type="gram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has been taken</w:t>
      </w:r>
      <w:proofErr w:type="gram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by Mumbai ITAT in the case of </w:t>
      </w:r>
      <w:proofErr w:type="spell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Kishori</w:t>
      </w:r>
      <w:proofErr w:type="spell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proofErr w:type="spell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Sharad</w:t>
      </w:r>
      <w:proofErr w:type="spellEnd"/>
      <w:r w:rsidR="0094035B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proofErr w:type="spell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Gaitonde</w:t>
      </w:r>
      <w:proofErr w:type="spell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vs. ITO wherein it was held that section 50C does not apply to all capital</w:t>
      </w:r>
      <w:r w:rsidR="0094035B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assets but only to “land or building”. A tenancy right is not “land or building.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However, Mumbai ITAT in case of </w:t>
      </w:r>
      <w:proofErr w:type="spell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Arif</w:t>
      </w:r>
      <w:proofErr w:type="spell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proofErr w:type="spell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Akhatar</w:t>
      </w:r>
      <w:proofErr w:type="spell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proofErr w:type="spell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Hussain</w:t>
      </w:r>
      <w:proofErr w:type="spell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vs. </w:t>
      </w:r>
      <w:proofErr w:type="gram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ITO,</w:t>
      </w:r>
      <w:proofErr w:type="gram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has taken a contrary</w:t>
      </w:r>
      <w:r w:rsidR="0094035B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view by holdin</w:t>
      </w:r>
      <w:r w:rsidR="0094035B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g that provision of section 50C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shall apply in case of transfer of</w:t>
      </w:r>
      <w:r w:rsidR="0094035B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development right.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D2E00t00" w:hAnsi="TTE51D2E00t00" w:cs="TTE51D2E00t00"/>
          <w:color w:val="000000"/>
          <w:sz w:val="24"/>
          <w:szCs w:val="24"/>
          <w:lang w:val="en-IN" w:bidi="ar-SA"/>
        </w:rPr>
      </w:pP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D2E00t00" w:hAnsi="TTE51D2E00t00" w:cs="TTE51D2E00t00"/>
          <w:color w:val="000000"/>
          <w:sz w:val="24"/>
          <w:szCs w:val="24"/>
          <w:lang w:val="en-IN" w:bidi="ar-SA"/>
        </w:rPr>
      </w:pP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D2E00t00" w:hAnsi="TTE51D2E00t00" w:cs="TTE51D2E00t00"/>
          <w:color w:val="000000"/>
          <w:sz w:val="24"/>
          <w:szCs w:val="24"/>
          <w:lang w:val="en-IN" w:bidi="ar-SA"/>
        </w:rPr>
      </w:pP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D2E00t00" w:hAnsi="TTE51D2E00t00" w:cs="TTE51D2E00t00"/>
          <w:color w:val="000000"/>
          <w:sz w:val="24"/>
          <w:szCs w:val="24"/>
          <w:lang w:val="en-IN" w:bidi="ar-SA"/>
        </w:rPr>
      </w:pP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D2E00t00" w:hAnsi="TTE51D2E00t00" w:cs="TTE51D2E00t00"/>
          <w:color w:val="000000"/>
          <w:sz w:val="24"/>
          <w:szCs w:val="24"/>
          <w:lang w:val="en-IN" w:bidi="ar-SA"/>
        </w:rPr>
      </w:pP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D2E00t00" w:hAnsi="TTE51D2E00t00" w:cs="TTE51D2E00t00"/>
          <w:color w:val="000000"/>
          <w:sz w:val="24"/>
          <w:szCs w:val="24"/>
          <w:lang w:val="en-IN" w:bidi="ar-SA"/>
        </w:rPr>
      </w:pP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D2E00t00" w:hAnsi="TTE51D2E00t00" w:cs="TTE51D2E00t00"/>
          <w:color w:val="000000"/>
          <w:sz w:val="24"/>
          <w:szCs w:val="24"/>
          <w:lang w:val="en-IN" w:bidi="ar-SA"/>
        </w:rPr>
      </w:pP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D2E00t00" w:hAnsi="TTE51D2E00t00" w:cs="TTE51D2E00t00"/>
          <w:color w:val="000000"/>
          <w:sz w:val="24"/>
          <w:szCs w:val="24"/>
          <w:lang w:val="en-IN" w:bidi="ar-SA"/>
        </w:rPr>
      </w:pP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D2E00t00" w:hAnsi="TTE51D2E00t00" w:cs="TTE51D2E00t00"/>
          <w:color w:val="000000"/>
          <w:sz w:val="24"/>
          <w:szCs w:val="24"/>
          <w:lang w:val="en-IN" w:bidi="ar-SA"/>
        </w:rPr>
      </w:pP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D2E00t00" w:hAnsi="TTE51D2E00t00" w:cs="TTE51D2E00t00"/>
          <w:color w:val="000000"/>
          <w:sz w:val="24"/>
          <w:szCs w:val="24"/>
          <w:lang w:val="en-IN" w:bidi="ar-SA"/>
        </w:rPr>
      </w:pP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D2E00t00" w:hAnsi="TTE51D2E00t00" w:cs="TTE51D2E00t00"/>
          <w:color w:val="000000"/>
          <w:sz w:val="24"/>
          <w:szCs w:val="24"/>
          <w:lang w:val="en-IN" w:bidi="ar-SA"/>
        </w:rPr>
      </w:pP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D2E00t00" w:hAnsi="TTE51D2E00t00" w:cs="TTE51D2E00t00"/>
          <w:color w:val="000000"/>
          <w:sz w:val="24"/>
          <w:szCs w:val="24"/>
          <w:lang w:val="en-IN" w:bidi="ar-SA"/>
        </w:rPr>
      </w:pP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D2E00t00" w:hAnsi="TTE51D2E00t00" w:cs="TTE51D2E00t00"/>
          <w:color w:val="000000"/>
          <w:sz w:val="24"/>
          <w:szCs w:val="24"/>
          <w:lang w:val="en-IN" w:bidi="ar-SA"/>
        </w:rPr>
      </w:pP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D2E00t00" w:hAnsi="TTE51D2E00t00" w:cs="TTE51D2E00t00"/>
          <w:color w:val="000000"/>
          <w:sz w:val="24"/>
          <w:szCs w:val="24"/>
          <w:lang w:val="en-IN" w:bidi="ar-SA"/>
        </w:rPr>
      </w:pP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D2E00t00" w:hAnsi="TTE51D2E00t00" w:cs="TTE51D2E00t00"/>
          <w:color w:val="000000"/>
          <w:sz w:val="24"/>
          <w:szCs w:val="24"/>
          <w:lang w:val="en-IN" w:bidi="ar-SA"/>
        </w:rPr>
      </w:pP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D2E00t00" w:hAnsi="TTE51D2E00t00" w:cs="TTE51D2E00t00"/>
          <w:color w:val="000000"/>
          <w:sz w:val="24"/>
          <w:szCs w:val="24"/>
          <w:lang w:val="en-IN" w:bidi="ar-SA"/>
        </w:rPr>
      </w:pP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D2E00t00" w:hAnsi="TTE51D2E00t00" w:cs="TTE51D2E00t00"/>
          <w:color w:val="000000"/>
          <w:sz w:val="24"/>
          <w:szCs w:val="24"/>
          <w:lang w:val="en-IN" w:bidi="ar-SA"/>
        </w:rPr>
      </w:pPr>
      <w:r>
        <w:rPr>
          <w:rFonts w:ascii="TTE51D2E00t00" w:hAnsi="TTE51D2E00t00" w:cs="TTE51D2E00t00"/>
          <w:color w:val="000000"/>
          <w:sz w:val="24"/>
          <w:szCs w:val="24"/>
          <w:lang w:val="en-IN" w:bidi="ar-SA"/>
        </w:rPr>
        <w:t>2. Notifications / Circulars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D2E00t00" w:hAnsi="TTE51D2E00t00" w:cs="TTE51D2E00t00"/>
          <w:color w:val="000000"/>
          <w:sz w:val="24"/>
          <w:szCs w:val="24"/>
          <w:lang w:val="en-IN" w:bidi="ar-SA"/>
        </w:rPr>
      </w:pP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D2E00t00" w:hAnsi="TTE51D2E00t00" w:cs="TTE51D2E00t00"/>
          <w:color w:val="000000"/>
          <w:sz w:val="24"/>
          <w:szCs w:val="24"/>
          <w:lang w:val="en-IN" w:bidi="ar-SA"/>
        </w:rPr>
      </w:pPr>
      <w:r>
        <w:rPr>
          <w:rFonts w:ascii="TTE51D2E00t00" w:hAnsi="TTE51D2E00t00" w:cs="TTE51D2E00t00"/>
          <w:color w:val="000000"/>
          <w:sz w:val="24"/>
          <w:szCs w:val="24"/>
          <w:lang w:val="en-IN" w:bidi="ar-SA"/>
        </w:rPr>
        <w:t xml:space="preserve">a. Opinion of technical experts to </w:t>
      </w:r>
      <w:proofErr w:type="gramStart"/>
      <w:r>
        <w:rPr>
          <w:rFonts w:ascii="TTE51D2E00t00" w:hAnsi="TTE51D2E00t00" w:cs="TTE51D2E00t00"/>
          <w:color w:val="000000"/>
          <w:sz w:val="24"/>
          <w:szCs w:val="24"/>
          <w:lang w:val="en-IN" w:bidi="ar-SA"/>
        </w:rPr>
        <w:t>be bought</w:t>
      </w:r>
      <w:proofErr w:type="gramEnd"/>
      <w:r>
        <w:rPr>
          <w:rFonts w:ascii="TTE51D2E00t00" w:hAnsi="TTE51D2E00t00" w:cs="TTE51D2E00t00"/>
          <w:color w:val="000000"/>
          <w:sz w:val="24"/>
          <w:szCs w:val="24"/>
          <w:lang w:val="en-IN" w:bidi="ar-SA"/>
        </w:rPr>
        <w:t xml:space="preserve"> to record by AO/TPO as evidence in case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D2E00t00" w:hAnsi="TTE51D2E00t00" w:cs="TTE51D2E00t00"/>
          <w:color w:val="000000"/>
          <w:sz w:val="24"/>
          <w:szCs w:val="24"/>
          <w:lang w:val="en-IN" w:bidi="ar-SA"/>
        </w:rPr>
      </w:pPr>
      <w:proofErr w:type="gramStart"/>
      <w:r>
        <w:rPr>
          <w:rFonts w:ascii="TTE51D2E00t00" w:hAnsi="TTE51D2E00t00" w:cs="TTE51D2E00t00"/>
          <w:color w:val="000000"/>
          <w:sz w:val="24"/>
          <w:szCs w:val="24"/>
          <w:lang w:val="en-IN" w:bidi="ar-SA"/>
        </w:rPr>
        <w:t>of</w:t>
      </w:r>
      <w:proofErr w:type="gramEnd"/>
      <w:r>
        <w:rPr>
          <w:rFonts w:ascii="TTE51D2E00t00" w:hAnsi="TTE51D2E00t00" w:cs="TTE51D2E00t00"/>
          <w:color w:val="000000"/>
          <w:sz w:val="24"/>
          <w:szCs w:val="24"/>
          <w:lang w:val="en-IN" w:bidi="ar-SA"/>
        </w:rPr>
        <w:t xml:space="preserve"> complex technical issues involving substantial revenue (5/2011 [</w:t>
      </w:r>
      <w:proofErr w:type="spellStart"/>
      <w:r>
        <w:rPr>
          <w:rFonts w:ascii="TTE51D2E00t00" w:hAnsi="TTE51D2E00t00" w:cs="TTE51D2E00t00"/>
          <w:color w:val="000000"/>
          <w:sz w:val="24"/>
          <w:szCs w:val="24"/>
          <w:lang w:val="en-IN" w:bidi="ar-SA"/>
        </w:rPr>
        <w:t>F.No</w:t>
      </w:r>
      <w:proofErr w:type="spellEnd"/>
      <w:r>
        <w:rPr>
          <w:rFonts w:ascii="TTE51D2E00t00" w:hAnsi="TTE51D2E00t00" w:cs="TTE51D2E00t00"/>
          <w:color w:val="000000"/>
          <w:sz w:val="24"/>
          <w:szCs w:val="24"/>
          <w:lang w:val="en-IN" w:bidi="ar-SA"/>
        </w:rPr>
        <w:t>.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D2E00t00" w:hAnsi="TTE51D2E00t00" w:cs="TTE51D2E00t00"/>
          <w:color w:val="000000"/>
          <w:sz w:val="24"/>
          <w:szCs w:val="24"/>
          <w:lang w:val="en-IN" w:bidi="ar-SA"/>
        </w:rPr>
      </w:pPr>
      <w:r>
        <w:rPr>
          <w:rFonts w:ascii="TTE51D2E00t00" w:hAnsi="TTE51D2E00t00" w:cs="TTE51D2E00t00"/>
          <w:color w:val="000000"/>
          <w:sz w:val="24"/>
          <w:szCs w:val="24"/>
          <w:lang w:val="en-IN" w:bidi="ar-SA"/>
        </w:rPr>
        <w:t>225/61/2011-</w:t>
      </w:r>
      <w:proofErr w:type="gramStart"/>
      <w:r>
        <w:rPr>
          <w:rFonts w:ascii="TTE51D2E00t00" w:hAnsi="TTE51D2E00t00" w:cs="TTE51D2E00t00"/>
          <w:color w:val="000000"/>
          <w:sz w:val="24"/>
          <w:szCs w:val="24"/>
          <w:lang w:val="en-IN" w:bidi="ar-SA"/>
        </w:rPr>
        <w:t>IT(</w:t>
      </w:r>
      <w:proofErr w:type="gramEnd"/>
      <w:r>
        <w:rPr>
          <w:rFonts w:ascii="TTE51D2E00t00" w:hAnsi="TTE51D2E00t00" w:cs="TTE51D2E00t00"/>
          <w:color w:val="000000"/>
          <w:sz w:val="24"/>
          <w:szCs w:val="24"/>
          <w:lang w:val="en-IN" w:bidi="ar-SA"/>
        </w:rPr>
        <w:t>A-II)], dated 30-3-2011)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CBDT has issued this circular to comply with </w:t>
      </w:r>
      <w:proofErr w:type="spell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Hon’ble</w:t>
      </w:r>
      <w:proofErr w:type="spell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Supreme Court’s directions in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proofErr w:type="spell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Bharti</w:t>
      </w:r>
      <w:proofErr w:type="spell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Cellular Ltd’s case (193 Taxman 97 – 2010) wherein it was held that</w:t>
      </w:r>
      <w:r w:rsidR="0094035B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department while dealing in ca</w:t>
      </w:r>
      <w:r w:rsidR="0094035B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ses involving complex technical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issues with high</w:t>
      </w:r>
      <w:r w:rsidR="0094035B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stakes s</w:t>
      </w:r>
      <w:r w:rsidR="0094035B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hould consult technical experts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so that the matters could be disposed off</w:t>
      </w:r>
      <w:r w:rsidR="0094035B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expeditiously and further that it would enable the appellate Forums, to decide legal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proofErr w:type="gram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issues</w:t>
      </w:r>
      <w:proofErr w:type="gram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based on the factual foundation.</w:t>
      </w:r>
      <w:r w:rsidR="0094035B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In compliance of the above direction for technical matters involved in cases taken up</w:t>
      </w:r>
      <w:r w:rsidR="0094035B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for scrutiny, the AO/TPO </w:t>
      </w:r>
      <w:proofErr w:type="gram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is directed</w:t>
      </w:r>
      <w:proofErr w:type="gram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to frame assessments only after bringing on</w:t>
      </w:r>
      <w:r w:rsidR="0094035B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record appropriate technical evidence. </w:t>
      </w:r>
      <w:proofErr w:type="gram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Same</w:t>
      </w:r>
      <w:proofErr w:type="gram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sh</w:t>
      </w:r>
      <w:r w:rsidR="0094035B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all be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monitored by CCIT/DGIT who</w:t>
      </w:r>
      <w:r w:rsidR="0094035B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after considering the complexities of the issue involved, assist the department in</w:t>
      </w:r>
      <w:r w:rsidR="0094035B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obtaining the opinion of the technical experts in relevant field within time. The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proofErr w:type="gram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evidence</w:t>
      </w:r>
      <w:proofErr w:type="gram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so gathered shall be made available to the assessee and reasonable</w:t>
      </w:r>
      <w:r w:rsidR="0094035B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opportunity to </w:t>
      </w:r>
      <w:r w:rsidR="0094035B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be heard is provided before the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assessment order is passed.</w:t>
      </w:r>
      <w:r w:rsidR="0094035B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proofErr w:type="gram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Where such reference to technical expert has been made intimation to the same</w:t>
      </w:r>
      <w:r w:rsidR="0094035B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shall be sent to the assessee by Member (IT)</w:t>
      </w:r>
      <w:proofErr w:type="gram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in the specified </w:t>
      </w:r>
      <w:proofErr w:type="spell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proforma</w:t>
      </w:r>
      <w:proofErr w:type="spell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.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D2E00t00" w:hAnsi="TTE51D2E00t00" w:cs="TTE51D2E00t00"/>
          <w:color w:val="000000"/>
          <w:sz w:val="24"/>
          <w:szCs w:val="24"/>
          <w:lang w:val="en-IN" w:bidi="ar-SA"/>
        </w:rPr>
      </w:pP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D2E00t00" w:hAnsi="TTE51D2E00t00" w:cs="TTE51D2E00t00"/>
          <w:color w:val="000000"/>
          <w:sz w:val="24"/>
          <w:szCs w:val="24"/>
          <w:lang w:val="en-IN" w:bidi="ar-SA"/>
        </w:rPr>
      </w:pPr>
      <w:r>
        <w:rPr>
          <w:rFonts w:ascii="TTE51D2E00t00" w:hAnsi="TTE51D2E00t00" w:cs="TTE51D2E00t00"/>
          <w:color w:val="000000"/>
          <w:sz w:val="24"/>
          <w:szCs w:val="24"/>
          <w:lang w:val="en-IN" w:bidi="ar-SA"/>
        </w:rPr>
        <w:t xml:space="preserve">b. Procedure for Refund of excess TDS Deducted / Paid (Circular </w:t>
      </w:r>
      <w:proofErr w:type="gramStart"/>
      <w:r>
        <w:rPr>
          <w:rFonts w:ascii="TTE51D2E00t00" w:hAnsi="TTE51D2E00t00" w:cs="TTE51D2E00t00"/>
          <w:color w:val="000000"/>
          <w:sz w:val="24"/>
          <w:szCs w:val="24"/>
          <w:lang w:val="en-IN" w:bidi="ar-SA"/>
        </w:rPr>
        <w:t>no. 2/2011</w:t>
      </w:r>
      <w:proofErr w:type="gramEnd"/>
      <w:r>
        <w:rPr>
          <w:rFonts w:ascii="TTE51D2E00t00" w:hAnsi="TTE51D2E00t00" w:cs="TTE51D2E00t00"/>
          <w:color w:val="000000"/>
          <w:sz w:val="24"/>
          <w:szCs w:val="24"/>
          <w:lang w:val="en-IN" w:bidi="ar-SA"/>
        </w:rPr>
        <w:t xml:space="preserve"> [F.NO.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D2E00t00" w:hAnsi="TTE51D2E00t00" w:cs="TTE51D2E00t00"/>
          <w:color w:val="000000"/>
          <w:sz w:val="24"/>
          <w:szCs w:val="24"/>
          <w:lang w:val="en-IN" w:bidi="ar-SA"/>
        </w:rPr>
      </w:pPr>
      <w:r>
        <w:rPr>
          <w:rFonts w:ascii="TTE51D2E00t00" w:hAnsi="TTE51D2E00t00" w:cs="TTE51D2E00t00"/>
          <w:color w:val="000000"/>
          <w:sz w:val="24"/>
          <w:szCs w:val="24"/>
          <w:lang w:val="en-IN" w:bidi="ar-SA"/>
        </w:rPr>
        <w:t>385/25/2010-IT (B)], DATED 27-4-2011)</w:t>
      </w:r>
    </w:p>
    <w:p w:rsidR="0094035B" w:rsidRDefault="0094035B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D2E00t00" w:hAnsi="TTE51D2E00t00" w:cs="TTE51D2E00t00"/>
          <w:color w:val="000000"/>
          <w:sz w:val="24"/>
          <w:szCs w:val="24"/>
          <w:lang w:val="en-IN" w:bidi="ar-SA"/>
        </w:rPr>
      </w:pP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If a </w:t>
      </w:r>
      <w:proofErr w:type="spell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deductor</w:t>
      </w:r>
      <w:proofErr w:type="spell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has deposited excess amount of TDS, the procedure for getting refund</w:t>
      </w:r>
      <w:r w:rsidR="0094035B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proofErr w:type="gram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was given</w:t>
      </w:r>
      <w:proofErr w:type="gram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in Board Circular 285 dated 21-1-1980. Now CBDT has issued new circular</w:t>
      </w:r>
      <w:r w:rsidR="0094035B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in this respect.</w:t>
      </w:r>
    </w:p>
    <w:p w:rsidR="0094035B" w:rsidRDefault="0094035B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Applicability:</w:t>
      </w:r>
    </w:p>
    <w:p w:rsidR="0094035B" w:rsidRDefault="0094035B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proofErr w:type="spellStart"/>
      <w:proofErr w:type="gram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i</w:t>
      </w:r>
      <w:proofErr w:type="spellEnd"/>
      <w:proofErr w:type="gram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. Applicable in respect of TDS on residents covered under sections 192 to 194LA of</w:t>
      </w:r>
      <w:r w:rsidR="0094035B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the Income-tax Act, 1961.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ii. Not be applicable to TDS on non-residents falling under sections 192, 194E and</w:t>
      </w:r>
      <w:r w:rsidR="0094035B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proofErr w:type="gram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195 which</w:t>
      </w:r>
      <w:proofErr w:type="gram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are covered by circular No. 7/2007 issued by the Board.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iii. This circular is applicable for claim of refunds for the period </w:t>
      </w:r>
      <w:proofErr w:type="spell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upto</w:t>
      </w:r>
      <w:proofErr w:type="spell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31-3-2010.</w:t>
      </w:r>
    </w:p>
    <w:p w:rsidR="0094035B" w:rsidRDefault="0094035B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Amount refundable:</w:t>
      </w:r>
    </w:p>
    <w:p w:rsidR="0094035B" w:rsidRDefault="0094035B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Excess payment to </w:t>
      </w:r>
      <w:proofErr w:type="gram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be refunded</w:t>
      </w:r>
      <w:proofErr w:type="gram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would be the difference between actual payment</w:t>
      </w:r>
      <w:r w:rsidR="0094035B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made by the </w:t>
      </w:r>
      <w:proofErr w:type="spell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deductor</w:t>
      </w:r>
      <w:proofErr w:type="spell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and deduction ought to be made.</w:t>
      </w:r>
    </w:p>
    <w:p w:rsidR="0094035B" w:rsidRDefault="0094035B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Time to claim refund:</w:t>
      </w:r>
    </w:p>
    <w:p w:rsidR="0094035B" w:rsidRDefault="0094035B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proofErr w:type="spell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i</w:t>
      </w:r>
      <w:proofErr w:type="spell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. Where such excess payment </w:t>
      </w:r>
      <w:proofErr w:type="gram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is discovered</w:t>
      </w:r>
      <w:proofErr w:type="gram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during the financial year concerned, credit of the excess payment shall be available in the quarterly statement of TDS of the next quarter of the same financial year.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lastRenderedPageBreak/>
        <w:t xml:space="preserve">ii. In any other case, refund claim </w:t>
      </w:r>
      <w:proofErr w:type="gram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can be made</w:t>
      </w:r>
      <w:proofErr w:type="gram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to the Assessing Officer (TDS) concerned. </w:t>
      </w:r>
      <w:proofErr w:type="gram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However</w:t>
      </w:r>
      <w:proofErr w:type="gram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no claim of refund can be made after two years from the end of financial year in which tax was deductible at source.</w:t>
      </w:r>
    </w:p>
    <w:p w:rsidR="0094035B" w:rsidRDefault="0094035B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Safeguards to avoid double claim of TDS:</w:t>
      </w:r>
    </w:p>
    <w:p w:rsidR="0094035B" w:rsidRDefault="0094035B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Applicant </w:t>
      </w:r>
      <w:proofErr w:type="spell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deductor</w:t>
      </w:r>
      <w:proofErr w:type="spell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shall establish before the Assessing Officer that: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(</w:t>
      </w:r>
      <w:proofErr w:type="spell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i</w:t>
      </w:r>
      <w:proofErr w:type="spell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) It is a case of genuine error and that the error had occurred inadvertently</w:t>
      </w:r>
      <w:proofErr w:type="gram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;</w:t>
      </w:r>
      <w:proofErr w:type="gramEnd"/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(ii) TDS certificate for the refund amount requested has not been issued to the</w:t>
      </w:r>
      <w:r w:rsidR="0094035B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proofErr w:type="spell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deductee</w:t>
      </w:r>
      <w:proofErr w:type="spell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(s); and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proofErr w:type="gram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(iii) Credit for the excess amount has not been claimed by the </w:t>
      </w:r>
      <w:proofErr w:type="spell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deductee</w:t>
      </w:r>
      <w:proofErr w:type="spell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(s) in the</w:t>
      </w:r>
      <w:r w:rsidR="0094035B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return of income</w:t>
      </w:r>
      <w:proofErr w:type="gram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or the </w:t>
      </w:r>
      <w:proofErr w:type="spell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deductee</w:t>
      </w:r>
      <w:proofErr w:type="spell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(s) undertakes not to claim such credit.</w:t>
      </w:r>
    </w:p>
    <w:p w:rsidR="0094035B" w:rsidRDefault="0094035B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Prior Approval:</w:t>
      </w:r>
    </w:p>
    <w:p w:rsidR="0094035B" w:rsidRDefault="0094035B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Prior administrative approval of the Additional Commissioner or the Commissioner</w:t>
      </w:r>
      <w:r w:rsidR="0094035B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(TDS) concerned shall be obtained where the quantum of refund claimed is in excess</w:t>
      </w:r>
      <w:r w:rsidR="0094035B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of Rupees One </w:t>
      </w:r>
      <w:proofErr w:type="spell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Lakh</w:t>
      </w:r>
      <w:proofErr w:type="spell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and Rupees Ten </w:t>
      </w:r>
      <w:proofErr w:type="spell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Lakh</w:t>
      </w:r>
      <w:proofErr w:type="spell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respectively.</w:t>
      </w:r>
    </w:p>
    <w:p w:rsidR="0094035B" w:rsidRDefault="0094035B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Others:</w:t>
      </w:r>
    </w:p>
    <w:p w:rsidR="0094035B" w:rsidRDefault="0094035B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After meeting any existing tax liability of the </w:t>
      </w:r>
      <w:proofErr w:type="spell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deductor</w:t>
      </w:r>
      <w:proofErr w:type="spell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, the balance amount may be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proofErr w:type="gram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refunded</w:t>
      </w:r>
      <w:proofErr w:type="gram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to the </w:t>
      </w:r>
      <w:proofErr w:type="spell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deductor</w:t>
      </w:r>
      <w:proofErr w:type="spell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.</w:t>
      </w:r>
    </w:p>
    <w:p w:rsidR="0094035B" w:rsidRDefault="0094035B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D2E00t00" w:hAnsi="TTE51D2E00t00" w:cs="TTE51D2E00t00"/>
          <w:color w:val="000000"/>
          <w:sz w:val="24"/>
          <w:szCs w:val="24"/>
          <w:lang w:val="en-IN" w:bidi="ar-SA"/>
        </w:rPr>
      </w:pPr>
    </w:p>
    <w:p w:rsidR="0094035B" w:rsidRDefault="0094035B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D2E00t00" w:hAnsi="TTE51D2E00t00" w:cs="TTE51D2E00t00"/>
          <w:color w:val="000000"/>
          <w:sz w:val="24"/>
          <w:szCs w:val="24"/>
          <w:lang w:val="en-IN" w:bidi="ar-SA"/>
        </w:rPr>
      </w:pP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D2E00t00" w:hAnsi="TTE51D2E00t00" w:cs="TTE51D2E00t00"/>
          <w:color w:val="000000"/>
          <w:sz w:val="24"/>
          <w:szCs w:val="24"/>
          <w:lang w:val="en-IN" w:bidi="ar-SA"/>
        </w:rPr>
      </w:pPr>
      <w:r>
        <w:rPr>
          <w:rFonts w:ascii="TTE51D2E00t00" w:hAnsi="TTE51D2E00t00" w:cs="TTE51D2E00t00"/>
          <w:color w:val="000000"/>
          <w:sz w:val="24"/>
          <w:szCs w:val="24"/>
          <w:lang w:val="en-IN" w:bidi="ar-SA"/>
        </w:rPr>
        <w:t>c. Recognised Provident Fund – 9.5% rate notified under rule 6</w:t>
      </w:r>
      <w:r>
        <w:rPr>
          <w:rFonts w:ascii="TTE51E3F90t00" w:hAnsi="TTE51E3F90t00" w:cs="TTE51E3F90t00"/>
          <w:color w:val="000000"/>
          <w:sz w:val="24"/>
          <w:szCs w:val="24"/>
          <w:lang w:val="en-IN" w:bidi="ar-SA"/>
        </w:rPr>
        <w:t xml:space="preserve">(b) </w:t>
      </w:r>
      <w:r>
        <w:rPr>
          <w:rFonts w:ascii="TTE51D2E00t00" w:hAnsi="TTE51D2E00t00" w:cs="TTE51D2E00t00"/>
          <w:color w:val="000000"/>
          <w:sz w:val="24"/>
          <w:szCs w:val="24"/>
          <w:lang w:val="en-IN" w:bidi="ar-SA"/>
        </w:rPr>
        <w:t>of part A of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D2E00t00" w:hAnsi="TTE51D2E00t00" w:cs="TTE51D2E00t00"/>
          <w:color w:val="000000"/>
          <w:sz w:val="24"/>
          <w:szCs w:val="24"/>
          <w:lang w:val="en-IN" w:bidi="ar-SA"/>
        </w:rPr>
      </w:pPr>
      <w:r>
        <w:rPr>
          <w:rFonts w:ascii="TTE51D2E00t00" w:hAnsi="TTE51D2E00t00" w:cs="TTE51D2E00t00"/>
          <w:color w:val="000000"/>
          <w:sz w:val="24"/>
          <w:szCs w:val="24"/>
          <w:lang w:val="en-IN" w:bidi="ar-SA"/>
        </w:rPr>
        <w:t>Schedule-IV</w:t>
      </w:r>
    </w:p>
    <w:p w:rsidR="0094035B" w:rsidRDefault="0094035B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As per provisions of rule 6 of Schedule IV to the Act, employer’s contribution to a recognized provident fund in excess of 12% of salary is deemed </w:t>
      </w:r>
      <w:proofErr w:type="gram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to be income</w:t>
      </w:r>
      <w:proofErr w:type="gram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in the hands of the employee. (Rule 6(a)) </w:t>
      </w:r>
      <w:proofErr w:type="gram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Similarly</w:t>
      </w:r>
      <w:proofErr w:type="gram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interest credited on the balance to the credit of the employee allowed at a rate in excess of the rate fixed by the Central Government is deemed to be income of the employee. The rate fixed by the Government was 8.50%. This rate has been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proofErr w:type="gram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increased</w:t>
      </w:r>
      <w:proofErr w:type="gram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to 9.50% with effect from 1</w:t>
      </w:r>
      <w:r>
        <w:rPr>
          <w:rFonts w:ascii="TTE51CA660t00" w:hAnsi="TTE51CA660t00" w:cs="TTE51CA660t00"/>
          <w:color w:val="000000"/>
          <w:sz w:val="16"/>
          <w:szCs w:val="16"/>
          <w:lang w:val="en-IN" w:bidi="ar-SA"/>
        </w:rPr>
        <w:t xml:space="preserve">st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September 2010. (Rule 6(b))</w:t>
      </w:r>
    </w:p>
    <w:p w:rsidR="0094035B" w:rsidRDefault="0094035B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D2E00t00" w:hAnsi="TTE51D2E00t00" w:cs="TTE51D2E00t00"/>
          <w:color w:val="000000"/>
          <w:sz w:val="24"/>
          <w:szCs w:val="24"/>
          <w:lang w:val="en-IN" w:bidi="ar-SA"/>
        </w:rPr>
      </w:pP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D2E00t00" w:hAnsi="TTE51D2E00t00" w:cs="TTE51D2E00t00"/>
          <w:color w:val="000000"/>
          <w:sz w:val="24"/>
          <w:szCs w:val="24"/>
          <w:lang w:val="en-IN" w:bidi="ar-SA"/>
        </w:rPr>
      </w:pPr>
      <w:r>
        <w:rPr>
          <w:rFonts w:ascii="TTE51D2E00t00" w:hAnsi="TTE51D2E00t00" w:cs="TTE51D2E00t00"/>
          <w:color w:val="000000"/>
          <w:sz w:val="24"/>
          <w:szCs w:val="24"/>
          <w:lang w:val="en-IN" w:bidi="ar-SA"/>
        </w:rPr>
        <w:t>d. The Central Board of Direct Taxes (CBDT) has recently brought certain additional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D2E00t00" w:hAnsi="TTE51D2E00t00" w:cs="TTE51D2E00t00"/>
          <w:color w:val="000000"/>
          <w:sz w:val="24"/>
          <w:szCs w:val="24"/>
          <w:lang w:val="en-IN" w:bidi="ar-SA"/>
        </w:rPr>
      </w:pPr>
      <w:proofErr w:type="gramStart"/>
      <w:r>
        <w:rPr>
          <w:rFonts w:ascii="TTE51D2E00t00" w:hAnsi="TTE51D2E00t00" w:cs="TTE51D2E00t00"/>
          <w:color w:val="000000"/>
          <w:sz w:val="24"/>
          <w:szCs w:val="24"/>
          <w:lang w:val="en-IN" w:bidi="ar-SA"/>
        </w:rPr>
        <w:t>financial</w:t>
      </w:r>
      <w:proofErr w:type="gramEnd"/>
      <w:r>
        <w:rPr>
          <w:rFonts w:ascii="TTE51D2E00t00" w:hAnsi="TTE51D2E00t00" w:cs="TTE51D2E00t00"/>
          <w:color w:val="000000"/>
          <w:sz w:val="24"/>
          <w:szCs w:val="24"/>
          <w:lang w:val="en-IN" w:bidi="ar-SA"/>
        </w:rPr>
        <w:t xml:space="preserve"> transactions within the ambit of mandatory quoting of PAN.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D2E00t00" w:hAnsi="TTE51D2E00t00" w:cs="TTE51D2E00t00"/>
          <w:color w:val="000000"/>
          <w:sz w:val="24"/>
          <w:szCs w:val="24"/>
          <w:lang w:val="en-IN" w:bidi="ar-SA"/>
        </w:rPr>
      </w:pP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D2E00t00" w:hAnsi="TTE51D2E00t00" w:cs="TTE51D2E00t00"/>
          <w:color w:val="000000"/>
          <w:sz w:val="24"/>
          <w:szCs w:val="24"/>
          <w:lang w:val="en-IN" w:bidi="ar-SA"/>
        </w:rPr>
      </w:pPr>
      <w:r>
        <w:rPr>
          <w:rFonts w:ascii="TTE51D2E00t00" w:hAnsi="TTE51D2E00t00" w:cs="TTE51D2E00t00"/>
          <w:color w:val="000000"/>
          <w:sz w:val="24"/>
          <w:szCs w:val="24"/>
          <w:lang w:val="en-IN" w:bidi="ar-SA"/>
        </w:rPr>
        <w:t>S. N. Nature of Transaction Criteria for quoting PAN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1. Payment of life insurance premium aggregating to Rs.50</w:t>
      </w:r>
      <w:proofErr w:type="gram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,000</w:t>
      </w:r>
      <w:proofErr w:type="gram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or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proofErr w:type="gram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more</w:t>
      </w:r>
      <w:proofErr w:type="gram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in a year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2. Payment to a dealer for purchase of bullion or jewellery of an amount of Rs.5</w:t>
      </w:r>
      <w:proofErr w:type="gram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,00,000</w:t>
      </w:r>
      <w:proofErr w:type="gram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or more at any one time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Or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proofErr w:type="gram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against</w:t>
      </w:r>
      <w:proofErr w:type="gram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a bill of an amount of Rs. 5,00,000 or more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3. Application for issue of debit card to any</w:t>
      </w:r>
      <w:r w:rsidR="0094035B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banking company or any other company or</w:t>
      </w:r>
      <w:r w:rsidR="0094035B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institution </w:t>
      </w:r>
      <w:proofErr w:type="gram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Without</w:t>
      </w:r>
      <w:proofErr w:type="gram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any monetary limit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4. Payment in cash in connection with travel to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proofErr w:type="gram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lastRenderedPageBreak/>
        <w:t>any</w:t>
      </w:r>
      <w:proofErr w:type="gram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foreign country towards fare, or to a</w:t>
      </w:r>
      <w:r w:rsidR="0094035B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travel agent or tour operator or to an</w:t>
      </w:r>
      <w:r w:rsidR="0094035B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authorised person or for the purchase of</w:t>
      </w:r>
      <w:r w:rsidR="0094035B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foreign currency.</w:t>
      </w:r>
    </w:p>
    <w:p w:rsidR="0094035B" w:rsidRDefault="0094035B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D2E00t00" w:hAnsi="TTE51D2E00t00" w:cs="TTE51D2E00t00"/>
          <w:color w:val="000000"/>
          <w:sz w:val="24"/>
          <w:szCs w:val="24"/>
          <w:lang w:val="en-IN" w:bidi="ar-SA"/>
        </w:rPr>
      </w:pPr>
    </w:p>
    <w:p w:rsidR="0094035B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D2E00t00" w:hAnsi="TTE51D2E00t00" w:cs="TTE51D2E00t00"/>
          <w:color w:val="000000"/>
          <w:sz w:val="24"/>
          <w:szCs w:val="24"/>
          <w:lang w:val="en-IN" w:bidi="ar-SA"/>
        </w:rPr>
      </w:pPr>
      <w:r>
        <w:rPr>
          <w:rFonts w:ascii="TTE51D2E00t00" w:hAnsi="TTE51D2E00t00" w:cs="TTE51D2E00t00"/>
          <w:color w:val="000000"/>
          <w:sz w:val="24"/>
          <w:szCs w:val="24"/>
          <w:lang w:val="en-IN" w:bidi="ar-SA"/>
        </w:rPr>
        <w:t xml:space="preserve">Note: </w:t>
      </w:r>
    </w:p>
    <w:p w:rsidR="0094035B" w:rsidRDefault="0094035B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</w:p>
    <w:p w:rsidR="0094035B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This requirement is already exist.</w:t>
      </w:r>
      <w:r w:rsidR="0094035B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However, by amendment payment to authorized person is also included Amount exceeding Rs.25,000</w:t>
      </w:r>
      <w:r w:rsidR="0094035B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In all documents pertaining to the above financial transactions, quoting of PAN will become mandatory with effect from 1st July 2011.</w:t>
      </w:r>
    </w:p>
    <w:p w:rsidR="0094035B" w:rsidRDefault="0094035B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</w:p>
    <w:p w:rsidR="0030566E" w:rsidRPr="0094035B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r>
        <w:rPr>
          <w:rFonts w:ascii="TTE51D2E00t00" w:hAnsi="TTE51D2E00t00" w:cs="TTE51D2E00t00"/>
          <w:color w:val="000000"/>
          <w:sz w:val="24"/>
          <w:szCs w:val="24"/>
          <w:lang w:val="en-IN" w:bidi="ar-SA"/>
        </w:rPr>
        <w:t>e. Interest up to Rs.3500/- in Post Office Savings exempted from income tax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D2E00t00" w:hAnsi="TTE51D2E00t00" w:cs="TTE51D2E00t00"/>
          <w:color w:val="000000"/>
          <w:sz w:val="24"/>
          <w:szCs w:val="24"/>
          <w:lang w:val="en-IN" w:bidi="ar-SA"/>
        </w:rPr>
      </w:pPr>
      <w:r>
        <w:rPr>
          <w:rFonts w:ascii="TTE51D2E00t00" w:hAnsi="TTE51D2E00t00" w:cs="TTE51D2E00t00"/>
          <w:color w:val="000000"/>
          <w:sz w:val="24"/>
          <w:szCs w:val="24"/>
          <w:lang w:val="en-IN" w:bidi="ar-SA"/>
        </w:rPr>
        <w:t xml:space="preserve">(Notification </w:t>
      </w:r>
      <w:proofErr w:type="gramStart"/>
      <w:r>
        <w:rPr>
          <w:rFonts w:ascii="TTE51D2E00t00" w:hAnsi="TTE51D2E00t00" w:cs="TTE51D2E00t00"/>
          <w:color w:val="000000"/>
          <w:sz w:val="24"/>
          <w:szCs w:val="24"/>
          <w:lang w:val="en-IN" w:bidi="ar-SA"/>
        </w:rPr>
        <w:t>no. 32/2011</w:t>
      </w:r>
      <w:proofErr w:type="gramEnd"/>
      <w:r>
        <w:rPr>
          <w:rFonts w:ascii="TTE51D2E00t00" w:hAnsi="TTE51D2E00t00" w:cs="TTE51D2E00t00"/>
          <w:color w:val="000000"/>
          <w:sz w:val="24"/>
          <w:szCs w:val="24"/>
          <w:lang w:val="en-IN" w:bidi="ar-SA"/>
        </w:rPr>
        <w:t xml:space="preserve"> dated 3-6-2011)</w:t>
      </w:r>
    </w:p>
    <w:p w:rsidR="0094035B" w:rsidRDefault="0094035B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CBDT has now withdrawn the blanket exemption enjoyed by individuals on interest</w:t>
      </w:r>
      <w:r w:rsidR="0094035B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earned on Post Office Saving Bank accounts under section 10(15)(</w:t>
      </w:r>
      <w:proofErr w:type="spell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i</w:t>
      </w:r>
      <w:proofErr w:type="spell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) of the Income</w:t>
      </w:r>
      <w:r w:rsidR="0094035B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Tax Act, 1961. Now, exemption of post office saving Interest is restricted up to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proofErr w:type="gram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Rs.3500/- for individual account and Rs.7000/- in case of joint account.</w:t>
      </w:r>
      <w:proofErr w:type="gram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Interest</w:t>
      </w:r>
      <w:r w:rsidR="0094035B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earned beyond the exemption limit will be taxable in the hands of individuals</w:t>
      </w:r>
    </w:p>
    <w:p w:rsidR="0094035B" w:rsidRDefault="0094035B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D2E00t00" w:hAnsi="TTE51D2E00t00" w:cs="TTE51D2E00t00"/>
          <w:color w:val="000000"/>
          <w:sz w:val="24"/>
          <w:szCs w:val="24"/>
          <w:lang w:val="en-IN" w:bidi="ar-SA"/>
        </w:rPr>
      </w:pPr>
    </w:p>
    <w:p w:rsidR="0094035B" w:rsidRDefault="0094035B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D2E00t00" w:hAnsi="TTE51D2E00t00" w:cs="TTE51D2E00t00"/>
          <w:color w:val="000000"/>
          <w:sz w:val="24"/>
          <w:szCs w:val="24"/>
          <w:lang w:val="en-IN" w:bidi="ar-SA"/>
        </w:rPr>
      </w:pP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D2E00t00" w:hAnsi="TTE51D2E00t00" w:cs="TTE51D2E00t00"/>
          <w:color w:val="000000"/>
          <w:sz w:val="24"/>
          <w:szCs w:val="24"/>
          <w:lang w:val="en-IN" w:bidi="ar-SA"/>
        </w:rPr>
      </w:pPr>
      <w:r>
        <w:rPr>
          <w:rFonts w:ascii="TTE51D2E00t00" w:hAnsi="TTE51D2E00t00" w:cs="TTE51D2E00t00"/>
          <w:color w:val="000000"/>
          <w:sz w:val="24"/>
          <w:szCs w:val="24"/>
          <w:lang w:val="en-IN" w:bidi="ar-SA"/>
        </w:rPr>
        <w:t>f. New ITR Forms for A.Y.2011-12 (Notification no. 18 /2011/ F.No.142/02/2011 –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 w:cs="Times New Roman"/>
          <w:b/>
          <w:bCs/>
          <w:color w:val="000000"/>
          <w:sz w:val="23"/>
          <w:szCs w:val="23"/>
          <w:lang w:val="en-IN" w:bidi="ar-SA"/>
        </w:rPr>
      </w:pPr>
      <w:r>
        <w:rPr>
          <w:rFonts w:ascii="TTE51D2E00t00" w:hAnsi="TTE51D2E00t00" w:cs="TTE51D2E00t00"/>
          <w:color w:val="000000"/>
          <w:sz w:val="24"/>
          <w:szCs w:val="24"/>
          <w:lang w:val="en-IN" w:bidi="ar-SA"/>
        </w:rPr>
        <w:t>TPL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  <w:lang w:val="en-IN" w:bidi="ar-SA"/>
        </w:rPr>
        <w:t>)</w:t>
      </w:r>
    </w:p>
    <w:p w:rsidR="0094035B" w:rsidRDefault="0094035B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CBDT notifies new income tax return forms for the assessment year 2011-</w:t>
      </w:r>
      <w:proofErr w:type="gram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12 which</w:t>
      </w:r>
      <w:proofErr w:type="gramEnd"/>
      <w:r w:rsidR="0094035B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are as under: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D2E00t00" w:hAnsi="TTE51D2E00t00" w:cs="TTE51D2E00t00"/>
          <w:color w:val="000000"/>
          <w:sz w:val="24"/>
          <w:szCs w:val="24"/>
          <w:lang w:val="en-IN" w:bidi="ar-SA"/>
        </w:rPr>
      </w:pPr>
      <w:r>
        <w:rPr>
          <w:rFonts w:ascii="TTE51D2E00t00" w:hAnsi="TTE51D2E00t00" w:cs="TTE51D2E00t00"/>
          <w:color w:val="000000"/>
          <w:sz w:val="24"/>
          <w:szCs w:val="24"/>
          <w:lang w:val="en-IN" w:bidi="ar-SA"/>
        </w:rPr>
        <w:t>S. N. Form No. Description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proofErr w:type="gramStart"/>
      <w:r w:rsidRPr="0094035B">
        <w:rPr>
          <w:rFonts w:ascii="TTE51CA660t00" w:hAnsi="TTE51CA660t00" w:cs="TTE51CA660t00"/>
          <w:b/>
          <w:color w:val="000000"/>
          <w:sz w:val="24"/>
          <w:szCs w:val="24"/>
          <w:lang w:val="en-IN" w:bidi="ar-SA"/>
        </w:rPr>
        <w:t>1</w:t>
      </w:r>
      <w:proofErr w:type="gram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ITR 1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(SAHAJ)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For Individual having income from salary and interest income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r w:rsidRPr="0094035B">
        <w:rPr>
          <w:rFonts w:ascii="TTE51CA660t00" w:hAnsi="TTE51CA660t00" w:cs="TTE51CA660t00"/>
          <w:b/>
          <w:color w:val="000000"/>
          <w:sz w:val="24"/>
          <w:szCs w:val="24"/>
          <w:lang w:val="en-IN" w:bidi="ar-SA"/>
        </w:rPr>
        <w:t>2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ITR 2 </w:t>
      </w:r>
      <w:proofErr w:type="gram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For</w:t>
      </w:r>
      <w:proofErr w:type="gram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Individuals and HUFs not having Income from Business or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Profession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proofErr w:type="gramStart"/>
      <w:r w:rsidRPr="0094035B">
        <w:rPr>
          <w:rFonts w:ascii="TTE51CA660t00" w:hAnsi="TTE51CA660t00" w:cs="TTE51CA660t00"/>
          <w:b/>
          <w:color w:val="000000"/>
          <w:sz w:val="24"/>
          <w:szCs w:val="24"/>
          <w:lang w:val="en-IN" w:bidi="ar-SA"/>
        </w:rPr>
        <w:t>3</w:t>
      </w:r>
      <w:proofErr w:type="gram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ITR 3 For Individuals/HUFs being partners in firms and not carrying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proofErr w:type="gram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out</w:t>
      </w:r>
      <w:proofErr w:type="gram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business or profession under any proprietorship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proofErr w:type="gramStart"/>
      <w:r w:rsidRPr="0094035B">
        <w:rPr>
          <w:rFonts w:ascii="TTE51CA660t00" w:hAnsi="TTE51CA660t00" w:cs="TTE51CA660t00"/>
          <w:b/>
          <w:color w:val="000000"/>
          <w:sz w:val="24"/>
          <w:szCs w:val="24"/>
          <w:lang w:val="en-IN" w:bidi="ar-SA"/>
        </w:rPr>
        <w:t>4</w:t>
      </w:r>
      <w:proofErr w:type="gram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ITR 4 For individuals and HUFs having income from a proprietary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proofErr w:type="gram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business</w:t>
      </w:r>
      <w:proofErr w:type="gram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or profession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r w:rsidRPr="0094035B">
        <w:rPr>
          <w:rFonts w:ascii="TTE51CA660t00" w:hAnsi="TTE51CA660t00" w:cs="TTE51CA660t00"/>
          <w:b/>
          <w:color w:val="000000"/>
          <w:sz w:val="24"/>
          <w:szCs w:val="24"/>
          <w:lang w:val="en-IN" w:bidi="ar-SA"/>
        </w:rPr>
        <w:t>5</w:t>
      </w: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ITR 4S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(SUGAM)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For Individuals/HUF having income from presumptive business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proofErr w:type="gramStart"/>
      <w:r w:rsidRPr="0094035B">
        <w:rPr>
          <w:rFonts w:ascii="TTE51CA660t00" w:hAnsi="TTE51CA660t00" w:cs="TTE51CA660t00"/>
          <w:b/>
          <w:color w:val="000000"/>
          <w:sz w:val="24"/>
          <w:szCs w:val="24"/>
          <w:lang w:val="en-IN" w:bidi="ar-SA"/>
        </w:rPr>
        <w:t>6</w:t>
      </w:r>
      <w:proofErr w:type="gram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ITR 5 For firms, AOPs and BOIs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proofErr w:type="gramStart"/>
      <w:r w:rsidRPr="009C6B5A">
        <w:rPr>
          <w:rFonts w:ascii="TTE51CA660t00" w:hAnsi="TTE51CA660t00" w:cs="TTE51CA660t00"/>
          <w:color w:val="FF0000"/>
          <w:sz w:val="24"/>
          <w:szCs w:val="24"/>
          <w:lang w:val="en-IN" w:bidi="ar-SA"/>
        </w:rPr>
        <w:t>7</w:t>
      </w:r>
      <w:proofErr w:type="gram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ITR 6 For Companies other than companies claiming exemption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proofErr w:type="gram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under</w:t>
      </w:r>
      <w:proofErr w:type="gram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section 11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proofErr w:type="gramStart"/>
      <w:r w:rsidRPr="0094035B">
        <w:rPr>
          <w:rFonts w:ascii="TTE51CA660t00" w:hAnsi="TTE51CA660t00" w:cs="TTE51CA660t00"/>
          <w:b/>
          <w:color w:val="000000"/>
          <w:sz w:val="24"/>
          <w:szCs w:val="24"/>
          <w:lang w:val="en-IN" w:bidi="ar-SA"/>
        </w:rPr>
        <w:t>8</w:t>
      </w:r>
      <w:proofErr w:type="gram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ITR 7 For persons including companies required to furnish return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proofErr w:type="gram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under</w:t>
      </w:r>
      <w:proofErr w:type="gram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section 139(4A) or section 139(4B) or section 139(4C) or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proofErr w:type="gram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section</w:t>
      </w:r>
      <w:proofErr w:type="gram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139(4D)</w:t>
      </w:r>
    </w:p>
    <w:p w:rsidR="009C6B5A" w:rsidRDefault="009C6B5A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Two new forms have been introduced - first is </w:t>
      </w:r>
      <w:proofErr w:type="spell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Sahaj</w:t>
      </w:r>
      <w:proofErr w:type="spell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which is replacement of </w:t>
      </w:r>
      <w:proofErr w:type="spell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Saral</w:t>
      </w:r>
      <w:proofErr w:type="spell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-II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proofErr w:type="gram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and</w:t>
      </w:r>
      <w:proofErr w:type="gram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identical to old form and second is </w:t>
      </w:r>
      <w:proofErr w:type="spell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Sugam</w:t>
      </w:r>
      <w:proofErr w:type="spell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(4S) to be filled in the case of a person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proofErr w:type="gram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being</w:t>
      </w:r>
      <w:proofErr w:type="gram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an individual or a HUF deriving business income and such income is computed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proofErr w:type="gram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in</w:t>
      </w:r>
      <w:proofErr w:type="gram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accordance with special provisions, referred to in section 44AD and section 44AE</w:t>
      </w:r>
    </w:p>
    <w:p w:rsidR="0030566E" w:rsidRDefault="0030566E" w:rsidP="0030566E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proofErr w:type="gram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of</w:t>
      </w:r>
      <w:proofErr w:type="gram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the Act.</w:t>
      </w:r>
    </w:p>
    <w:p w:rsidR="00DC5272" w:rsidRPr="009C6B5A" w:rsidRDefault="0030566E" w:rsidP="009C6B5A">
      <w:pPr>
        <w:autoSpaceDE w:val="0"/>
        <w:autoSpaceDN w:val="0"/>
        <w:adjustRightInd w:val="0"/>
        <w:spacing w:after="0" w:line="240" w:lineRule="auto"/>
        <w:ind w:firstLine="0"/>
        <w:rPr>
          <w:rFonts w:ascii="TTE51CA660t00" w:hAnsi="TTE51CA660t00" w:cs="TTE51CA660t00"/>
          <w:color w:val="000000"/>
          <w:sz w:val="24"/>
          <w:szCs w:val="24"/>
          <w:lang w:val="en-IN" w:bidi="ar-SA"/>
        </w:rPr>
      </w:pPr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lastRenderedPageBreak/>
        <w:t xml:space="preserve">Further, </w:t>
      </w:r>
      <w:proofErr w:type="spell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Sahaj</w:t>
      </w:r>
      <w:proofErr w:type="spell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and </w:t>
      </w:r>
      <w:proofErr w:type="spell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Sugam</w:t>
      </w:r>
      <w:proofErr w:type="spell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form </w:t>
      </w:r>
      <w:proofErr w:type="spellStart"/>
      <w:proofErr w:type="gram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can not</w:t>
      </w:r>
      <w:proofErr w:type="spellEnd"/>
      <w:proofErr w:type="gram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be printed from black and white printer, as</w:t>
      </w:r>
      <w:r w:rsidR="009C6B5A"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</w:t>
      </w:r>
      <w:proofErr w:type="spellStart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>color</w:t>
      </w:r>
      <w:proofErr w:type="spellEnd"/>
      <w:r>
        <w:rPr>
          <w:rFonts w:ascii="TTE51CA660t00" w:hAnsi="TTE51CA660t00" w:cs="TTE51CA660t00"/>
          <w:color w:val="000000"/>
          <w:sz w:val="24"/>
          <w:szCs w:val="24"/>
          <w:lang w:val="en-IN" w:bidi="ar-SA"/>
        </w:rPr>
        <w:t xml:space="preserve"> scheme for these new forms has been specified</w:t>
      </w:r>
    </w:p>
    <w:sectPr w:rsidR="00DC5272" w:rsidRPr="009C6B5A" w:rsidSect="00DC52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TE51D2E0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51CA660t00">
    <w:altName w:val="Times New Roman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TTE51E3F9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0566E"/>
    <w:rsid w:val="001A28ED"/>
    <w:rsid w:val="002A462A"/>
    <w:rsid w:val="0030566E"/>
    <w:rsid w:val="00500668"/>
    <w:rsid w:val="00531DEA"/>
    <w:rsid w:val="0094035B"/>
    <w:rsid w:val="009C6B5A"/>
    <w:rsid w:val="00A009EE"/>
    <w:rsid w:val="00A56EB4"/>
    <w:rsid w:val="00D701FE"/>
    <w:rsid w:val="00DC5272"/>
    <w:rsid w:val="00F141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4168"/>
  </w:style>
  <w:style w:type="paragraph" w:styleId="Heading1">
    <w:name w:val="heading 1"/>
    <w:basedOn w:val="Normal"/>
    <w:next w:val="Normal"/>
    <w:link w:val="Heading1Char"/>
    <w:uiPriority w:val="9"/>
    <w:qFormat/>
    <w:rsid w:val="00F14168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4168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4168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4168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4168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4168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4168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4168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4168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4168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416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4168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4168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4168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4168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4168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4168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4168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14168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14168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F14168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168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14168"/>
    <w:rPr>
      <w:i/>
      <w:iCs/>
      <w:color w:val="808080" w:themeColor="text1" w:themeTint="7F"/>
      <w:spacing w:val="10"/>
      <w:sz w:val="24"/>
      <w:szCs w:val="24"/>
    </w:rPr>
  </w:style>
  <w:style w:type="character" w:styleId="Strong">
    <w:name w:val="Strong"/>
    <w:basedOn w:val="DefaultParagraphFont"/>
    <w:uiPriority w:val="22"/>
    <w:qFormat/>
    <w:rsid w:val="00F14168"/>
    <w:rPr>
      <w:b/>
      <w:bCs/>
      <w:spacing w:val="0"/>
    </w:rPr>
  </w:style>
  <w:style w:type="character" w:styleId="Emphasis">
    <w:name w:val="Emphasis"/>
    <w:uiPriority w:val="20"/>
    <w:qFormat/>
    <w:rsid w:val="00F14168"/>
    <w:rPr>
      <w:b/>
      <w:bCs/>
      <w:i/>
      <w:iCs/>
      <w:color w:val="auto"/>
    </w:rPr>
  </w:style>
  <w:style w:type="paragraph" w:styleId="NoSpacing">
    <w:name w:val="No Spacing"/>
    <w:basedOn w:val="Normal"/>
    <w:uiPriority w:val="1"/>
    <w:qFormat/>
    <w:rsid w:val="00F14168"/>
    <w:pPr>
      <w:spacing w:after="0" w:line="240" w:lineRule="auto"/>
      <w:ind w:firstLine="0"/>
    </w:pPr>
  </w:style>
  <w:style w:type="paragraph" w:styleId="ListParagraph">
    <w:name w:val="List Paragraph"/>
    <w:basedOn w:val="Normal"/>
    <w:uiPriority w:val="34"/>
    <w:qFormat/>
    <w:rsid w:val="00F1416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14168"/>
    <w:rPr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F14168"/>
    <w:rPr>
      <w:rFonts w:asciiTheme="minorHAnsi"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4168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4168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F14168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F14168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F14168"/>
    <w:rPr>
      <w:smallCaps/>
    </w:rPr>
  </w:style>
  <w:style w:type="character" w:styleId="IntenseReference">
    <w:name w:val="Intense Reference"/>
    <w:uiPriority w:val="32"/>
    <w:qFormat/>
    <w:rsid w:val="00F14168"/>
    <w:rPr>
      <w:b/>
      <w:bCs/>
      <w:smallCaps/>
      <w:color w:val="auto"/>
    </w:rPr>
  </w:style>
  <w:style w:type="character" w:styleId="BookTitle">
    <w:name w:val="Book Title"/>
    <w:uiPriority w:val="33"/>
    <w:qFormat/>
    <w:rsid w:val="00F14168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14168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Metro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Equity">
      <a:majorFont>
        <a:latin typeface="Franklin Gothic Book"/>
        <a:ea typeface=""/>
        <a:cs typeface=""/>
        <a:font script="Grek" typeface="Calibri"/>
        <a:font script="Cyrl" typeface="Calibri"/>
        <a:font script="Jpan" typeface="HGｺﾞｼｯｸM"/>
        <a:font script="Hang" typeface="바탕"/>
        <a:font script="Hans" typeface="幼圆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Perpetua"/>
        <a:ea typeface=""/>
        <a:cs typeface=""/>
        <a:font script="Grek" typeface="Cambria"/>
        <a:font script="Cyrl" typeface="Cambria"/>
        <a:font script="Jpan" typeface="HG創英ﾌﾟﾚｾﾞﾝｽEB"/>
        <a:font script="Hang" typeface="맑은 고딕"/>
        <a:font script="Hans" typeface="宋体"/>
        <a:font script="Hant" typeface="新細明體"/>
        <a:font script="Arab" typeface="Times New Roman"/>
        <a:font script="Hebr" typeface="Aharoni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3027</Words>
  <Characters>17256</Characters>
  <Application>Microsoft Office Word</Application>
  <DocSecurity>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FIFA</dc:creator>
  <cp:lastModifiedBy>FIFA</cp:lastModifiedBy>
  <cp:revision>4</cp:revision>
  <dcterms:created xsi:type="dcterms:W3CDTF">2011-10-30T13:26:00Z</dcterms:created>
  <dcterms:modified xsi:type="dcterms:W3CDTF">2011-10-30T18:50:00Z</dcterms:modified>
</cp:coreProperties>
</file>