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Greetings of the day to every one…!!!</w:t>
      </w:r>
    </w:p>
    <w:p w:rsidR="00E44CFC" w:rsidRDefault="00E44CFC" w:rsidP="00E44CFC">
      <w:pPr>
        <w:jc w:val="both"/>
        <w:rPr>
          <w:rFonts w:ascii="Times New Roman" w:hAnsi="Times New Roman" w:cs="Times New Roman"/>
          <w:sz w:val="28"/>
          <w:szCs w:val="28"/>
        </w:rPr>
      </w:pP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First of all, thank you every one for the comments which I have received on my part -1 of </w:t>
      </w:r>
      <w:r w:rsidRPr="00DB68E4">
        <w:rPr>
          <w:rFonts w:ascii="Times New Roman" w:hAnsi="Times New Roman" w:cs="Times New Roman"/>
          <w:b/>
          <w:sz w:val="28"/>
          <w:szCs w:val="28"/>
        </w:rPr>
        <w:t>“TAX AUDITS – A GLANCE”</w:t>
      </w:r>
      <w:r>
        <w:rPr>
          <w:rFonts w:ascii="Times New Roman" w:hAnsi="Times New Roman" w:cs="Times New Roman"/>
          <w:sz w:val="28"/>
          <w:szCs w:val="28"/>
        </w:rPr>
        <w:t xml:space="preserve">. In the first part of this series, I had discussed about what provisions are applicable to an </w:t>
      </w:r>
      <w:proofErr w:type="spellStart"/>
      <w:r>
        <w:rPr>
          <w:rFonts w:ascii="Times New Roman" w:hAnsi="Times New Roman" w:cs="Times New Roman"/>
          <w:sz w:val="28"/>
          <w:szCs w:val="28"/>
        </w:rPr>
        <w:t>assesse</w:t>
      </w:r>
      <w:proofErr w:type="spellEnd"/>
      <w:r>
        <w:rPr>
          <w:rFonts w:ascii="Times New Roman" w:hAnsi="Times New Roman" w:cs="Times New Roman"/>
          <w:sz w:val="28"/>
          <w:szCs w:val="28"/>
        </w:rPr>
        <w:t xml:space="preserve"> for getting himself audited if he has fallen in tax audit net, the reporting requirements, who is eligible for doing this audits and the number of audits which an auditor can take in a year. The basic guiding section was also discussed exha</w:t>
      </w:r>
      <w:bookmarkStart w:id="0" w:name="_GoBack"/>
      <w:bookmarkEnd w:id="0"/>
      <w:r>
        <w:rPr>
          <w:rFonts w:ascii="Times New Roman" w:hAnsi="Times New Roman" w:cs="Times New Roman"/>
          <w:sz w:val="28"/>
          <w:szCs w:val="28"/>
        </w:rPr>
        <w:t>ustively there..,</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But, there are certain circumstances where an </w:t>
      </w:r>
      <w:proofErr w:type="spellStart"/>
      <w:r>
        <w:rPr>
          <w:rFonts w:ascii="Times New Roman" w:hAnsi="Times New Roman" w:cs="Times New Roman"/>
          <w:sz w:val="28"/>
          <w:szCs w:val="28"/>
        </w:rPr>
        <w:t>assesse</w:t>
      </w:r>
      <w:proofErr w:type="spellEnd"/>
      <w:r>
        <w:rPr>
          <w:rFonts w:ascii="Times New Roman" w:hAnsi="Times New Roman" w:cs="Times New Roman"/>
          <w:sz w:val="28"/>
          <w:szCs w:val="28"/>
        </w:rPr>
        <w:t>, even without even achieving those basic eligibility figures (Rs. 6000, 000/- &amp; 1500, 000/-) is required to get himself audited. What are those circumstances? Which sections apply to such circumstances? Why the legislative wants even such assesses to get themselves audited? Is there any way that are such persons left off…?? An attempt is made to answer these questions here…</w:t>
      </w:r>
    </w:p>
    <w:p w:rsidR="00E44CFC" w:rsidRPr="00D530A2" w:rsidRDefault="00E44CFC" w:rsidP="00E44CFC">
      <w:pPr>
        <w:jc w:val="both"/>
        <w:rPr>
          <w:rFonts w:ascii="Times New Roman" w:hAnsi="Times New Roman" w:cs="Times New Roman"/>
          <w:b/>
          <w:sz w:val="28"/>
          <w:szCs w:val="28"/>
        </w:rPr>
      </w:pPr>
      <w:r w:rsidRPr="00D530A2">
        <w:rPr>
          <w:rFonts w:ascii="Times New Roman" w:hAnsi="Times New Roman" w:cs="Times New Roman"/>
          <w:b/>
          <w:sz w:val="28"/>
          <w:szCs w:val="28"/>
        </w:rPr>
        <w:t>What are those circumstances..?</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There are some notified industries wherein the law preparers have assumed that such industries would earn a required rate of return compulsorily and this is computed based on the industry standards, their performance, their productivity, their turnover, their market captivity and their importance to economy. The rate of return estimated is blindly treated as the profit of the assesse on some Base figure. Another circumstance could arise is the ease to the assesse who is to give an ease to small business units in maintaining the books of accounts, getting them audited</w:t>
      </w:r>
      <w:r w:rsidRPr="009854C7">
        <w:rPr>
          <w:rFonts w:ascii="Times New Roman" w:hAnsi="Times New Roman" w:cs="Times New Roman"/>
          <w:sz w:val="28"/>
          <w:szCs w:val="28"/>
        </w:rPr>
        <w:t xml:space="preserve"> </w:t>
      </w:r>
      <w:r>
        <w:rPr>
          <w:rFonts w:ascii="Times New Roman" w:hAnsi="Times New Roman" w:cs="Times New Roman"/>
          <w:sz w:val="28"/>
          <w:szCs w:val="28"/>
        </w:rPr>
        <w:t>and determining the profit thereof.</w:t>
      </w:r>
    </w:p>
    <w:p w:rsidR="00E44CFC" w:rsidRPr="00135F25" w:rsidRDefault="00E44CFC" w:rsidP="00E44CFC">
      <w:pPr>
        <w:jc w:val="both"/>
        <w:rPr>
          <w:rFonts w:ascii="Times New Roman" w:hAnsi="Times New Roman" w:cs="Times New Roman"/>
          <w:b/>
          <w:sz w:val="28"/>
          <w:szCs w:val="28"/>
        </w:rPr>
      </w:pPr>
      <w:r w:rsidRPr="00135F25">
        <w:rPr>
          <w:rFonts w:ascii="Times New Roman" w:hAnsi="Times New Roman" w:cs="Times New Roman"/>
          <w:b/>
          <w:sz w:val="28"/>
          <w:szCs w:val="28"/>
        </w:rPr>
        <w:t>Which sections are applicable and what does this section say..?</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Section 44AD and 44AE are the presumptive taxation sections applicable. They provide some criteria`s which are discussed systematically as follows. These sections are applicable from 1</w:t>
      </w:r>
      <w:r w:rsidRPr="00FD297B">
        <w:rPr>
          <w:rFonts w:ascii="Times New Roman" w:hAnsi="Times New Roman" w:cs="Times New Roman"/>
          <w:sz w:val="28"/>
          <w:szCs w:val="28"/>
          <w:vertAlign w:val="superscript"/>
        </w:rPr>
        <w:t>st</w:t>
      </w:r>
      <w:r>
        <w:rPr>
          <w:rFonts w:ascii="Times New Roman" w:hAnsi="Times New Roman" w:cs="Times New Roman"/>
          <w:sz w:val="28"/>
          <w:szCs w:val="28"/>
        </w:rPr>
        <w:t xml:space="preserve"> April, 2011, as per revised norms.</w:t>
      </w:r>
    </w:p>
    <w:p w:rsidR="00E44CFC" w:rsidRPr="00BB5A23" w:rsidRDefault="00E44CFC" w:rsidP="00E44CFC">
      <w:pPr>
        <w:jc w:val="both"/>
        <w:rPr>
          <w:rFonts w:ascii="Bookman Old Style" w:hAnsi="Bookman Old Style" w:cs="Aharoni"/>
          <w:b/>
          <w:sz w:val="28"/>
          <w:szCs w:val="28"/>
        </w:rPr>
      </w:pPr>
      <w:r w:rsidRPr="00BB5A23">
        <w:rPr>
          <w:rFonts w:ascii="Bookman Old Style" w:hAnsi="Bookman Old Style" w:cs="Aharoni"/>
          <w:b/>
          <w:sz w:val="28"/>
          <w:szCs w:val="28"/>
        </w:rPr>
        <w:t>44AD –</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Who can take advantage of this section would be the first question...? It is an Individual, HUF, Firm (not LLP);</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Are there any eligibility criteria`s..? Yes, the assesse shall </w:t>
      </w:r>
      <w:r w:rsidRPr="00475437">
        <w:rPr>
          <w:rFonts w:ascii="Times New Roman" w:hAnsi="Times New Roman" w:cs="Times New Roman"/>
          <w:b/>
          <w:sz w:val="28"/>
          <w:szCs w:val="28"/>
        </w:rPr>
        <w:t>not</w:t>
      </w:r>
      <w:r>
        <w:rPr>
          <w:rFonts w:ascii="Times New Roman" w:hAnsi="Times New Roman" w:cs="Times New Roman"/>
          <w:sz w:val="28"/>
          <w:szCs w:val="28"/>
        </w:rPr>
        <w:t xml:space="preserve"> avail any tax exemptions U/s. 10A, 10AA, 10B, 10BA, 80HH to 80RRB;</w:t>
      </w:r>
    </w:p>
    <w:p w:rsidR="00E44CFC" w:rsidRPr="00D23171" w:rsidRDefault="00E44CFC" w:rsidP="00E44CFC">
      <w:pPr>
        <w:jc w:val="both"/>
        <w:rPr>
          <w:rFonts w:ascii="Times New Roman" w:hAnsi="Times New Roman" w:cs="Times New Roman"/>
          <w:sz w:val="28"/>
          <w:szCs w:val="28"/>
        </w:rPr>
      </w:pPr>
      <w:r>
        <w:rPr>
          <w:rFonts w:ascii="Times New Roman" w:hAnsi="Times New Roman" w:cs="Times New Roman"/>
          <w:sz w:val="28"/>
          <w:szCs w:val="28"/>
        </w:rPr>
        <w:lastRenderedPageBreak/>
        <w:t>To what kind of business is this applicable…? All the business except, those business covered under section 44AE;</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Is there any requirement of turnover..? No, the turnover limits are not applicable. Then how is the profit calculated…? It is a straight forward rate of 8% of Gross Receipts/Total Turnover (taken as base);</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But, are there any assumptions applicable…? Yes, in case of individual all expenses U/s. 30 to 38 have been allowed for computing deemed profits and in case of a Partnership Firm, all expenses U/s. 30 to 38 have already been allowed except salary and interest to partners U/s. 40(b), which needs to be adjusted. </w:t>
      </w:r>
      <w:proofErr w:type="gramStart"/>
      <w:r>
        <w:rPr>
          <w:rFonts w:ascii="Times New Roman" w:hAnsi="Times New Roman" w:cs="Times New Roman"/>
          <w:sz w:val="28"/>
          <w:szCs w:val="28"/>
        </w:rPr>
        <w:t>Than what about the disallowances…?</w:t>
      </w:r>
      <w:proofErr w:type="gramEnd"/>
      <w:r>
        <w:rPr>
          <w:rFonts w:ascii="Times New Roman" w:hAnsi="Times New Roman" w:cs="Times New Roman"/>
          <w:sz w:val="28"/>
          <w:szCs w:val="28"/>
        </w:rPr>
        <w:t xml:space="preserve"> It is assumed that they are already considered in considering the deemed income.</w:t>
      </w:r>
    </w:p>
    <w:p w:rsidR="00E44CFC" w:rsidRPr="00226852"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An example is given to calculate the profit – Suppose, an </w:t>
      </w:r>
      <w:proofErr w:type="spellStart"/>
      <w:r>
        <w:rPr>
          <w:rFonts w:ascii="Times New Roman" w:hAnsi="Times New Roman" w:cs="Times New Roman"/>
          <w:sz w:val="28"/>
          <w:szCs w:val="28"/>
        </w:rPr>
        <w:t>assesse</w:t>
      </w:r>
      <w:proofErr w:type="spellEnd"/>
      <w:r>
        <w:rPr>
          <w:rFonts w:ascii="Times New Roman" w:hAnsi="Times New Roman" w:cs="Times New Roman"/>
          <w:sz w:val="28"/>
          <w:szCs w:val="28"/>
        </w:rPr>
        <w:t xml:space="preserve"> has a turnover of say Rs. 1000, 000/- and gross receipts of another Rs. 1000, 000/-, he opts for presumptive taxation then his profit charged to tax would be 8% of Rs. 2000</w:t>
      </w:r>
      <w:proofErr w:type="gramStart"/>
      <w:r>
        <w:rPr>
          <w:rFonts w:ascii="Times New Roman" w:hAnsi="Times New Roman" w:cs="Times New Roman"/>
          <w:sz w:val="28"/>
          <w:szCs w:val="28"/>
        </w:rPr>
        <w:t>,000</w:t>
      </w:r>
      <w:proofErr w:type="gramEnd"/>
      <w:r>
        <w:rPr>
          <w:rFonts w:ascii="Times New Roman" w:hAnsi="Times New Roman" w:cs="Times New Roman"/>
          <w:sz w:val="28"/>
          <w:szCs w:val="28"/>
        </w:rPr>
        <w:t>/- i.e. Rs. 160,000/-.</w:t>
      </w:r>
    </w:p>
    <w:p w:rsidR="00E44CFC" w:rsidRPr="00BB5A23" w:rsidRDefault="00E44CFC" w:rsidP="00E44CFC">
      <w:pPr>
        <w:jc w:val="both"/>
        <w:rPr>
          <w:rFonts w:ascii="Bookman Old Style" w:hAnsi="Bookman Old Style" w:cs="Times New Roman"/>
          <w:b/>
          <w:sz w:val="28"/>
          <w:szCs w:val="28"/>
        </w:rPr>
      </w:pPr>
      <w:r w:rsidRPr="00BB5A23">
        <w:rPr>
          <w:rFonts w:ascii="Bookman Old Style" w:hAnsi="Bookman Old Style" w:cs="Times New Roman"/>
          <w:b/>
          <w:sz w:val="28"/>
          <w:szCs w:val="28"/>
        </w:rPr>
        <w:t>44AE –</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Who can take advantage of this section would be the first question...? It is applicable to all assesses [assesse as defined U/s. 2(7)] irrespective of residential status;</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Are there any eligibility criteria`s..? Yes, the assesse shall hold less than or equal to 10 goods carriage vehicle at any time during the year. How is any tome interpreted here…? Substance over form exists to know the ownership of vehicle and even if the vehicle is in possession for 1 day it is eligible;</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To what kind of business is it applicable….? Any business which is engaged in plying, hiring or leasing goods carriage vehicles;</w:t>
      </w:r>
    </w:p>
    <w:p w:rsidR="00E44CFC" w:rsidRDefault="00F8423F" w:rsidP="00E44CFC">
      <w:pPr>
        <w:jc w:val="both"/>
        <w:rPr>
          <w:rFonts w:ascii="Times New Roman" w:hAnsi="Times New Roman" w:cs="Times New Roman"/>
          <w:sz w:val="28"/>
          <w:szCs w:val="28"/>
        </w:rPr>
      </w:pPr>
      <w:r>
        <w:rPr>
          <w:rFonts w:ascii="Times New Roman" w:hAnsi="Times New Roman" w:cs="Times New Roman"/>
          <w:sz w:val="28"/>
          <w:szCs w:val="28"/>
        </w:rPr>
        <w:t>Any r</w:t>
      </w:r>
      <w:r w:rsidR="00E44CFC">
        <w:rPr>
          <w:rFonts w:ascii="Times New Roman" w:hAnsi="Times New Roman" w:cs="Times New Roman"/>
          <w:sz w:val="28"/>
          <w:szCs w:val="28"/>
        </w:rPr>
        <w:t xml:space="preserve">equirement of turnover….? No turnover limits are applicable here. And the profits are calculated as follows </w:t>
      </w:r>
    </w:p>
    <w:p w:rsidR="00E44CFC" w:rsidRPr="00EF5FFE" w:rsidRDefault="00E44CFC" w:rsidP="00E44CFC">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H</w:t>
      </w:r>
      <w:r w:rsidRPr="00EF5FFE">
        <w:rPr>
          <w:rFonts w:ascii="Times New Roman" w:hAnsi="Times New Roman" w:cs="Times New Roman"/>
          <w:sz w:val="28"/>
          <w:szCs w:val="28"/>
        </w:rPr>
        <w:t>eavy goods vehicle = Rs.5,000/- per month or part of it,</w:t>
      </w:r>
    </w:p>
    <w:p w:rsidR="00E44CFC" w:rsidRDefault="00E44CFC" w:rsidP="00E44CFC">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Other than heavy goods vehicle = Rs. 4,500/- per month or part of it, during the period in which the vehicle is owned.</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Now, the term heavy goods vehicle exists. What is this..? Heavy good vehicles are those whose unladen weight is more than 12,000 kgs.</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lastRenderedPageBreak/>
        <w:t>Does law assumes anything constant…? Yes, In case of Individual all expenditure U/s. 30 to 38 have been allowed for computing deemed profits and in case of Partnership Firm all expenses U/s. 30 to 38 have already been allowed except salary and interest to partners U/s. 40(b), which needs to be adjusted. What about disallowances now…? Even they are let-off while considering the deemed income.</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A simple eg in computing the profit is as follows - A transporter purchases a heavy vehicle on May 15</w:t>
      </w:r>
      <w:r w:rsidRPr="00ED24BA">
        <w:rPr>
          <w:rFonts w:ascii="Times New Roman" w:hAnsi="Times New Roman" w:cs="Times New Roman"/>
          <w:sz w:val="28"/>
          <w:szCs w:val="28"/>
          <w:vertAlign w:val="superscript"/>
        </w:rPr>
        <w:t>th</w:t>
      </w:r>
      <w:r>
        <w:rPr>
          <w:rFonts w:ascii="Times New Roman" w:hAnsi="Times New Roman" w:cs="Times New Roman"/>
          <w:sz w:val="28"/>
          <w:szCs w:val="28"/>
        </w:rPr>
        <w:t xml:space="preserve"> and puts to use on June 15</w:t>
      </w:r>
      <w:r w:rsidRPr="00ED24BA">
        <w:rPr>
          <w:rFonts w:ascii="Times New Roman" w:hAnsi="Times New Roman" w:cs="Times New Roman"/>
          <w:sz w:val="28"/>
          <w:szCs w:val="28"/>
          <w:vertAlign w:val="superscript"/>
        </w:rPr>
        <w:t>th</w:t>
      </w:r>
      <w:r>
        <w:rPr>
          <w:rFonts w:ascii="Times New Roman" w:hAnsi="Times New Roman" w:cs="Times New Roman"/>
          <w:sz w:val="28"/>
          <w:szCs w:val="28"/>
        </w:rPr>
        <w:t xml:space="preserve"> then the income deemed is Rs. 55,000/- (Rs. 5000*11 months). Here, the usage of vehicle is not relevant and even if it is purchased on last day of the year/ month it is counting for the whole month.</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But, always there isn`t such profit earned in practice during the year. The assesse might earn a less profit or run in losses too and these sections takes deemed profit as it income charged to tax. The assesse is actually taxed on that income on which he might have not earned during that year. Then why are the law preparers still using this method…? If some people in the industry run into losses while majority earn profits then taking materiality at national level into consideration they would follow the rule. But, what about those who earn less profit or do not earn anything…? They can declare their income on actual basis but they need to maintain their books of accounts as per section 44AA and get the books audited as per section 44AB irrespective of the turnover.</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 xml:space="preserve">Declaring of actual income earned is one side of coin but what about the other side i.e. declaring of higher income…? Can an </w:t>
      </w:r>
      <w:proofErr w:type="spellStart"/>
      <w:r>
        <w:rPr>
          <w:rFonts w:ascii="Times New Roman" w:hAnsi="Times New Roman" w:cs="Times New Roman"/>
          <w:sz w:val="28"/>
          <w:szCs w:val="28"/>
        </w:rPr>
        <w:t>assesse</w:t>
      </w:r>
      <w:proofErr w:type="spellEnd"/>
      <w:r>
        <w:rPr>
          <w:rFonts w:ascii="Times New Roman" w:hAnsi="Times New Roman" w:cs="Times New Roman"/>
          <w:sz w:val="28"/>
          <w:szCs w:val="28"/>
        </w:rPr>
        <w:t xml:space="preserve"> declare a higher income then the deemed profits..? Yes, the assesse can declare a higher income than the income calculated on estimated basis and there are no conditions to be complied for it unlike that of maintaining and get the books audited in case of declaring higher income. This is because it is in the best interest of the Income Tax department who gets higher tax incomes.</w:t>
      </w: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Section 44AF doesn’t apply for all the assessment year beginning from 1</w:t>
      </w:r>
      <w:r w:rsidRPr="009854C7">
        <w:rPr>
          <w:rFonts w:ascii="Times New Roman" w:hAnsi="Times New Roman" w:cs="Times New Roman"/>
          <w:sz w:val="28"/>
          <w:szCs w:val="28"/>
          <w:vertAlign w:val="superscript"/>
        </w:rPr>
        <w:t>st</w:t>
      </w:r>
      <w:r>
        <w:rPr>
          <w:rFonts w:ascii="Times New Roman" w:hAnsi="Times New Roman" w:cs="Times New Roman"/>
          <w:sz w:val="28"/>
          <w:szCs w:val="28"/>
        </w:rPr>
        <w:t xml:space="preserve"> April 2011.</w:t>
      </w:r>
    </w:p>
    <w:p w:rsidR="00E44CFC" w:rsidRDefault="00E44CFC" w:rsidP="00E44CFC">
      <w:pPr>
        <w:jc w:val="both"/>
        <w:rPr>
          <w:rFonts w:ascii="Times New Roman" w:hAnsi="Times New Roman" w:cs="Times New Roman"/>
          <w:sz w:val="28"/>
          <w:szCs w:val="28"/>
        </w:rPr>
      </w:pP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Most of the points as prescribed by the provisions have been covered in the above series.</w:t>
      </w:r>
    </w:p>
    <w:p w:rsidR="00E44CFC" w:rsidRDefault="00E44CFC" w:rsidP="00E44CFC">
      <w:pPr>
        <w:jc w:val="both"/>
        <w:rPr>
          <w:rFonts w:ascii="Times New Roman" w:hAnsi="Times New Roman" w:cs="Times New Roman"/>
          <w:sz w:val="28"/>
          <w:szCs w:val="28"/>
        </w:rPr>
      </w:pPr>
      <w:proofErr w:type="gramStart"/>
      <w:r>
        <w:rPr>
          <w:rFonts w:ascii="Times New Roman" w:hAnsi="Times New Roman" w:cs="Times New Roman"/>
          <w:sz w:val="28"/>
          <w:szCs w:val="28"/>
        </w:rPr>
        <w:t>Coming up next – Audit Reporting and its point wise interpretations.</w:t>
      </w:r>
      <w:proofErr w:type="gramEnd"/>
    </w:p>
    <w:p w:rsidR="00E44CFC" w:rsidRDefault="00E44CFC" w:rsidP="00E44CFC">
      <w:pPr>
        <w:jc w:val="both"/>
        <w:rPr>
          <w:rFonts w:ascii="Times New Roman" w:hAnsi="Times New Roman" w:cs="Times New Roman"/>
          <w:sz w:val="28"/>
          <w:szCs w:val="28"/>
        </w:rPr>
      </w:pPr>
    </w:p>
    <w:p w:rsidR="00E44CFC" w:rsidRDefault="00E44CFC" w:rsidP="00E44CFC">
      <w:pPr>
        <w:jc w:val="both"/>
        <w:rPr>
          <w:rFonts w:ascii="Times New Roman" w:hAnsi="Times New Roman" w:cs="Times New Roman"/>
          <w:sz w:val="28"/>
          <w:szCs w:val="28"/>
        </w:rPr>
      </w:pP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Regards…</w:t>
      </w:r>
    </w:p>
    <w:p w:rsidR="00E44CFC" w:rsidRDefault="00E44CFC" w:rsidP="00E44CFC">
      <w:pPr>
        <w:jc w:val="both"/>
        <w:rPr>
          <w:rFonts w:ascii="Times New Roman" w:hAnsi="Times New Roman" w:cs="Times New Roman"/>
          <w:sz w:val="28"/>
          <w:szCs w:val="28"/>
        </w:rPr>
      </w:pPr>
    </w:p>
    <w:p w:rsidR="00E44CFC" w:rsidRDefault="00E44CFC" w:rsidP="00E44CFC">
      <w:pPr>
        <w:jc w:val="both"/>
        <w:rPr>
          <w:rFonts w:ascii="Times New Roman" w:hAnsi="Times New Roman" w:cs="Times New Roman"/>
          <w:sz w:val="28"/>
          <w:szCs w:val="28"/>
        </w:rPr>
      </w:pPr>
      <w:r>
        <w:rPr>
          <w:rFonts w:ascii="Times New Roman" w:hAnsi="Times New Roman" w:cs="Times New Roman"/>
          <w:sz w:val="28"/>
          <w:szCs w:val="28"/>
        </w:rPr>
        <w:t>Karan Teli</w:t>
      </w:r>
    </w:p>
    <w:p w:rsidR="00E44CFC" w:rsidRDefault="00E44CFC" w:rsidP="00E44CFC">
      <w:pPr>
        <w:jc w:val="both"/>
        <w:rPr>
          <w:rFonts w:ascii="Times New Roman" w:hAnsi="Times New Roman" w:cs="Times New Roman"/>
          <w:i/>
          <w:sz w:val="28"/>
          <w:szCs w:val="28"/>
        </w:rPr>
      </w:pPr>
      <w:r w:rsidRPr="00DE7C20">
        <w:rPr>
          <w:rFonts w:ascii="Times New Roman" w:hAnsi="Times New Roman" w:cs="Times New Roman"/>
          <w:i/>
          <w:sz w:val="28"/>
          <w:szCs w:val="28"/>
        </w:rPr>
        <w:t>(Life is just an Illusion)</w:t>
      </w:r>
    </w:p>
    <w:p w:rsidR="00E44CFC" w:rsidRDefault="00E44CFC" w:rsidP="00E44CFC">
      <w:pPr>
        <w:jc w:val="both"/>
        <w:rPr>
          <w:rFonts w:ascii="Times New Roman" w:hAnsi="Times New Roman" w:cs="Times New Roman"/>
          <w:sz w:val="28"/>
          <w:szCs w:val="28"/>
        </w:rPr>
      </w:pPr>
    </w:p>
    <w:p w:rsidR="007E138D" w:rsidRDefault="00050B9B"/>
    <w:sectPr w:rsidR="007E1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A0421"/>
    <w:multiLevelType w:val="hybridMultilevel"/>
    <w:tmpl w:val="F4EA5AA8"/>
    <w:lvl w:ilvl="0" w:tplc="D1F6770E">
      <w:numFmt w:val="bullet"/>
      <w:lvlText w:val="-"/>
      <w:lvlJc w:val="left"/>
      <w:pPr>
        <w:ind w:left="435" w:hanging="360"/>
      </w:pPr>
      <w:rPr>
        <w:rFonts w:ascii="Times New Roman" w:eastAsiaTheme="minorHAnsi" w:hAnsi="Times New Roman" w:cs="Times New Roman" w:hint="default"/>
      </w:rPr>
    </w:lvl>
    <w:lvl w:ilvl="1" w:tplc="40090003" w:tentative="1">
      <w:start w:val="1"/>
      <w:numFmt w:val="bullet"/>
      <w:lvlText w:val="o"/>
      <w:lvlJc w:val="left"/>
      <w:pPr>
        <w:ind w:left="1155" w:hanging="360"/>
      </w:pPr>
      <w:rPr>
        <w:rFonts w:ascii="Courier New" w:hAnsi="Courier New" w:cs="Courier New" w:hint="default"/>
      </w:rPr>
    </w:lvl>
    <w:lvl w:ilvl="2" w:tplc="40090005" w:tentative="1">
      <w:start w:val="1"/>
      <w:numFmt w:val="bullet"/>
      <w:lvlText w:val=""/>
      <w:lvlJc w:val="left"/>
      <w:pPr>
        <w:ind w:left="1875" w:hanging="360"/>
      </w:pPr>
      <w:rPr>
        <w:rFonts w:ascii="Wingdings" w:hAnsi="Wingdings" w:hint="default"/>
      </w:rPr>
    </w:lvl>
    <w:lvl w:ilvl="3" w:tplc="40090001" w:tentative="1">
      <w:start w:val="1"/>
      <w:numFmt w:val="bullet"/>
      <w:lvlText w:val=""/>
      <w:lvlJc w:val="left"/>
      <w:pPr>
        <w:ind w:left="2595" w:hanging="360"/>
      </w:pPr>
      <w:rPr>
        <w:rFonts w:ascii="Symbol" w:hAnsi="Symbol" w:hint="default"/>
      </w:rPr>
    </w:lvl>
    <w:lvl w:ilvl="4" w:tplc="40090003" w:tentative="1">
      <w:start w:val="1"/>
      <w:numFmt w:val="bullet"/>
      <w:lvlText w:val="o"/>
      <w:lvlJc w:val="left"/>
      <w:pPr>
        <w:ind w:left="3315" w:hanging="360"/>
      </w:pPr>
      <w:rPr>
        <w:rFonts w:ascii="Courier New" w:hAnsi="Courier New" w:cs="Courier New" w:hint="default"/>
      </w:rPr>
    </w:lvl>
    <w:lvl w:ilvl="5" w:tplc="40090005" w:tentative="1">
      <w:start w:val="1"/>
      <w:numFmt w:val="bullet"/>
      <w:lvlText w:val=""/>
      <w:lvlJc w:val="left"/>
      <w:pPr>
        <w:ind w:left="4035" w:hanging="360"/>
      </w:pPr>
      <w:rPr>
        <w:rFonts w:ascii="Wingdings" w:hAnsi="Wingdings" w:hint="default"/>
      </w:rPr>
    </w:lvl>
    <w:lvl w:ilvl="6" w:tplc="40090001" w:tentative="1">
      <w:start w:val="1"/>
      <w:numFmt w:val="bullet"/>
      <w:lvlText w:val=""/>
      <w:lvlJc w:val="left"/>
      <w:pPr>
        <w:ind w:left="4755" w:hanging="360"/>
      </w:pPr>
      <w:rPr>
        <w:rFonts w:ascii="Symbol" w:hAnsi="Symbol" w:hint="default"/>
      </w:rPr>
    </w:lvl>
    <w:lvl w:ilvl="7" w:tplc="40090003" w:tentative="1">
      <w:start w:val="1"/>
      <w:numFmt w:val="bullet"/>
      <w:lvlText w:val="o"/>
      <w:lvlJc w:val="left"/>
      <w:pPr>
        <w:ind w:left="5475" w:hanging="360"/>
      </w:pPr>
      <w:rPr>
        <w:rFonts w:ascii="Courier New" w:hAnsi="Courier New" w:cs="Courier New" w:hint="default"/>
      </w:rPr>
    </w:lvl>
    <w:lvl w:ilvl="8" w:tplc="40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217"/>
    <w:rsid w:val="00050B9B"/>
    <w:rsid w:val="006308F5"/>
    <w:rsid w:val="00785217"/>
    <w:rsid w:val="00AF0696"/>
    <w:rsid w:val="00E44CFC"/>
    <w:rsid w:val="00F842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C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SRINATHJI</dc:creator>
  <cp:keywords/>
  <dc:description/>
  <cp:lastModifiedBy>SRINATHJI</cp:lastModifiedBy>
  <cp:revision>4</cp:revision>
  <dcterms:created xsi:type="dcterms:W3CDTF">2011-09-07T19:48:00Z</dcterms:created>
  <dcterms:modified xsi:type="dcterms:W3CDTF">2011-09-08T16:19:00Z</dcterms:modified>
</cp:coreProperties>
</file>