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1B" w:rsidRPr="00E5371B" w:rsidRDefault="00E5371B" w:rsidP="00E5371B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FF0000"/>
        </w:rPr>
      </w:pP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T</w:t>
      </w:r>
      <w:r w:rsidRPr="00E5371B">
        <w:rPr>
          <w:rFonts w:ascii="Arial" w:hAnsi="Arial" w:cs="Arial"/>
          <w:b/>
          <w:bCs/>
          <w:color w:val="FF0000"/>
          <w:sz w:val="29"/>
          <w:szCs w:val="29"/>
        </w:rPr>
        <w:t xml:space="preserve">HE </w:t>
      </w: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P</w:t>
      </w:r>
      <w:r w:rsidRPr="00E5371B">
        <w:rPr>
          <w:rFonts w:ascii="Arial" w:hAnsi="Arial" w:cs="Arial"/>
          <w:b/>
          <w:bCs/>
          <w:color w:val="FF0000"/>
          <w:sz w:val="29"/>
          <w:szCs w:val="29"/>
        </w:rPr>
        <w:t xml:space="preserve">AYMENT </w:t>
      </w: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O</w:t>
      </w:r>
      <w:r w:rsidRPr="00E5371B">
        <w:rPr>
          <w:rFonts w:ascii="Arial" w:hAnsi="Arial" w:cs="Arial"/>
          <w:b/>
          <w:bCs/>
          <w:color w:val="FF0000"/>
          <w:sz w:val="29"/>
          <w:szCs w:val="29"/>
        </w:rPr>
        <w:t xml:space="preserve">F </w:t>
      </w: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G</w:t>
      </w:r>
      <w:r w:rsidRPr="00E5371B">
        <w:rPr>
          <w:rFonts w:ascii="Arial" w:hAnsi="Arial" w:cs="Arial"/>
          <w:b/>
          <w:bCs/>
          <w:color w:val="FF0000"/>
          <w:sz w:val="29"/>
          <w:szCs w:val="29"/>
        </w:rPr>
        <w:t xml:space="preserve">RATUITY </w:t>
      </w: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A</w:t>
      </w:r>
      <w:r w:rsidRPr="00E5371B">
        <w:rPr>
          <w:rFonts w:ascii="Arial" w:hAnsi="Arial" w:cs="Arial"/>
          <w:b/>
          <w:bCs/>
          <w:color w:val="FF0000"/>
          <w:sz w:val="29"/>
          <w:szCs w:val="29"/>
        </w:rPr>
        <w:t>CT</w:t>
      </w:r>
      <w:r w:rsidRPr="00E5371B">
        <w:rPr>
          <w:rFonts w:ascii="Arial" w:hAnsi="Arial" w:cs="Arial"/>
          <w:b/>
          <w:bCs/>
          <w:color w:val="FF0000"/>
          <w:sz w:val="36"/>
          <w:szCs w:val="36"/>
        </w:rPr>
        <w:t>, 1972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" w:hAnsi="ArialNarrow,Bold" w:cs="ArialNarrow,Bold"/>
          <w:b/>
          <w:bCs/>
          <w:color w:val="E36C0A" w:themeColor="accent6" w:themeShade="BF"/>
        </w:rPr>
        <w:t>Computation of gratuity amount:</w:t>
      </w:r>
      <w:r>
        <w:rPr>
          <w:rFonts w:ascii="ArialNarrow,Bold" w:hAnsi="ArialNarrow,Bold" w:cs="ArialNarrow,Bold"/>
          <w:b/>
          <w:bCs/>
        </w:rPr>
        <w:t xml:space="preserve"> </w:t>
      </w:r>
      <w:r>
        <w:rPr>
          <w:rFonts w:ascii="ArialNarrow" w:hAnsi="ArialNarrow" w:cs="ArialNarrow"/>
        </w:rPr>
        <w:t>Section 4 of the Payment of Gratuity Act, 1972 stipulates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the manner in which the amount of gratuity payable to an employee will be calculated.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the case of establishments other than seasonal establishments, the employer shall pay the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gratuity to an employee at the rate of 15 days wages based on the rate of wages last drawn by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the employee concerned for every completed year of service or part thereof in excess of 6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months. In the case of piece rated employees, daily wages, shall be computed on the average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of the total wages received by him for a period of 3 months immediately preceding the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termination of his employment and for this purpose the wages paid for any overtime work shall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not be taken into account.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the case of a monthly rated employee 15 days wages shall be calculated by dividing the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monthly rate of wages last drawn by 26 and by multiplying the quotient by 15.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the case of seasonal establishment the employees can be classified into 2 groups.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(i) Those who work throughout the year and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(ii) Those who work only during the season.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The former are entitled to get the gratuity at the rate of 15 days wages for every completed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year of service or part thereof in excess of 6 months. The latter are entitled to receive gratuity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at the rate of 7 days for each season.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The amount of gratuity payable shall not exceed Rs. Ten lakhs.</w:t>
      </w:r>
    </w:p>
    <w:p w:rsidR="00E5371B" w:rsidRP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</w:pPr>
      <w:r w:rsidRPr="00E5371B">
        <w:rPr>
          <w:rFonts w:ascii="ArialNarrow,Bold" w:hAnsi="ArialNarrow,Bold" w:cs="ArialNarrow,Bold"/>
          <w:b/>
          <w:bCs/>
          <w:color w:val="E36C0A" w:themeColor="accent6" w:themeShade="BF"/>
        </w:rPr>
        <w:t xml:space="preserve">PAYABILITY OF GRATUITY: </w:t>
      </w: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 xml:space="preserve">[SECTION. 4(1)] 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Gratuity shall be payable to an .employee. on the termination of his employment after he has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rendered continuous service for not less than five years 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On his superannuation, or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On his retirement or resignation, or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On his death or disablement due to accident or disease.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" w:hAnsi="ArialNarrow" w:cs="ArialNarrow"/>
          <w:b/>
          <w:bCs/>
          <w:color w:val="E36C0A" w:themeColor="accent6" w:themeShade="BF"/>
        </w:rPr>
        <w:t>Periods for which Gratuity Payable</w:t>
      </w:r>
      <w:r w:rsidRPr="00E5371B">
        <w:rPr>
          <w:rFonts w:ascii="ArialNarrow" w:hAnsi="ArialNarrow" w:cs="ArialNarrow"/>
          <w:color w:val="E36C0A" w:themeColor="accent6" w:themeShade="BF"/>
        </w:rPr>
        <w:t>:</w:t>
      </w:r>
      <w:r>
        <w:rPr>
          <w:rFonts w:ascii="ArialNarrow" w:hAnsi="ArialNarrow" w:cs="ArialNarrow"/>
        </w:rPr>
        <w:t xml:space="preserve"> Manner of Calculation (The Payment of Gratuity Act,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1972).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Yes, the periods for which gratuity is payable to an employee even if he does not actually work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the organization are the following: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1. Lay off under the Industrial Disputes Act, 1947.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2. Leave with full wages.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3. Maternity leave for female employees.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4. Absence due to temporary disablement caused during employment.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Quantum of gratuity payable is 15 days’ wages on the last drawn wages for every completed year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of service subject to a maximum of 15 months’ wages.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</w:p>
    <w:p w:rsidR="00E5371B" w:rsidRP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color w:val="E36C0A" w:themeColor="accent6" w:themeShade="BF"/>
        </w:rPr>
      </w:pPr>
      <w:r w:rsidRPr="00E5371B">
        <w:rPr>
          <w:rFonts w:ascii="ArialNarrow,Bold" w:hAnsi="ArialNarrow,Bold" w:cs="ArialNarrow,Bold"/>
          <w:b/>
          <w:bCs/>
          <w:color w:val="E36C0A" w:themeColor="accent6" w:themeShade="BF"/>
        </w:rPr>
        <w:t xml:space="preserve">CONTINUOUS SERVICE 2: </w:t>
      </w:r>
      <w:r w:rsidRPr="00E5371B">
        <w:rPr>
          <w:rFonts w:ascii="ArialNarrow,Italic" w:hAnsi="ArialNarrow,Italic" w:cs="ArialNarrow,Italic"/>
          <w:i/>
          <w:iCs/>
          <w:color w:val="E36C0A" w:themeColor="accent6" w:themeShade="BF"/>
        </w:rPr>
        <w:t>[Section. 2A)]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For the purposes of this Act 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An employee shall be said to be in continuous service for a period if he has, for that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period, been in uninterrupted service, including service which may be interrupted on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account of sickness, accident, leave, absence from duty without leave (not being absence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respect of which an order (xxx)3 treating the absence as break in service has been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passed in accordance with the, standing orders, rules or regulations governing the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employees of the establishment), lay-off, strike or a lock-out or assertion of work not due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lastRenderedPageBreak/>
        <w:t>to any fault of the employee, whether such uninterrupted or interrupted service was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rendered before or interrupted service was rendered before or after the commencement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of this Act;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Where an employee (not being an employee employed in a seasonal establishment) is not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continuous service within the meaning of clause (1), for any period of one year or six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months, he shall be deemed to be in continuous service under the employer 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For the said period of one year, if the employee during the period of twelve calendar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months preceding the date with reference to which calculation is to be made, has actually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worked under the employer for not less than 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One hundred and ninety days, in the case of any employee employed below, the ground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mine or in an establishment which works for less than six days in a week; and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Two hundred and forty days, in any other case;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For the said period of six months, if the employee during the period of six calendar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months preceding the date with reference to which the calculation is to be made, has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actually worked under the employer for not less than 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Ninety five days, in case of an employee employed below the ground in a mine or in an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establishment which works for less than six days in a week; and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Symbol" w:hAnsi="Symbol" w:cs="Symbol"/>
        </w:rPr>
        <w:t>♦</w:t>
      </w:r>
      <w:r>
        <w:rPr>
          <w:rFonts w:ascii="Arial" w:hAnsi="Arial" w:cs="Arial"/>
        </w:rPr>
        <w:t xml:space="preserve">  </w:t>
      </w:r>
      <w:r>
        <w:rPr>
          <w:rFonts w:ascii="ArialNarrow" w:hAnsi="ArialNarrow" w:cs="ArialNarrow"/>
        </w:rPr>
        <w:t>On hundred and twenty days, in any other case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" w:hAnsi="ArialNarrow,Bold" w:cs="ArialNarrow,Bold"/>
          <w:b/>
          <w:bCs/>
          <w:color w:val="E36C0A" w:themeColor="accent6" w:themeShade="BF"/>
        </w:rPr>
        <w:t>Forfeiture of gratuity</w:t>
      </w:r>
      <w:r>
        <w:rPr>
          <w:rFonts w:ascii="ArialNarrow,Bold" w:hAnsi="ArialNarrow,Bold" w:cs="ArialNarrow,Bold"/>
          <w:b/>
          <w:bCs/>
        </w:rPr>
        <w:t xml:space="preserve">: </w:t>
      </w:r>
      <w:r>
        <w:rPr>
          <w:rFonts w:ascii="ArialNarrow" w:hAnsi="ArialNarrow" w:cs="ArialNarrow"/>
        </w:rPr>
        <w:t>Section 4(6) of Payment of Gratuity Act, 1972 deals with cases in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which gratuity payable to an employee may be forfeited.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According to it, the gratuity of an employee whose service have been terminated for any act,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wilful omission or negligence causing any damage or loss to, or destruction of, property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belonging to the employer, shall be forfeited to the extent of the damage or loss so caused.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The gratuity payable to an employee may be wholly or partially forfeited if the services of such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employee have been terminated for –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(i) his riotous or disorderly conduct or any other act of violence on his part or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(ii) any act which constitutes an offence involving moral turpitude, provided that such offence is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committed by him in the course of his employment.</w:t>
      </w:r>
    </w:p>
    <w:p w:rsidR="00E5371B" w:rsidRPr="00E5371B" w:rsidRDefault="00E5371B" w:rsidP="00E5371B">
      <w:pPr>
        <w:autoSpaceDE w:val="0"/>
        <w:autoSpaceDN w:val="0"/>
        <w:adjustRightInd w:val="0"/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</w:pPr>
      <w:r w:rsidRPr="00E5371B">
        <w:rPr>
          <w:rFonts w:ascii="ArialNarrow,Bold" w:hAnsi="ArialNarrow,Bold" w:cs="ArialNarrow,Bold"/>
          <w:b/>
          <w:bCs/>
          <w:color w:val="E36C0A" w:themeColor="accent6" w:themeShade="BF"/>
        </w:rPr>
        <w:t xml:space="preserve">Nominations For Gratuity: </w:t>
      </w: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[Section. 6]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case of employees in establishment where Central Government is ‘Appropriate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Government’, nomination shall be made in form ‘F’ in duplicate. Nomination shall be given to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employer or sent by registered post. Employee should get proper receipt or acknowledgement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from employer [rule 6(1) of Payment of Gratuity Rules]. Employer should fill details in the form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and return one copy to the employee.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Nomination shall be normally submitted within 30 days after completion of service of one year.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However, it can be submitted later also.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An employee who did not have family but acquired family later should submit nomination form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in duplicate in form G within 90 days after acquiring family.</w:t>
      </w:r>
    </w:p>
    <w:p w:rsidR="00E5371B" w:rsidRDefault="00E5371B" w:rsidP="00E5371B">
      <w:pPr>
        <w:autoSpaceDE w:val="0"/>
        <w:autoSpaceDN w:val="0"/>
        <w:adjustRightInd w:val="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Notice of change in nomination shall be filed in form H.</w:t>
      </w:r>
    </w:p>
    <w:p w:rsidR="00E5371B" w:rsidRP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FF0000"/>
        </w:rPr>
      </w:pPr>
      <w:r w:rsidRPr="00E5371B">
        <w:rPr>
          <w:rFonts w:ascii="ArialNarrow" w:hAnsi="ArialNarrow" w:cs="ArialNarrow"/>
          <w:color w:val="FF0000"/>
          <w:sz w:val="28"/>
          <w:szCs w:val="28"/>
          <w:u w:val="single"/>
        </w:rPr>
        <w:t>Rules relating to penalties under the Payment of Gratuity Act are as follows</w:t>
      </w:r>
      <w:r w:rsidRPr="00E5371B">
        <w:rPr>
          <w:rFonts w:ascii="ArialNarrow" w:hAnsi="ArialNarrow" w:cs="ArialNarrow"/>
          <w:color w:val="FF0000"/>
        </w:rPr>
        <w:t>: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Making false statement or false representation</w:t>
      </w:r>
      <w:r>
        <w:rPr>
          <w:rFonts w:ascii="ArialNarrow,BoldItalic" w:hAnsi="ArialNarrow,BoldItalic" w:cs="ArialNarrow,BoldItalic"/>
          <w:b/>
          <w:bCs/>
          <w:i/>
          <w:iCs/>
        </w:rPr>
        <w:t xml:space="preserve"> </w:t>
      </w:r>
      <w:r>
        <w:rPr>
          <w:rFonts w:ascii="ArialNarrow" w:hAnsi="ArialNarrow" w:cs="ArialNarrow"/>
        </w:rPr>
        <w:t>– Whosoever makes or causes to be made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false statement or false representation for purpose of avoiding payment to be made under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lastRenderedPageBreak/>
        <w:t>Payment of Gratuity Act or enables another person to avoid such payment, shall be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punishable with imprisonment upto six months and fine upto Rs.10,000 or with both [Section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9(1) of Payment of Gratuity Act].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Contravening provisions of Gratuity Act or rules</w:t>
      </w:r>
      <w:r>
        <w:rPr>
          <w:rFonts w:ascii="ArialNarrow,BoldItalic" w:hAnsi="ArialNarrow,BoldItalic" w:cs="ArialNarrow,BoldItalic"/>
          <w:b/>
          <w:bCs/>
          <w:i/>
          <w:iCs/>
        </w:rPr>
        <w:t xml:space="preserve"> </w:t>
      </w:r>
      <w:r>
        <w:rPr>
          <w:rFonts w:ascii="ArialNarrow" w:hAnsi="ArialNarrow" w:cs="ArialNarrow"/>
        </w:rPr>
        <w:t>– An employer who contravenes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provisions of Payment of Gratuity Act or Rules made thereunder shall be punishable for a term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which will not be less than three months but can extend upto one year. In addition, a minimum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fine of Rs.10,000 (maximum Rs.20,000) will be imposed [Section 9(2) of Payment of Gratuity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Act].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Offence relating to non</w:t>
      </w:r>
      <w:r w:rsidRPr="00E5371B">
        <w:rPr>
          <w:rFonts w:ascii="ArialNarrow" w:hAnsi="ArialNarrow" w:cs="ArialNarrow"/>
          <w:color w:val="E36C0A" w:themeColor="accent6" w:themeShade="BF"/>
        </w:rPr>
        <w:t>-</w:t>
      </w: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payment of gratuity</w:t>
      </w:r>
      <w:r>
        <w:rPr>
          <w:rFonts w:ascii="ArialNarrow,BoldItalic" w:hAnsi="ArialNarrow,BoldItalic" w:cs="ArialNarrow,BoldItalic"/>
          <w:b/>
          <w:bCs/>
          <w:i/>
          <w:iCs/>
        </w:rPr>
        <w:t xml:space="preserve"> </w:t>
      </w:r>
      <w:r>
        <w:rPr>
          <w:rFonts w:ascii="ArialNarrow" w:hAnsi="ArialNarrow" w:cs="ArialNarrow"/>
        </w:rPr>
        <w:t>– If the contravention relates to non-payment of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any gratuity payable under Payment of Gratuity Act, the term of imprisonment shall be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minimum six months and maximum two years. The Court can impose a lesser term of imprisonment, if the Court is of the opinion that a lesser term of imprisonment would meet the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ends of justice [proviso to Section 9(2) of Payment of Gratuity Act]. In addition, a minimum fine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of Rs.10,000 (maximum Rs.20,000) will be imposed.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Employer can charge another person as the actual offender</w:t>
      </w:r>
      <w:r>
        <w:rPr>
          <w:rFonts w:ascii="ArialNarrow,BoldItalic" w:hAnsi="ArialNarrow,BoldItalic" w:cs="ArialNarrow,BoldItalic"/>
          <w:b/>
          <w:bCs/>
          <w:i/>
          <w:iCs/>
        </w:rPr>
        <w:t xml:space="preserve"> </w:t>
      </w:r>
      <w:r>
        <w:rPr>
          <w:rFonts w:ascii="ArialNarrow" w:hAnsi="ArialNarrow" w:cs="ArialNarrow"/>
        </w:rPr>
        <w:t>– Though the ‘employer’ is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liable under Payment of Gratuity Act, he can charge another person as actual offender. After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commission of offence is proved, the employer has to prove that he used due diligence in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execution of the Act and the other person committed the offence without the knowledge,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consent or connivance of the employer. If actual offender cannot be brought before the Court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within three months, the employer will be convicted of the offence [Section 10 of Payment of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Gratuity Act].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E5371B">
        <w:rPr>
          <w:rFonts w:ascii="ArialNarrow,BoldItalic" w:hAnsi="ArialNarrow,BoldItalic" w:cs="ArialNarrow,BoldItalic"/>
          <w:b/>
          <w:bCs/>
          <w:i/>
          <w:iCs/>
          <w:color w:val="E36C0A" w:themeColor="accent6" w:themeShade="BF"/>
        </w:rPr>
        <w:t>Cognizance of offence</w:t>
      </w:r>
      <w:r>
        <w:rPr>
          <w:rFonts w:ascii="ArialNarrow,BoldItalic" w:hAnsi="ArialNarrow,BoldItalic" w:cs="ArialNarrow,BoldItalic"/>
          <w:b/>
          <w:bCs/>
          <w:i/>
          <w:iCs/>
        </w:rPr>
        <w:t xml:space="preserve"> </w:t>
      </w:r>
      <w:r>
        <w:rPr>
          <w:rFonts w:ascii="ArialNarrow" w:hAnsi="ArialNarrow" w:cs="ArialNarrow"/>
        </w:rPr>
        <w:t>– Cognizance of offence can be taken only on complaint made by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authority appointed by ‘Appropriate Government’. Complaint can also be filed by ‘controlling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authority’ if employer did not pay gratuity within six months from prescribed time [Section 11(1)</w:t>
      </w:r>
    </w:p>
    <w:p w:rsidR="00E5371B" w:rsidRDefault="00E5371B" w:rsidP="00E5371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of Payment of Gratuity Act]. Metropolitan Magistrate or Judicial Magistrate of First Class can</w:t>
      </w:r>
    </w:p>
    <w:p w:rsidR="00E5371B" w:rsidRDefault="00E5371B" w:rsidP="00E5371B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ArialNarrow" w:hAnsi="ArialNarrow" w:cs="ArialNarrow"/>
        </w:rPr>
        <w:t>try the offences punishable under Payment of Gratuity Act</w:t>
      </w:r>
    </w:p>
    <w:p w:rsidR="004F6096" w:rsidRDefault="004F6096"/>
    <w:sectPr w:rsidR="004F6096" w:rsidSect="00735E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5A2" w:rsidRDefault="006925A2" w:rsidP="00E5371B">
      <w:pPr>
        <w:spacing w:after="0" w:line="240" w:lineRule="auto"/>
      </w:pPr>
      <w:r>
        <w:separator/>
      </w:r>
    </w:p>
  </w:endnote>
  <w:endnote w:type="continuationSeparator" w:id="1">
    <w:p w:rsidR="006925A2" w:rsidRDefault="006925A2" w:rsidP="00E5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71B" w:rsidRDefault="00E537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71B" w:rsidRDefault="00E5371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71B" w:rsidRDefault="00E537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5A2" w:rsidRDefault="006925A2" w:rsidP="00E5371B">
      <w:pPr>
        <w:spacing w:after="0" w:line="240" w:lineRule="auto"/>
      </w:pPr>
      <w:r>
        <w:separator/>
      </w:r>
    </w:p>
  </w:footnote>
  <w:footnote w:type="continuationSeparator" w:id="1">
    <w:p w:rsidR="006925A2" w:rsidRDefault="006925A2" w:rsidP="00E53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71B" w:rsidRDefault="00E537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5487"/>
      <w:docPartObj>
        <w:docPartGallery w:val="Watermarks"/>
        <w:docPartUnique/>
      </w:docPartObj>
    </w:sdtPr>
    <w:sdtContent>
      <w:p w:rsidR="00E5371B" w:rsidRDefault="006E1F3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176172" o:spid="_x0000_s2049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#00b0f0" stroked="f">
              <v:fill opacity=".5"/>
              <v:textpath style="font-family:&quot;Calibri&quot;;font-size:1pt" string="Navin Agicha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71B" w:rsidRDefault="00E537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5371B"/>
    <w:rsid w:val="00072EA3"/>
    <w:rsid w:val="00347EB0"/>
    <w:rsid w:val="004F6096"/>
    <w:rsid w:val="0058543D"/>
    <w:rsid w:val="005E40D1"/>
    <w:rsid w:val="006925A2"/>
    <w:rsid w:val="006E1F3B"/>
    <w:rsid w:val="00CF1C75"/>
    <w:rsid w:val="00E5371B"/>
    <w:rsid w:val="00F6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3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71B"/>
  </w:style>
  <w:style w:type="paragraph" w:styleId="Footer">
    <w:name w:val="footer"/>
    <w:basedOn w:val="Normal"/>
    <w:link w:val="FooterChar"/>
    <w:uiPriority w:val="99"/>
    <w:semiHidden/>
    <w:unhideWhenUsed/>
    <w:rsid w:val="00E53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7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2011-09-10T06:22:00Z</dcterms:created>
  <dcterms:modified xsi:type="dcterms:W3CDTF">2011-09-10T06:22:00Z</dcterms:modified>
</cp:coreProperties>
</file>