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28"/>
          <w:szCs w:val="28"/>
          <w:lang w:val="en-US"/>
        </w:rPr>
      </w:pPr>
      <w:r w:rsidRPr="00347505">
        <w:rPr>
          <w:rFonts w:ascii="Bookman Old Style" w:hAnsi="Bookman Old Style" w:cs="Bookman Old Style"/>
          <w:color w:val="211E1E"/>
          <w:sz w:val="28"/>
          <w:szCs w:val="28"/>
          <w:lang w:val="en-US"/>
        </w:rPr>
        <w:t xml:space="preserve">GOVERNMENT OF INDIA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28"/>
          <w:szCs w:val="28"/>
          <w:lang w:val="en-US"/>
        </w:rPr>
      </w:pPr>
      <w:r w:rsidRPr="00347505">
        <w:rPr>
          <w:rFonts w:ascii="Bookman Old Style" w:hAnsi="Bookman Old Style" w:cs="Bookman Old Style"/>
          <w:color w:val="211E1E"/>
          <w:sz w:val="28"/>
          <w:szCs w:val="28"/>
          <w:lang w:val="en-US"/>
        </w:rPr>
        <w:t xml:space="preserve">MINISTRY OF FINANCE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28"/>
          <w:szCs w:val="28"/>
          <w:lang w:val="en-US"/>
        </w:rPr>
      </w:pPr>
      <w:r w:rsidRPr="00347505">
        <w:rPr>
          <w:rFonts w:ascii="Bookman Old Style" w:hAnsi="Bookman Old Style" w:cs="Bookman Old Style"/>
          <w:color w:val="211E1E"/>
          <w:sz w:val="28"/>
          <w:szCs w:val="28"/>
          <w:lang w:val="en-US"/>
        </w:rPr>
        <w:t xml:space="preserve">DEPARTMENT OF REVENUE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28"/>
          <w:szCs w:val="28"/>
          <w:lang w:val="en-US"/>
        </w:rPr>
      </w:pPr>
      <w:r w:rsidRPr="00347505">
        <w:rPr>
          <w:rFonts w:ascii="Bookman Old Style" w:hAnsi="Bookman Old Style" w:cs="Bookman Old Style"/>
          <w:color w:val="211E1E"/>
          <w:sz w:val="28"/>
          <w:szCs w:val="28"/>
          <w:lang w:val="en-US"/>
        </w:rPr>
        <w:t xml:space="preserve">CENTRAL BOARD OF DIRECT TAXES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36"/>
          <w:szCs w:val="36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211E1E"/>
          <w:sz w:val="36"/>
          <w:szCs w:val="36"/>
          <w:lang w:val="en-US"/>
        </w:rPr>
        <w:t xml:space="preserve">DEDUCTION OF TAX AT SOURCE —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36"/>
          <w:szCs w:val="36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211E1E"/>
          <w:sz w:val="36"/>
          <w:szCs w:val="36"/>
          <w:lang w:val="en-US"/>
        </w:rPr>
        <w:t xml:space="preserve">INCOME–TAX DEDUCTION FROM SALARIES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36"/>
          <w:szCs w:val="36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211E1E"/>
          <w:sz w:val="36"/>
          <w:szCs w:val="36"/>
          <w:lang w:val="en-US"/>
        </w:rPr>
        <w:t xml:space="preserve">UNDER SECTION 192 OF THE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211E1E"/>
          <w:sz w:val="36"/>
          <w:szCs w:val="36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211E1E"/>
          <w:sz w:val="36"/>
          <w:szCs w:val="36"/>
          <w:lang w:val="en-US"/>
        </w:rPr>
        <w:t xml:space="preserve">INCOME–TAX ACT, 1961 </w:t>
      </w:r>
    </w:p>
    <w:p w:rsid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211E1E"/>
          <w:sz w:val="36"/>
          <w:szCs w:val="36"/>
          <w:lang w:val="en-US"/>
        </w:rPr>
        <w:t>DURING THE FINANCIAL YEAR 2011-2012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  <w:lang w:val="en-US"/>
        </w:rPr>
      </w:pPr>
    </w:p>
    <w:p w:rsidR="00347505" w:rsidRDefault="00347505" w:rsidP="00347505">
      <w:pPr>
        <w:autoSpaceDE w:val="0"/>
        <w:autoSpaceDN w:val="0"/>
        <w:adjustRightInd w:val="0"/>
        <w:spacing w:before="100" w:after="100" w:line="240" w:lineRule="auto"/>
        <w:rPr>
          <w:rFonts w:ascii="Bookman Old Style" w:hAnsi="Bookman Old Style" w:cs="Bookman Old Style"/>
          <w:b/>
          <w:bCs/>
          <w:color w:val="211E1E"/>
          <w:sz w:val="32"/>
          <w:szCs w:val="32"/>
          <w:lang w:val="en-US"/>
        </w:rPr>
      </w:pPr>
      <w:r w:rsidRPr="00347505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gramStart"/>
      <w:r w:rsidRPr="00347505">
        <w:rPr>
          <w:rFonts w:ascii="Bookman Old Style" w:hAnsi="Bookman Old Style" w:cs="Bookman Old Style"/>
          <w:b/>
          <w:bCs/>
          <w:color w:val="211E1E"/>
          <w:sz w:val="32"/>
          <w:szCs w:val="32"/>
          <w:lang w:val="en-US"/>
        </w:rPr>
        <w:t>CIRCULAR NO.</w:t>
      </w:r>
      <w:proofErr w:type="gramEnd"/>
      <w:r w:rsidRPr="00347505">
        <w:rPr>
          <w:rFonts w:ascii="Bookman Old Style" w:hAnsi="Bookman Old Style" w:cs="Bookman Old Style"/>
          <w:b/>
          <w:bCs/>
          <w:color w:val="211E1E"/>
          <w:sz w:val="32"/>
          <w:szCs w:val="32"/>
          <w:lang w:val="en-US"/>
        </w:rPr>
        <w:t xml:space="preserve"> 05/2011</w:t>
      </w:r>
    </w:p>
    <w:p w:rsidR="00347505" w:rsidRDefault="00347505" w:rsidP="00347505">
      <w:pPr>
        <w:pStyle w:val="Default"/>
      </w:pPr>
    </w:p>
    <w:p w:rsidR="00347505" w:rsidRDefault="00347505" w:rsidP="00347505">
      <w:pPr>
        <w:autoSpaceDE w:val="0"/>
        <w:autoSpaceDN w:val="0"/>
        <w:adjustRightInd w:val="0"/>
        <w:spacing w:before="100" w:after="100" w:line="240" w:lineRule="auto"/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</w:pPr>
      <w:r>
        <w:t xml:space="preserve"> </w:t>
      </w:r>
      <w:r>
        <w:rPr>
          <w:sz w:val="28"/>
          <w:szCs w:val="28"/>
        </w:rPr>
        <w:t>NEW DELHI, dated 16.08.2011</w:t>
      </w:r>
    </w:p>
    <w:p w:rsidR="00347505" w:rsidRPr="00347505" w:rsidRDefault="00347505" w:rsidP="00347505">
      <w:pPr>
        <w:autoSpaceDE w:val="0"/>
        <w:autoSpaceDN w:val="0"/>
        <w:adjustRightInd w:val="0"/>
        <w:spacing w:before="100" w:after="10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>4.8 Section 206AA</w:t>
      </w:r>
      <w:r w:rsidRPr="00347505">
        <w:rPr>
          <w:rFonts w:ascii="Bookman Old Style" w:hAnsi="Bookman Old Style" w:cs="Bookman Old Style"/>
          <w:i/>
          <w:iCs/>
          <w:color w:val="000000"/>
          <w:szCs w:val="20"/>
          <w:lang w:val="en-US"/>
        </w:rPr>
        <w:t xml:space="preserve">. </w:t>
      </w:r>
    </w:p>
    <w:p w:rsidR="00347505" w:rsidRPr="00347505" w:rsidRDefault="00347505" w:rsidP="00347505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4.8.1 Finance Act (No. 2) 2009, w.e.f. 01/04/2010 has inserted sec. 206AA in the Income-tax Act which makes furnishing of PAN by the employee compulsory in case of payments liable to TDS.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 xml:space="preserve">If employee (deductee) fails to furnish his/her PAN </w:t>
      </w: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to the </w:t>
      </w:r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deductor ,</w:t>
      </w:r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 the deductor shall make TDS at a higher of the following rates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proofErr w:type="spellStart"/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i</w:t>
      </w:r>
      <w:proofErr w:type="spellEnd"/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. at the rate specified in the relevant provision of this Act; or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ii. </w:t>
      </w:r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at</w:t>
      </w:r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 the rate or rates in force; or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iii</w:t>
      </w:r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. at the rate of twenty per cent.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4.8.2 The deductor has to determine the tax amount in all the three conditions and apply the higher rate of </w:t>
      </w:r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TDS .</w:t>
      </w:r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 This section applies to any person entitled to receive any sum or income or amount,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 xml:space="preserve">on which tax is deductible </w:t>
      </w: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under Chapter XVII-B of Income Tax Act. As chapter XVII-B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>covers all Payments including Salaries</w:t>
      </w: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, Salaries are also covered by Section 206AA. In case of salaries there can be following situations </w:t>
      </w:r>
    </w:p>
    <w:p w:rsidR="00347505" w:rsidRPr="00347505" w:rsidRDefault="00347505" w:rsidP="003475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Where the income of the employee computed for TDS u/s 192 is below taxable limit. </w:t>
      </w:r>
    </w:p>
    <w:p w:rsidR="00347505" w:rsidRPr="00347505" w:rsidRDefault="00347505" w:rsidP="003475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Where the income of the employee computed for TDS u/s 192 is above taxable limit. </w:t>
      </w:r>
    </w:p>
    <w:p w:rsidR="00347505" w:rsidRPr="00347505" w:rsidRDefault="00347505" w:rsidP="0034750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Cs w:val="20"/>
          <w:lang w:val="en-US"/>
        </w:rPr>
      </w:pPr>
    </w:p>
    <w:p w:rsidR="00785D11" w:rsidRDefault="00347505" w:rsidP="00347505"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In first situation, as the tax is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 xml:space="preserve">not liable to be deducted </w:t>
      </w: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no tax will be deducted. In the second case, if PAN is not furnished by the employee, the deductor will calculate the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>average rate of income-tax based on rates in force as provided in sec 192</w:t>
      </w:r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. If the tax so calculated is below 20%, deduction of tax will be made at the rate of 20% and in case the average rate exceeds 20%, tax is </w:t>
      </w:r>
      <w:proofErr w:type="gramStart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>to</w:t>
      </w:r>
      <w:proofErr w:type="gramEnd"/>
      <w:r w:rsidRPr="00347505">
        <w:rPr>
          <w:rFonts w:ascii="Bookman Old Style" w:hAnsi="Bookman Old Style" w:cs="Bookman Old Style"/>
          <w:color w:val="000000"/>
          <w:szCs w:val="20"/>
          <w:lang w:val="en-US"/>
        </w:rPr>
        <w:t xml:space="preserve"> deducted at the average rate. </w:t>
      </w:r>
      <w:r w:rsidRPr="00347505">
        <w:rPr>
          <w:rFonts w:ascii="Bookman Old Style" w:hAnsi="Bookman Old Style" w:cs="Bookman Old Style"/>
          <w:b/>
          <w:bCs/>
          <w:color w:val="000000"/>
          <w:szCs w:val="20"/>
          <w:lang w:val="en-US"/>
        </w:rPr>
        <w:t>Education cess@ 2% and Secondary and Higher Education Cess@ 1% is not to be deducted, in case the TDS is deducted at 20% u/s 206AA of the Income-tax Act.</w:t>
      </w:r>
    </w:p>
    <w:sectPr w:rsidR="00785D11" w:rsidSect="00BA1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7CFF6D"/>
    <w:multiLevelType w:val="hybridMultilevel"/>
    <w:tmpl w:val="8BEB1E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7505"/>
    <w:rsid w:val="001E5F65"/>
    <w:rsid w:val="00315F9F"/>
    <w:rsid w:val="00347505"/>
    <w:rsid w:val="006E3A93"/>
    <w:rsid w:val="00BA17E1"/>
    <w:rsid w:val="00D7705B"/>
    <w:rsid w:val="00DA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750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en-US"/>
    </w:rPr>
  </w:style>
  <w:style w:type="paragraph" w:styleId="NormalWeb">
    <w:name w:val="Normal (Web)"/>
    <w:basedOn w:val="Default"/>
    <w:next w:val="Default"/>
    <w:uiPriority w:val="99"/>
    <w:rsid w:val="00347505"/>
    <w:rPr>
      <w:rFonts w:cs="Arial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Rrangani</dc:creator>
  <cp:keywords/>
  <dc:description/>
  <cp:lastModifiedBy>Rrangani</cp:lastModifiedBy>
  <cp:revision>2</cp:revision>
  <dcterms:created xsi:type="dcterms:W3CDTF">2011-08-23T04:55:00Z</dcterms:created>
  <dcterms:modified xsi:type="dcterms:W3CDTF">2011-08-23T05:04:00Z</dcterms:modified>
</cp:coreProperties>
</file>