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77A" w:rsidRPr="0077577A" w:rsidRDefault="0077577A" w:rsidP="0077577A">
      <w:pPr>
        <w:spacing w:after="0" w:line="240" w:lineRule="auto"/>
        <w:rPr>
          <w:rFonts w:ascii="Tahoma" w:eastAsia="Times New Roman" w:hAnsi="Tahoma" w:cs="Tahoma"/>
          <w:b/>
          <w:bCs/>
          <w:sz w:val="20"/>
          <w:szCs w:val="20"/>
        </w:rPr>
      </w:pPr>
      <w:r w:rsidRPr="0077577A">
        <w:rPr>
          <w:rFonts w:ascii="Times New Roman" w:eastAsia="Times New Roman" w:hAnsi="Times New Roman" w:cs="Times New Roman"/>
          <w:b/>
          <w:bCs/>
          <w:color w:val="0000CC"/>
          <w:sz w:val="24"/>
          <w:szCs w:val="24"/>
        </w:rPr>
        <w:t>AMALGAMATION AND DEMERGER: INCOME TAX ISSUES</w:t>
      </w:r>
      <w:r w:rsidRPr="0077577A">
        <w:rPr>
          <w:rFonts w:ascii="Times New Roman" w:eastAsia="Times New Roman" w:hAnsi="Times New Roman" w:cs="Times New Roman"/>
          <w:sz w:val="24"/>
          <w:szCs w:val="24"/>
        </w:rPr>
        <w:t xml:space="preserve"> </w:t>
      </w:r>
      <w:r w:rsidRPr="0077577A">
        <w:rPr>
          <w:rFonts w:ascii="Times New Roman" w:eastAsia="Times New Roman" w:hAnsi="Times New Roman" w:cs="Times New Roman"/>
          <w:b/>
          <w:bCs/>
          <w:color w:val="000099"/>
          <w:sz w:val="24"/>
          <w:szCs w:val="24"/>
        </w:rPr>
        <w:t> </w:t>
      </w:r>
      <w:r w:rsidRPr="0077577A">
        <w:rPr>
          <w:rFonts w:ascii="Times New Roman" w:eastAsia="Times New Roman" w:hAnsi="Times New Roman" w:cs="Times New Roman"/>
          <w:sz w:val="24"/>
          <w:szCs w:val="24"/>
        </w:rPr>
        <w:t xml:space="preserve"> </w:t>
      </w:r>
    </w:p>
    <w:p w:rsidR="0077577A" w:rsidRPr="0077577A" w:rsidRDefault="0077577A" w:rsidP="0077577A">
      <w:pPr>
        <w:spacing w:before="120" w:after="120" w:line="240" w:lineRule="auto"/>
        <w:rPr>
          <w:rFonts w:ascii="Tahoma" w:eastAsia="Times New Roman" w:hAnsi="Tahoma" w:cs="Tahoma"/>
          <w:b/>
          <w:bCs/>
          <w:sz w:val="20"/>
          <w:szCs w:val="20"/>
        </w:rPr>
      </w:pPr>
      <w:r w:rsidRPr="0077577A">
        <w:rPr>
          <w:rFonts w:ascii="Tahoma" w:eastAsia="Times New Roman" w:hAnsi="Tahoma" w:cs="Tahoma"/>
          <w:b/>
          <w:bCs/>
          <w:sz w:val="20"/>
          <w:szCs w:val="20"/>
        </w:rPr>
        <w:t>DEFINITIONS</w:t>
      </w:r>
    </w:p>
    <w:p w:rsidR="0077577A" w:rsidRPr="0077577A" w:rsidRDefault="0077577A" w:rsidP="0077577A">
      <w:pPr>
        <w:numPr>
          <w:ilvl w:val="0"/>
          <w:numId w:val="1"/>
        </w:numPr>
        <w:spacing w:before="120" w:after="120" w:line="240" w:lineRule="auto"/>
        <w:rPr>
          <w:rFonts w:ascii="Tahoma" w:eastAsia="Times New Roman" w:hAnsi="Tahoma" w:cs="Tahoma"/>
          <w:sz w:val="20"/>
          <w:szCs w:val="20"/>
        </w:rPr>
      </w:pPr>
      <w:r w:rsidRPr="0077577A">
        <w:rPr>
          <w:rFonts w:ascii="Tahoma" w:eastAsia="Times New Roman" w:hAnsi="Tahoma" w:cs="Tahoma"/>
          <w:b/>
          <w:bCs/>
          <w:sz w:val="20"/>
          <w:szCs w:val="20"/>
        </w:rPr>
        <w:t>Amalgamation :</w:t>
      </w:r>
      <w:r w:rsidRPr="0077577A">
        <w:rPr>
          <w:rFonts w:ascii="Tahoma" w:eastAsia="Times New Roman" w:hAnsi="Tahoma" w:cs="Tahoma"/>
          <w:sz w:val="20"/>
          <w:szCs w:val="20"/>
        </w:rPr>
        <w:t xml:space="preserve"> means merger of either one or more companies with another company or merger of two or more companies to form one company in such a manner that : </w:t>
      </w:r>
    </w:p>
    <w:p w:rsidR="0077577A" w:rsidRPr="0077577A" w:rsidRDefault="0077577A" w:rsidP="0077577A">
      <w:pPr>
        <w:numPr>
          <w:ilvl w:val="0"/>
          <w:numId w:val="2"/>
        </w:numPr>
        <w:spacing w:before="120" w:after="120" w:line="240" w:lineRule="auto"/>
        <w:ind w:left="1440"/>
        <w:rPr>
          <w:rFonts w:ascii="Tahoma" w:eastAsia="Times New Roman" w:hAnsi="Tahoma" w:cs="Tahoma"/>
          <w:sz w:val="20"/>
          <w:szCs w:val="20"/>
        </w:rPr>
      </w:pPr>
      <w:r w:rsidRPr="0077577A">
        <w:rPr>
          <w:rFonts w:ascii="Tahoma" w:eastAsia="Times New Roman" w:hAnsi="Tahoma" w:cs="Tahoma"/>
          <w:sz w:val="20"/>
          <w:szCs w:val="20"/>
        </w:rPr>
        <w:t xml:space="preserve">All the property/liability of the amalgamating company/companies becomes the property/liability of amalgamated company. </w:t>
      </w:r>
    </w:p>
    <w:p w:rsidR="0077577A" w:rsidRPr="0077577A" w:rsidRDefault="0077577A" w:rsidP="0077577A">
      <w:pPr>
        <w:numPr>
          <w:ilvl w:val="0"/>
          <w:numId w:val="2"/>
        </w:numPr>
        <w:spacing w:before="120" w:after="120" w:line="240" w:lineRule="auto"/>
        <w:ind w:left="1440"/>
        <w:rPr>
          <w:rFonts w:ascii="Tahoma" w:eastAsia="Times New Roman" w:hAnsi="Tahoma" w:cs="Tahoma"/>
          <w:sz w:val="20"/>
          <w:szCs w:val="20"/>
        </w:rPr>
      </w:pPr>
      <w:r w:rsidRPr="0077577A">
        <w:rPr>
          <w:rFonts w:ascii="Tahoma" w:eastAsia="Times New Roman" w:hAnsi="Tahoma" w:cs="Tahoma"/>
          <w:sz w:val="20"/>
          <w:szCs w:val="20"/>
        </w:rPr>
        <w:t xml:space="preserve">Shareholders holding minimum 75% of the value of shares become shareholders of the amalgamated company. </w:t>
      </w:r>
    </w:p>
    <w:p w:rsidR="0077577A" w:rsidRPr="0077577A" w:rsidRDefault="0077577A" w:rsidP="0077577A">
      <w:pPr>
        <w:numPr>
          <w:ilvl w:val="0"/>
          <w:numId w:val="3"/>
        </w:numPr>
        <w:spacing w:before="120" w:after="120" w:line="240" w:lineRule="auto"/>
        <w:rPr>
          <w:rFonts w:ascii="Tahoma" w:eastAsia="Times New Roman" w:hAnsi="Tahoma" w:cs="Tahoma"/>
          <w:sz w:val="20"/>
          <w:szCs w:val="20"/>
        </w:rPr>
      </w:pPr>
      <w:r w:rsidRPr="0077577A">
        <w:rPr>
          <w:rFonts w:ascii="Tahoma" w:eastAsia="Times New Roman" w:hAnsi="Tahoma" w:cs="Tahoma"/>
          <w:b/>
          <w:bCs/>
          <w:sz w:val="20"/>
          <w:szCs w:val="20"/>
        </w:rPr>
        <w:t>Demerger</w:t>
      </w:r>
      <w:r w:rsidRPr="0077577A">
        <w:rPr>
          <w:rFonts w:ascii="Tahoma" w:eastAsia="Times New Roman" w:hAnsi="Tahoma" w:cs="Tahoma"/>
          <w:sz w:val="20"/>
          <w:szCs w:val="20"/>
        </w:rPr>
        <w:t xml:space="preserve"> : means the transfer of one or more undertakings to any resulting company pursuant to a scheme of arrangement under Sections 391 to 394 of the Companies Act, 1956 in such a manner that : </w:t>
      </w:r>
    </w:p>
    <w:p w:rsidR="0077577A" w:rsidRPr="0077577A" w:rsidRDefault="0077577A" w:rsidP="0077577A">
      <w:pPr>
        <w:numPr>
          <w:ilvl w:val="0"/>
          <w:numId w:val="4"/>
        </w:numPr>
        <w:spacing w:before="120" w:after="120" w:line="240" w:lineRule="auto"/>
        <w:ind w:left="1440"/>
        <w:rPr>
          <w:rFonts w:ascii="Tahoma" w:eastAsia="Times New Roman" w:hAnsi="Tahoma" w:cs="Tahoma"/>
          <w:sz w:val="20"/>
          <w:szCs w:val="20"/>
        </w:rPr>
      </w:pPr>
      <w:r w:rsidRPr="0077577A">
        <w:rPr>
          <w:rFonts w:ascii="Tahoma" w:eastAsia="Times New Roman" w:hAnsi="Tahoma" w:cs="Tahoma"/>
          <w:sz w:val="20"/>
          <w:szCs w:val="20"/>
        </w:rPr>
        <w:t xml:space="preserve">All the property/liability of the undertaking becomes the property/liability of the resulting company. </w:t>
      </w:r>
    </w:p>
    <w:p w:rsidR="0077577A" w:rsidRPr="0077577A" w:rsidRDefault="0077577A" w:rsidP="0077577A">
      <w:pPr>
        <w:numPr>
          <w:ilvl w:val="0"/>
          <w:numId w:val="4"/>
        </w:numPr>
        <w:spacing w:before="120" w:after="120" w:line="240" w:lineRule="auto"/>
        <w:ind w:left="1440"/>
        <w:rPr>
          <w:rFonts w:ascii="Tahoma" w:eastAsia="Times New Roman" w:hAnsi="Tahoma" w:cs="Tahoma"/>
          <w:sz w:val="20"/>
          <w:szCs w:val="20"/>
        </w:rPr>
      </w:pPr>
      <w:r w:rsidRPr="0077577A">
        <w:rPr>
          <w:rFonts w:ascii="Tahoma" w:eastAsia="Times New Roman" w:hAnsi="Tahoma" w:cs="Tahoma"/>
          <w:sz w:val="20"/>
          <w:szCs w:val="20"/>
        </w:rPr>
        <w:t xml:space="preserve">All the property/liabilities are transferred at book value (excluding increase in value due to revaluation). </w:t>
      </w:r>
    </w:p>
    <w:p w:rsidR="0077577A" w:rsidRPr="0077577A" w:rsidRDefault="0077577A" w:rsidP="0077577A">
      <w:pPr>
        <w:numPr>
          <w:ilvl w:val="0"/>
          <w:numId w:val="4"/>
        </w:numPr>
        <w:spacing w:before="120" w:after="120" w:line="240" w:lineRule="auto"/>
        <w:ind w:left="1440"/>
        <w:rPr>
          <w:rFonts w:ascii="Tahoma" w:eastAsia="Times New Roman" w:hAnsi="Tahoma" w:cs="Tahoma"/>
          <w:sz w:val="20"/>
          <w:szCs w:val="20"/>
        </w:rPr>
      </w:pPr>
      <w:r w:rsidRPr="0077577A">
        <w:rPr>
          <w:rFonts w:ascii="Tahoma" w:eastAsia="Times New Roman" w:hAnsi="Tahoma" w:cs="Tahoma"/>
          <w:sz w:val="20"/>
          <w:szCs w:val="20"/>
        </w:rPr>
        <w:t xml:space="preserve">The resulting company issues shares to the shareholders of demerged company on a proportionate basis. </w:t>
      </w:r>
    </w:p>
    <w:p w:rsidR="0077577A" w:rsidRPr="0077577A" w:rsidRDefault="0077577A" w:rsidP="0077577A">
      <w:pPr>
        <w:numPr>
          <w:ilvl w:val="0"/>
          <w:numId w:val="4"/>
        </w:numPr>
        <w:spacing w:before="120" w:after="120" w:line="240" w:lineRule="auto"/>
        <w:ind w:left="1440"/>
        <w:rPr>
          <w:rFonts w:ascii="Tahoma" w:eastAsia="Times New Roman" w:hAnsi="Tahoma" w:cs="Tahoma"/>
          <w:sz w:val="20"/>
          <w:szCs w:val="20"/>
        </w:rPr>
      </w:pPr>
      <w:r w:rsidRPr="0077577A">
        <w:rPr>
          <w:rFonts w:ascii="Tahoma" w:eastAsia="Times New Roman" w:hAnsi="Tahoma" w:cs="Tahoma"/>
          <w:sz w:val="20"/>
          <w:szCs w:val="20"/>
        </w:rPr>
        <w:t xml:space="preserve">Shareholders holding minimum 75% of the value of shares become shareholders of the resulting company. </w:t>
      </w:r>
    </w:p>
    <w:p w:rsidR="0077577A" w:rsidRPr="0077577A" w:rsidRDefault="0077577A" w:rsidP="0077577A">
      <w:pPr>
        <w:numPr>
          <w:ilvl w:val="0"/>
          <w:numId w:val="4"/>
        </w:numPr>
        <w:spacing w:before="120" w:after="120" w:line="240" w:lineRule="auto"/>
        <w:ind w:left="1440"/>
        <w:rPr>
          <w:rFonts w:ascii="Tahoma" w:eastAsia="Times New Roman" w:hAnsi="Tahoma" w:cs="Tahoma"/>
          <w:sz w:val="20"/>
          <w:szCs w:val="20"/>
        </w:rPr>
      </w:pPr>
      <w:r w:rsidRPr="0077577A">
        <w:rPr>
          <w:rFonts w:ascii="Tahoma" w:eastAsia="Times New Roman" w:hAnsi="Tahoma" w:cs="Tahoma"/>
          <w:sz w:val="20"/>
          <w:szCs w:val="20"/>
        </w:rPr>
        <w:t xml:space="preserve">The transfer of an undertaking is on a going concern basis. </w:t>
      </w:r>
    </w:p>
    <w:p w:rsidR="0077577A" w:rsidRPr="0077577A" w:rsidRDefault="0077577A" w:rsidP="0077577A">
      <w:pPr>
        <w:numPr>
          <w:ilvl w:val="0"/>
          <w:numId w:val="4"/>
        </w:numPr>
        <w:spacing w:before="120" w:after="120" w:line="240" w:lineRule="auto"/>
        <w:ind w:left="1440"/>
        <w:rPr>
          <w:rFonts w:ascii="Tahoma" w:eastAsia="Times New Roman" w:hAnsi="Tahoma" w:cs="Tahoma"/>
          <w:sz w:val="20"/>
          <w:szCs w:val="20"/>
        </w:rPr>
      </w:pPr>
      <w:r w:rsidRPr="0077577A">
        <w:rPr>
          <w:rFonts w:ascii="Tahoma" w:eastAsia="Times New Roman" w:hAnsi="Tahoma" w:cs="Tahoma"/>
          <w:sz w:val="20"/>
          <w:szCs w:val="20"/>
        </w:rPr>
        <w:t xml:space="preserve">The demerger is in accordance with the conditions notified under Section </w:t>
      </w:r>
      <w:proofErr w:type="gramStart"/>
      <w:r w:rsidRPr="0077577A">
        <w:rPr>
          <w:rFonts w:ascii="Tahoma" w:eastAsia="Times New Roman" w:hAnsi="Tahoma" w:cs="Tahoma"/>
          <w:sz w:val="20"/>
          <w:szCs w:val="20"/>
        </w:rPr>
        <w:t>72A(</w:t>
      </w:r>
      <w:proofErr w:type="gramEnd"/>
      <w:r w:rsidRPr="0077577A">
        <w:rPr>
          <w:rFonts w:ascii="Tahoma" w:eastAsia="Times New Roman" w:hAnsi="Tahoma" w:cs="Tahoma"/>
          <w:sz w:val="20"/>
          <w:szCs w:val="20"/>
        </w:rPr>
        <w:t xml:space="preserve">5). </w:t>
      </w:r>
    </w:p>
    <w:p w:rsidR="0077577A" w:rsidRPr="0077577A" w:rsidRDefault="0077577A" w:rsidP="0077577A">
      <w:pPr>
        <w:numPr>
          <w:ilvl w:val="0"/>
          <w:numId w:val="5"/>
        </w:numPr>
        <w:spacing w:before="120" w:after="120" w:line="240" w:lineRule="auto"/>
        <w:rPr>
          <w:rFonts w:ascii="Tahoma" w:eastAsia="Times New Roman" w:hAnsi="Tahoma" w:cs="Tahoma"/>
          <w:sz w:val="20"/>
          <w:szCs w:val="20"/>
        </w:rPr>
      </w:pPr>
      <w:proofErr w:type="gramStart"/>
      <w:r w:rsidRPr="0077577A">
        <w:rPr>
          <w:rFonts w:ascii="Tahoma" w:eastAsia="Times New Roman" w:hAnsi="Tahoma" w:cs="Tahoma"/>
          <w:b/>
          <w:bCs/>
          <w:sz w:val="20"/>
          <w:szCs w:val="20"/>
        </w:rPr>
        <w:t>Undertaking</w:t>
      </w:r>
      <w:r w:rsidRPr="0077577A">
        <w:rPr>
          <w:rFonts w:ascii="Tahoma" w:eastAsia="Times New Roman" w:hAnsi="Tahoma" w:cs="Tahoma"/>
          <w:sz w:val="20"/>
          <w:szCs w:val="20"/>
        </w:rPr>
        <w:t xml:space="preserve"> :</w:t>
      </w:r>
      <w:proofErr w:type="gramEnd"/>
      <w:r w:rsidRPr="0077577A">
        <w:rPr>
          <w:rFonts w:ascii="Tahoma" w:eastAsia="Times New Roman" w:hAnsi="Tahoma" w:cs="Tahoma"/>
          <w:sz w:val="20"/>
          <w:szCs w:val="20"/>
        </w:rPr>
        <w:t xml:space="preserve"> includes any part of an undertaking or a unit or division of an undertaking or a business activity taken as a whole, but excludes individual assets or liabilities or combination of both not constituting a business activity. </w:t>
      </w:r>
    </w:p>
    <w:p w:rsidR="0077577A" w:rsidRPr="0077577A" w:rsidRDefault="0077577A" w:rsidP="0077577A">
      <w:pPr>
        <w:numPr>
          <w:ilvl w:val="0"/>
          <w:numId w:val="5"/>
        </w:numPr>
        <w:spacing w:before="120" w:after="120" w:line="240" w:lineRule="auto"/>
        <w:rPr>
          <w:rFonts w:ascii="Tahoma" w:eastAsia="Times New Roman" w:hAnsi="Tahoma" w:cs="Tahoma"/>
          <w:sz w:val="20"/>
          <w:szCs w:val="20"/>
        </w:rPr>
      </w:pPr>
      <w:r w:rsidRPr="0077577A">
        <w:rPr>
          <w:rFonts w:ascii="Tahoma" w:eastAsia="Times New Roman" w:hAnsi="Tahoma" w:cs="Tahoma"/>
          <w:b/>
          <w:bCs/>
          <w:sz w:val="20"/>
          <w:szCs w:val="20"/>
        </w:rPr>
        <w:t xml:space="preserve">Demerged </w:t>
      </w:r>
      <w:proofErr w:type="gramStart"/>
      <w:r w:rsidRPr="0077577A">
        <w:rPr>
          <w:rFonts w:ascii="Tahoma" w:eastAsia="Times New Roman" w:hAnsi="Tahoma" w:cs="Tahoma"/>
          <w:b/>
          <w:bCs/>
          <w:sz w:val="20"/>
          <w:szCs w:val="20"/>
        </w:rPr>
        <w:t xml:space="preserve">Company </w:t>
      </w:r>
      <w:r w:rsidRPr="0077577A">
        <w:rPr>
          <w:rFonts w:ascii="Tahoma" w:eastAsia="Times New Roman" w:hAnsi="Tahoma" w:cs="Tahoma"/>
          <w:sz w:val="20"/>
          <w:szCs w:val="20"/>
        </w:rPr>
        <w:t>:</w:t>
      </w:r>
      <w:proofErr w:type="gramEnd"/>
      <w:r w:rsidRPr="0077577A">
        <w:rPr>
          <w:rFonts w:ascii="Tahoma" w:eastAsia="Times New Roman" w:hAnsi="Tahoma" w:cs="Tahoma"/>
          <w:sz w:val="20"/>
          <w:szCs w:val="20"/>
        </w:rPr>
        <w:t xml:space="preserve"> means the company whose undertaking is transferred to a resulting company pursuant to a demerger.  </w:t>
      </w:r>
    </w:p>
    <w:p w:rsidR="0077577A" w:rsidRPr="0077577A" w:rsidRDefault="0077577A" w:rsidP="0077577A">
      <w:pPr>
        <w:numPr>
          <w:ilvl w:val="0"/>
          <w:numId w:val="5"/>
        </w:numPr>
        <w:spacing w:before="120" w:after="120" w:line="240" w:lineRule="auto"/>
        <w:rPr>
          <w:rFonts w:ascii="Tahoma" w:eastAsia="Times New Roman" w:hAnsi="Tahoma" w:cs="Tahoma"/>
          <w:sz w:val="20"/>
          <w:szCs w:val="20"/>
        </w:rPr>
      </w:pPr>
      <w:r w:rsidRPr="0077577A">
        <w:rPr>
          <w:rFonts w:ascii="Tahoma" w:eastAsia="Times New Roman" w:hAnsi="Tahoma" w:cs="Tahoma"/>
          <w:b/>
          <w:bCs/>
          <w:sz w:val="20"/>
          <w:szCs w:val="20"/>
        </w:rPr>
        <w:t xml:space="preserve">Resulting </w:t>
      </w:r>
      <w:proofErr w:type="gramStart"/>
      <w:r w:rsidRPr="0077577A">
        <w:rPr>
          <w:rFonts w:ascii="Tahoma" w:eastAsia="Times New Roman" w:hAnsi="Tahoma" w:cs="Tahoma"/>
          <w:b/>
          <w:bCs/>
          <w:sz w:val="20"/>
          <w:szCs w:val="20"/>
        </w:rPr>
        <w:t>Company :</w:t>
      </w:r>
      <w:proofErr w:type="gramEnd"/>
      <w:r w:rsidRPr="0077577A">
        <w:rPr>
          <w:rFonts w:ascii="Tahoma" w:eastAsia="Times New Roman" w:hAnsi="Tahoma" w:cs="Tahoma"/>
          <w:sz w:val="20"/>
          <w:szCs w:val="20"/>
        </w:rPr>
        <w:t xml:space="preserve"> means one or more companies (including wholly owned subsidiary thereof) to which the undertaking of the demerged company is transferred in a demerger and the resulting company in consideration of such transfer of undertaking, issues shares to shareholders of the demerged company and includes any authority or body or local authority or public sector company or a company established, constituted or formed as a result of demerger.  </w:t>
      </w:r>
    </w:p>
    <w:p w:rsidR="0077577A" w:rsidRPr="0077577A" w:rsidRDefault="0077577A" w:rsidP="0077577A">
      <w:pPr>
        <w:numPr>
          <w:ilvl w:val="0"/>
          <w:numId w:val="5"/>
        </w:numPr>
        <w:spacing w:before="120" w:after="120" w:line="240" w:lineRule="auto"/>
        <w:rPr>
          <w:rFonts w:ascii="Tahoma" w:eastAsia="Times New Roman" w:hAnsi="Tahoma" w:cs="Tahoma"/>
          <w:sz w:val="20"/>
          <w:szCs w:val="20"/>
        </w:rPr>
      </w:pPr>
      <w:r w:rsidRPr="0077577A">
        <w:rPr>
          <w:rFonts w:ascii="Tahoma" w:eastAsia="Times New Roman" w:hAnsi="Tahoma" w:cs="Tahoma"/>
          <w:b/>
          <w:bCs/>
          <w:sz w:val="20"/>
          <w:szCs w:val="20"/>
        </w:rPr>
        <w:t xml:space="preserve">Provisions applicable to Company — Amalgamation/Demerger </w:t>
      </w:r>
    </w:p>
    <w:p w:rsidR="0077577A" w:rsidRPr="0077577A" w:rsidRDefault="0077577A" w:rsidP="0077577A">
      <w:pPr>
        <w:numPr>
          <w:ilvl w:val="0"/>
          <w:numId w:val="6"/>
        </w:numPr>
        <w:spacing w:before="120" w:after="120" w:line="240" w:lineRule="auto"/>
        <w:ind w:left="1440"/>
        <w:rPr>
          <w:rFonts w:ascii="Tahoma" w:eastAsia="Times New Roman" w:hAnsi="Tahoma" w:cs="Tahoma"/>
          <w:sz w:val="20"/>
          <w:szCs w:val="20"/>
        </w:rPr>
      </w:pPr>
      <w:r w:rsidRPr="0077577A">
        <w:rPr>
          <w:rFonts w:ascii="Tahoma" w:eastAsia="Times New Roman" w:hAnsi="Tahoma" w:cs="Tahoma"/>
          <w:b/>
          <w:bCs/>
          <w:sz w:val="20"/>
          <w:szCs w:val="20"/>
        </w:rPr>
        <w:t xml:space="preserve">Capital Gain </w:t>
      </w:r>
    </w:p>
    <w:p w:rsidR="0077577A" w:rsidRPr="0077577A" w:rsidRDefault="0077577A" w:rsidP="0077577A">
      <w:pPr>
        <w:numPr>
          <w:ilvl w:val="0"/>
          <w:numId w:val="7"/>
        </w:numPr>
        <w:spacing w:before="120" w:after="120" w:line="240" w:lineRule="auto"/>
        <w:ind w:left="2160"/>
        <w:rPr>
          <w:rFonts w:ascii="Tahoma" w:eastAsia="Times New Roman" w:hAnsi="Tahoma" w:cs="Tahoma"/>
          <w:sz w:val="20"/>
          <w:szCs w:val="20"/>
        </w:rPr>
      </w:pPr>
      <w:proofErr w:type="gramStart"/>
      <w:r w:rsidRPr="0077577A">
        <w:rPr>
          <w:rFonts w:ascii="Tahoma" w:eastAsia="Times New Roman" w:hAnsi="Tahoma" w:cs="Tahoma"/>
          <w:sz w:val="20"/>
          <w:szCs w:val="20"/>
        </w:rPr>
        <w:t>Gains arising on transfer of a capital asset in a scheme of amalgamation/demerger to the amalgamated/resulting company being an Indian Company is</w:t>
      </w:r>
      <w:proofErr w:type="gramEnd"/>
      <w:r w:rsidRPr="0077577A">
        <w:rPr>
          <w:rFonts w:ascii="Tahoma" w:eastAsia="Times New Roman" w:hAnsi="Tahoma" w:cs="Tahoma"/>
          <w:sz w:val="20"/>
          <w:szCs w:val="20"/>
        </w:rPr>
        <w:t xml:space="preserve"> exempt. </w:t>
      </w:r>
    </w:p>
    <w:p w:rsidR="0077577A" w:rsidRPr="0077577A" w:rsidRDefault="0077577A" w:rsidP="0077577A">
      <w:pPr>
        <w:numPr>
          <w:ilvl w:val="0"/>
          <w:numId w:val="8"/>
        </w:numPr>
        <w:spacing w:before="120" w:after="120" w:line="240" w:lineRule="auto"/>
        <w:ind w:left="1440"/>
        <w:rPr>
          <w:rFonts w:ascii="Tahoma" w:eastAsia="Times New Roman" w:hAnsi="Tahoma" w:cs="Tahoma"/>
          <w:sz w:val="20"/>
          <w:szCs w:val="20"/>
        </w:rPr>
      </w:pPr>
      <w:r w:rsidRPr="0077577A">
        <w:rPr>
          <w:rFonts w:ascii="Tahoma" w:eastAsia="Times New Roman" w:hAnsi="Tahoma" w:cs="Tahoma"/>
          <w:b/>
          <w:bCs/>
          <w:sz w:val="20"/>
          <w:szCs w:val="20"/>
        </w:rPr>
        <w:t xml:space="preserve">Carry forward of accumulated loss and/or unabsorbed depreciation </w:t>
      </w:r>
    </w:p>
    <w:p w:rsidR="0077577A" w:rsidRPr="0077577A" w:rsidRDefault="0077577A" w:rsidP="0077577A">
      <w:pPr>
        <w:numPr>
          <w:ilvl w:val="0"/>
          <w:numId w:val="9"/>
        </w:numPr>
        <w:spacing w:before="120" w:after="120" w:line="240" w:lineRule="auto"/>
        <w:ind w:left="2160"/>
        <w:rPr>
          <w:rFonts w:ascii="Tahoma" w:eastAsia="Times New Roman" w:hAnsi="Tahoma" w:cs="Tahoma"/>
          <w:sz w:val="20"/>
          <w:szCs w:val="20"/>
        </w:rPr>
      </w:pPr>
      <w:r w:rsidRPr="0077577A">
        <w:rPr>
          <w:rFonts w:ascii="Tahoma" w:eastAsia="Times New Roman" w:hAnsi="Tahoma" w:cs="Tahoma"/>
          <w:sz w:val="20"/>
          <w:szCs w:val="20"/>
        </w:rPr>
        <w:t xml:space="preserve">Accumulated loss and unabsorbed depreciation of an amalgamating company owning an industrial undertaking or a ship or a hotel or a banking company can be transferred to the amalgamated company provided: </w:t>
      </w:r>
    </w:p>
    <w:p w:rsidR="0077577A" w:rsidRPr="0077577A" w:rsidRDefault="0077577A" w:rsidP="0077577A">
      <w:pPr>
        <w:numPr>
          <w:ilvl w:val="0"/>
          <w:numId w:val="10"/>
        </w:numPr>
        <w:spacing w:before="120" w:after="120" w:line="240" w:lineRule="auto"/>
        <w:ind w:left="2880"/>
        <w:rPr>
          <w:rFonts w:ascii="Tahoma" w:eastAsia="Times New Roman" w:hAnsi="Tahoma" w:cs="Tahoma"/>
          <w:sz w:val="20"/>
          <w:szCs w:val="20"/>
        </w:rPr>
      </w:pPr>
      <w:r w:rsidRPr="0077577A">
        <w:rPr>
          <w:rFonts w:ascii="Tahoma" w:eastAsia="Times New Roman" w:hAnsi="Tahoma" w:cs="Tahoma"/>
          <w:sz w:val="20"/>
          <w:szCs w:val="20"/>
        </w:rPr>
        <w:t xml:space="preserve">it continuously holds 3/4th value of the assets acquired in a scheme of amalgamation for at least five years from the date of amalgamation </w:t>
      </w:r>
    </w:p>
    <w:p w:rsidR="0077577A" w:rsidRPr="0077577A" w:rsidRDefault="0077577A" w:rsidP="0077577A">
      <w:pPr>
        <w:numPr>
          <w:ilvl w:val="0"/>
          <w:numId w:val="10"/>
        </w:numPr>
        <w:spacing w:before="120" w:after="120" w:line="240" w:lineRule="auto"/>
        <w:ind w:left="2880"/>
        <w:rPr>
          <w:rFonts w:ascii="Tahoma" w:eastAsia="Times New Roman" w:hAnsi="Tahoma" w:cs="Tahoma"/>
          <w:sz w:val="20"/>
          <w:szCs w:val="20"/>
        </w:rPr>
      </w:pPr>
      <w:r w:rsidRPr="0077577A">
        <w:rPr>
          <w:rFonts w:ascii="Tahoma" w:eastAsia="Times New Roman" w:hAnsi="Tahoma" w:cs="Tahoma"/>
          <w:sz w:val="20"/>
          <w:szCs w:val="20"/>
        </w:rPr>
        <w:lastRenderedPageBreak/>
        <w:t xml:space="preserve">it continues to carry on business of amalgamating company for at least five years from the date of amalgamation and the amalgamating company </w:t>
      </w:r>
    </w:p>
    <w:p w:rsidR="0077577A" w:rsidRPr="0077577A" w:rsidRDefault="0077577A" w:rsidP="0077577A">
      <w:pPr>
        <w:numPr>
          <w:ilvl w:val="0"/>
          <w:numId w:val="11"/>
        </w:numPr>
        <w:spacing w:before="120" w:after="120" w:line="240" w:lineRule="auto"/>
        <w:ind w:left="3600"/>
        <w:rPr>
          <w:rFonts w:ascii="Tahoma" w:eastAsia="Times New Roman" w:hAnsi="Tahoma" w:cs="Tahoma"/>
          <w:sz w:val="20"/>
          <w:szCs w:val="20"/>
        </w:rPr>
      </w:pPr>
      <w:proofErr w:type="gramStart"/>
      <w:r w:rsidRPr="0077577A">
        <w:rPr>
          <w:rFonts w:ascii="Tahoma" w:eastAsia="Times New Roman" w:hAnsi="Tahoma" w:cs="Tahoma"/>
          <w:sz w:val="20"/>
          <w:szCs w:val="20"/>
        </w:rPr>
        <w:t>was</w:t>
      </w:r>
      <w:proofErr w:type="gramEnd"/>
      <w:r w:rsidRPr="0077577A">
        <w:rPr>
          <w:rFonts w:ascii="Tahoma" w:eastAsia="Times New Roman" w:hAnsi="Tahoma" w:cs="Tahoma"/>
          <w:sz w:val="20"/>
          <w:szCs w:val="20"/>
        </w:rPr>
        <w:t xml:space="preserve"> engaged in business in which the accumulated loss has occurred or the unabsorbed depreciation remains unabsorbed for three or more years. </w:t>
      </w:r>
    </w:p>
    <w:p w:rsidR="0077577A" w:rsidRPr="0077577A" w:rsidRDefault="0077577A" w:rsidP="0077577A">
      <w:pPr>
        <w:numPr>
          <w:ilvl w:val="0"/>
          <w:numId w:val="11"/>
        </w:numPr>
        <w:spacing w:before="120" w:after="120" w:line="240" w:lineRule="auto"/>
        <w:ind w:left="3600"/>
        <w:rPr>
          <w:rFonts w:ascii="Tahoma" w:eastAsia="Times New Roman" w:hAnsi="Tahoma" w:cs="Tahoma"/>
          <w:sz w:val="20"/>
          <w:szCs w:val="20"/>
        </w:rPr>
      </w:pPr>
      <w:proofErr w:type="gramStart"/>
      <w:r w:rsidRPr="0077577A">
        <w:rPr>
          <w:rFonts w:ascii="Tahoma" w:eastAsia="Times New Roman" w:hAnsi="Tahoma" w:cs="Tahoma"/>
          <w:sz w:val="20"/>
          <w:szCs w:val="20"/>
        </w:rPr>
        <w:t>has</w:t>
      </w:r>
      <w:proofErr w:type="gramEnd"/>
      <w:r w:rsidRPr="0077577A">
        <w:rPr>
          <w:rFonts w:ascii="Tahoma" w:eastAsia="Times New Roman" w:hAnsi="Tahoma" w:cs="Tahoma"/>
          <w:sz w:val="20"/>
          <w:szCs w:val="20"/>
        </w:rPr>
        <w:t xml:space="preserve"> continuously held 3/4th of the value of assets held by it two years prior to amalgamation. </w:t>
      </w:r>
    </w:p>
    <w:p w:rsidR="0077577A" w:rsidRPr="0077577A" w:rsidRDefault="0077577A" w:rsidP="0077577A">
      <w:pPr>
        <w:numPr>
          <w:ilvl w:val="0"/>
          <w:numId w:val="12"/>
        </w:numPr>
        <w:spacing w:before="120" w:after="120" w:line="240" w:lineRule="auto"/>
        <w:ind w:left="2160"/>
        <w:rPr>
          <w:rFonts w:ascii="Tahoma" w:eastAsia="Times New Roman" w:hAnsi="Tahoma" w:cs="Tahoma"/>
          <w:sz w:val="20"/>
          <w:szCs w:val="20"/>
        </w:rPr>
      </w:pPr>
      <w:r w:rsidRPr="0077577A">
        <w:rPr>
          <w:rFonts w:ascii="Tahoma" w:eastAsia="Times New Roman" w:hAnsi="Tahoma" w:cs="Tahoma"/>
          <w:sz w:val="20"/>
          <w:szCs w:val="20"/>
        </w:rPr>
        <w:t xml:space="preserve">Accumulated loss and unabsorbed depreciation of a demerged company will be transferred to resulting company: </w:t>
      </w:r>
    </w:p>
    <w:p w:rsidR="0077577A" w:rsidRPr="0077577A" w:rsidRDefault="0077577A" w:rsidP="0077577A">
      <w:pPr>
        <w:numPr>
          <w:ilvl w:val="0"/>
          <w:numId w:val="13"/>
        </w:numPr>
        <w:spacing w:before="120" w:after="120" w:line="240" w:lineRule="auto"/>
        <w:ind w:left="2880"/>
        <w:rPr>
          <w:rFonts w:ascii="Tahoma" w:eastAsia="Times New Roman" w:hAnsi="Tahoma" w:cs="Tahoma"/>
          <w:sz w:val="20"/>
          <w:szCs w:val="20"/>
        </w:rPr>
      </w:pPr>
      <w:r w:rsidRPr="0077577A">
        <w:rPr>
          <w:rFonts w:ascii="Tahoma" w:eastAsia="Times New Roman" w:hAnsi="Tahoma" w:cs="Tahoma"/>
          <w:sz w:val="20"/>
          <w:szCs w:val="20"/>
        </w:rPr>
        <w:t xml:space="preserve">Where it is directly relatable to undertaking transferred, it should be such relatable amount. </w:t>
      </w:r>
    </w:p>
    <w:p w:rsidR="0077577A" w:rsidRPr="0077577A" w:rsidRDefault="0077577A" w:rsidP="0077577A">
      <w:pPr>
        <w:numPr>
          <w:ilvl w:val="0"/>
          <w:numId w:val="13"/>
        </w:numPr>
        <w:spacing w:before="120" w:after="120" w:line="240" w:lineRule="auto"/>
        <w:ind w:left="2880"/>
        <w:rPr>
          <w:rFonts w:ascii="Tahoma" w:eastAsia="Times New Roman" w:hAnsi="Tahoma" w:cs="Tahoma"/>
          <w:sz w:val="20"/>
          <w:szCs w:val="20"/>
        </w:rPr>
      </w:pPr>
      <w:r w:rsidRPr="0077577A">
        <w:rPr>
          <w:rFonts w:ascii="Tahoma" w:eastAsia="Times New Roman" w:hAnsi="Tahoma" w:cs="Tahoma"/>
          <w:sz w:val="20"/>
          <w:szCs w:val="20"/>
        </w:rPr>
        <w:t xml:space="preserve">Where it is not directly relatable to the undertaking transferred, it should be apportioned in the ratio of assets retained by the demerged company and transferred to resulting company. </w:t>
      </w:r>
    </w:p>
    <w:p w:rsidR="0077577A" w:rsidRPr="0077577A" w:rsidRDefault="0077577A" w:rsidP="0077577A">
      <w:pPr>
        <w:numPr>
          <w:ilvl w:val="0"/>
          <w:numId w:val="14"/>
        </w:numPr>
        <w:spacing w:before="120" w:after="120" w:line="240" w:lineRule="auto"/>
        <w:ind w:left="1440"/>
        <w:rPr>
          <w:rFonts w:ascii="Tahoma" w:eastAsia="Times New Roman" w:hAnsi="Tahoma" w:cs="Tahoma"/>
          <w:sz w:val="20"/>
          <w:szCs w:val="20"/>
        </w:rPr>
      </w:pPr>
      <w:r w:rsidRPr="0077577A">
        <w:rPr>
          <w:rFonts w:ascii="Tahoma" w:eastAsia="Times New Roman" w:hAnsi="Tahoma" w:cs="Tahoma"/>
          <w:b/>
          <w:bCs/>
          <w:sz w:val="20"/>
          <w:szCs w:val="20"/>
        </w:rPr>
        <w:t xml:space="preserve">Carry forward of accumulated loss and/or unabsorbed depreciation of the banking company in a Scheme of amalgamation with banking institution </w:t>
      </w:r>
    </w:p>
    <w:p w:rsidR="0077577A" w:rsidRPr="0077577A" w:rsidRDefault="0077577A" w:rsidP="0077577A">
      <w:pPr>
        <w:numPr>
          <w:ilvl w:val="0"/>
          <w:numId w:val="15"/>
        </w:numPr>
        <w:spacing w:before="120" w:after="120" w:line="240" w:lineRule="auto"/>
        <w:ind w:left="2160"/>
        <w:rPr>
          <w:rFonts w:ascii="Tahoma" w:eastAsia="Times New Roman" w:hAnsi="Tahoma" w:cs="Tahoma"/>
          <w:sz w:val="20"/>
          <w:szCs w:val="20"/>
        </w:rPr>
      </w:pPr>
      <w:r w:rsidRPr="0077577A">
        <w:rPr>
          <w:rFonts w:ascii="Tahoma" w:eastAsia="Times New Roman" w:hAnsi="Tahoma" w:cs="Tahoma"/>
          <w:sz w:val="20"/>
          <w:szCs w:val="20"/>
        </w:rPr>
        <w:t xml:space="preserve">In a Scheme of amalgamation sanctioned and brought in force by the Central Government u/s. 45(7) of the Banking Regulation Act, 149, the accumulated loss and unabsorbed depreciation of the banking company shall be deemed to be loss or depreciation of the banking institution for the previous year in which the Scheme of Amalgamation is brought in force and other provisions relating to set-off and carry forward of loss and allowance of depreciation shall apply accordingly with effect from Assessment Year 2005-06. (S. 72AA) </w:t>
      </w:r>
    </w:p>
    <w:p w:rsidR="0077577A" w:rsidRPr="0077577A" w:rsidRDefault="0077577A" w:rsidP="0077577A">
      <w:pPr>
        <w:numPr>
          <w:ilvl w:val="0"/>
          <w:numId w:val="16"/>
        </w:numPr>
        <w:spacing w:before="120" w:after="120" w:line="240" w:lineRule="auto"/>
        <w:ind w:left="1440"/>
        <w:rPr>
          <w:rFonts w:ascii="Tahoma" w:eastAsia="Times New Roman" w:hAnsi="Tahoma" w:cs="Tahoma"/>
          <w:sz w:val="20"/>
          <w:szCs w:val="20"/>
        </w:rPr>
      </w:pPr>
      <w:proofErr w:type="spellStart"/>
      <w:r w:rsidRPr="0077577A">
        <w:rPr>
          <w:rFonts w:ascii="Tahoma" w:eastAsia="Times New Roman" w:hAnsi="Tahoma" w:cs="Tahoma"/>
          <w:b/>
          <w:bCs/>
          <w:sz w:val="20"/>
          <w:szCs w:val="20"/>
        </w:rPr>
        <w:t>Allowability</w:t>
      </w:r>
      <w:proofErr w:type="spellEnd"/>
      <w:r w:rsidRPr="0077577A">
        <w:rPr>
          <w:rFonts w:ascii="Tahoma" w:eastAsia="Times New Roman" w:hAnsi="Tahoma" w:cs="Tahoma"/>
          <w:b/>
          <w:bCs/>
          <w:sz w:val="20"/>
          <w:szCs w:val="20"/>
        </w:rPr>
        <w:t xml:space="preserve"> of expenditure relating to amalgamation/demerger </w:t>
      </w:r>
    </w:p>
    <w:p w:rsidR="0077577A" w:rsidRPr="0077577A" w:rsidRDefault="0077577A" w:rsidP="0077577A">
      <w:pPr>
        <w:numPr>
          <w:ilvl w:val="0"/>
          <w:numId w:val="17"/>
        </w:numPr>
        <w:spacing w:before="120" w:after="120" w:line="240" w:lineRule="auto"/>
        <w:ind w:left="2160"/>
        <w:rPr>
          <w:rFonts w:ascii="Tahoma" w:eastAsia="Times New Roman" w:hAnsi="Tahoma" w:cs="Tahoma"/>
          <w:sz w:val="20"/>
          <w:szCs w:val="20"/>
        </w:rPr>
      </w:pPr>
      <w:r w:rsidRPr="0077577A">
        <w:rPr>
          <w:rFonts w:ascii="Tahoma" w:eastAsia="Times New Roman" w:hAnsi="Tahoma" w:cs="Tahoma"/>
          <w:sz w:val="20"/>
          <w:szCs w:val="20"/>
        </w:rPr>
        <w:t xml:space="preserve">An Indian company will be allowed a deduction of 1/5th of the expenditure incurred for the purposes of amalgamation or demerger after 1st April, 1999 for five years from the years of amalgamation/demerger. (S. 35DD) </w:t>
      </w:r>
    </w:p>
    <w:p w:rsidR="0077577A" w:rsidRPr="0077577A" w:rsidRDefault="0077577A" w:rsidP="0077577A">
      <w:pPr>
        <w:numPr>
          <w:ilvl w:val="0"/>
          <w:numId w:val="18"/>
        </w:numPr>
        <w:spacing w:before="120" w:after="120" w:line="240" w:lineRule="auto"/>
        <w:ind w:left="1440"/>
        <w:rPr>
          <w:rFonts w:ascii="Tahoma" w:eastAsia="Times New Roman" w:hAnsi="Tahoma" w:cs="Tahoma"/>
          <w:sz w:val="20"/>
          <w:szCs w:val="20"/>
        </w:rPr>
      </w:pPr>
      <w:r w:rsidRPr="0077577A">
        <w:rPr>
          <w:rFonts w:ascii="Tahoma" w:eastAsia="Times New Roman" w:hAnsi="Tahoma" w:cs="Tahoma"/>
          <w:b/>
          <w:bCs/>
          <w:sz w:val="20"/>
          <w:szCs w:val="20"/>
        </w:rPr>
        <w:t xml:space="preserve">Depreciation in the year of amalgamation/demerger </w:t>
      </w:r>
    </w:p>
    <w:p w:rsidR="0077577A" w:rsidRPr="0077577A" w:rsidRDefault="0077577A" w:rsidP="0077577A">
      <w:pPr>
        <w:numPr>
          <w:ilvl w:val="0"/>
          <w:numId w:val="19"/>
        </w:numPr>
        <w:spacing w:before="120" w:after="120" w:line="240" w:lineRule="auto"/>
        <w:ind w:left="2160"/>
        <w:rPr>
          <w:rFonts w:ascii="Tahoma" w:eastAsia="Times New Roman" w:hAnsi="Tahoma" w:cs="Tahoma"/>
          <w:sz w:val="20"/>
          <w:szCs w:val="20"/>
        </w:rPr>
      </w:pPr>
      <w:r w:rsidRPr="0077577A">
        <w:rPr>
          <w:rFonts w:ascii="Tahoma" w:eastAsia="Times New Roman" w:hAnsi="Tahoma" w:cs="Tahoma"/>
          <w:sz w:val="20"/>
          <w:szCs w:val="20"/>
        </w:rPr>
        <w:t xml:space="preserve">Depreciation to amalgamated company and amalgamating company in the year of amalgamation and depreciation to demerged company and the resulting company in the year of demerger shall be apportioned in the ratio of the number of days for which the assets were used (S. 32) (5th proviso). </w:t>
      </w:r>
    </w:p>
    <w:p w:rsidR="0077577A" w:rsidRPr="0077577A" w:rsidRDefault="0077577A" w:rsidP="0077577A">
      <w:pPr>
        <w:numPr>
          <w:ilvl w:val="0"/>
          <w:numId w:val="20"/>
        </w:numPr>
        <w:spacing w:before="120" w:after="120" w:line="240" w:lineRule="auto"/>
        <w:ind w:left="1440"/>
        <w:rPr>
          <w:rFonts w:ascii="Tahoma" w:eastAsia="Times New Roman" w:hAnsi="Tahoma" w:cs="Tahoma"/>
          <w:sz w:val="20"/>
          <w:szCs w:val="20"/>
        </w:rPr>
      </w:pPr>
      <w:r w:rsidRPr="0077577A">
        <w:rPr>
          <w:rFonts w:ascii="Tahoma" w:eastAsia="Times New Roman" w:hAnsi="Tahoma" w:cs="Tahoma"/>
          <w:b/>
          <w:bCs/>
          <w:sz w:val="20"/>
          <w:szCs w:val="20"/>
        </w:rPr>
        <w:t xml:space="preserve">Actual cost </w:t>
      </w:r>
    </w:p>
    <w:p w:rsidR="0077577A" w:rsidRPr="0077577A" w:rsidRDefault="0077577A" w:rsidP="0077577A">
      <w:pPr>
        <w:numPr>
          <w:ilvl w:val="0"/>
          <w:numId w:val="21"/>
        </w:numPr>
        <w:spacing w:before="120" w:after="120" w:line="240" w:lineRule="auto"/>
        <w:ind w:left="2160"/>
        <w:rPr>
          <w:rFonts w:ascii="Tahoma" w:eastAsia="Times New Roman" w:hAnsi="Tahoma" w:cs="Tahoma"/>
          <w:sz w:val="20"/>
          <w:szCs w:val="20"/>
        </w:rPr>
      </w:pPr>
      <w:r w:rsidRPr="0077577A">
        <w:rPr>
          <w:rFonts w:ascii="Tahoma" w:eastAsia="Times New Roman" w:hAnsi="Tahoma" w:cs="Tahoma"/>
          <w:sz w:val="20"/>
          <w:szCs w:val="20"/>
        </w:rPr>
        <w:t xml:space="preserve">Actual cost of the capital asset transferred to amalgamated/resulting company shall be the actual cost in the hands of the amalgamating/demerged company provided it does not exceed WDV of such assets in the hands of the demerged company. </w:t>
      </w:r>
    </w:p>
    <w:p w:rsidR="0077577A" w:rsidRPr="0077577A" w:rsidRDefault="0077577A" w:rsidP="0077577A">
      <w:pPr>
        <w:numPr>
          <w:ilvl w:val="0"/>
          <w:numId w:val="22"/>
        </w:numPr>
        <w:spacing w:before="120" w:after="120" w:line="240" w:lineRule="auto"/>
        <w:ind w:left="1440"/>
        <w:rPr>
          <w:rFonts w:ascii="Tahoma" w:eastAsia="Times New Roman" w:hAnsi="Tahoma" w:cs="Tahoma"/>
          <w:sz w:val="20"/>
          <w:szCs w:val="20"/>
        </w:rPr>
      </w:pPr>
      <w:r w:rsidRPr="0077577A">
        <w:rPr>
          <w:rFonts w:ascii="Tahoma" w:eastAsia="Times New Roman" w:hAnsi="Tahoma" w:cs="Tahoma"/>
          <w:b/>
          <w:bCs/>
          <w:sz w:val="20"/>
          <w:szCs w:val="20"/>
        </w:rPr>
        <w:t xml:space="preserve">Written Down Value </w:t>
      </w:r>
    </w:p>
    <w:p w:rsidR="0077577A" w:rsidRPr="0077577A" w:rsidRDefault="0077577A" w:rsidP="0077577A">
      <w:pPr>
        <w:numPr>
          <w:ilvl w:val="0"/>
          <w:numId w:val="23"/>
        </w:numPr>
        <w:spacing w:before="120" w:after="120" w:line="240" w:lineRule="auto"/>
        <w:ind w:left="2160"/>
        <w:rPr>
          <w:rFonts w:ascii="Tahoma" w:eastAsia="Times New Roman" w:hAnsi="Tahoma" w:cs="Tahoma"/>
          <w:sz w:val="20"/>
          <w:szCs w:val="20"/>
        </w:rPr>
      </w:pPr>
      <w:r w:rsidRPr="0077577A">
        <w:rPr>
          <w:rFonts w:ascii="Tahoma" w:eastAsia="Times New Roman" w:hAnsi="Tahoma" w:cs="Tahoma"/>
          <w:sz w:val="20"/>
          <w:szCs w:val="20"/>
        </w:rPr>
        <w:t xml:space="preserve">WDV in the hands of amalgamated company shall be the WDV of the block of assets in the hands of the amalgamating company less depreciation allowed in the year of amalgamation. </w:t>
      </w:r>
    </w:p>
    <w:p w:rsidR="0077577A" w:rsidRPr="0077577A" w:rsidRDefault="0077577A" w:rsidP="0077577A">
      <w:pPr>
        <w:numPr>
          <w:ilvl w:val="0"/>
          <w:numId w:val="23"/>
        </w:numPr>
        <w:spacing w:before="120" w:after="120" w:line="240" w:lineRule="auto"/>
        <w:ind w:left="2160"/>
        <w:rPr>
          <w:rFonts w:ascii="Tahoma" w:eastAsia="Times New Roman" w:hAnsi="Tahoma" w:cs="Tahoma"/>
          <w:sz w:val="20"/>
          <w:szCs w:val="20"/>
        </w:rPr>
      </w:pPr>
      <w:r w:rsidRPr="0077577A">
        <w:rPr>
          <w:rFonts w:ascii="Tahoma" w:eastAsia="Times New Roman" w:hAnsi="Tahoma" w:cs="Tahoma"/>
          <w:sz w:val="20"/>
          <w:szCs w:val="20"/>
        </w:rPr>
        <w:t xml:space="preserve">WDV in the hands of the resulting company shall be the WDV of transferred assets as per books of the demerged company immediately before demerger. </w:t>
      </w:r>
    </w:p>
    <w:p w:rsidR="0077577A" w:rsidRPr="0077577A" w:rsidRDefault="0077577A" w:rsidP="0077577A">
      <w:pPr>
        <w:numPr>
          <w:ilvl w:val="0"/>
          <w:numId w:val="23"/>
        </w:numPr>
        <w:spacing w:before="120" w:after="120" w:line="240" w:lineRule="auto"/>
        <w:ind w:left="2160"/>
        <w:rPr>
          <w:rFonts w:ascii="Tahoma" w:eastAsia="Times New Roman" w:hAnsi="Tahoma" w:cs="Tahoma"/>
          <w:sz w:val="20"/>
          <w:szCs w:val="20"/>
        </w:rPr>
      </w:pPr>
      <w:r w:rsidRPr="0077577A">
        <w:rPr>
          <w:rFonts w:ascii="Tahoma" w:eastAsia="Times New Roman" w:hAnsi="Tahoma" w:cs="Tahoma"/>
          <w:sz w:val="20"/>
          <w:szCs w:val="20"/>
        </w:rPr>
        <w:lastRenderedPageBreak/>
        <w:t xml:space="preserve">WDV in the hands of the demerged company shall be the WDV of the block of assets before demerger less book value of assets transferred to the resulting company. </w:t>
      </w:r>
    </w:p>
    <w:p w:rsidR="0077577A" w:rsidRPr="0077577A" w:rsidRDefault="0077577A" w:rsidP="0077577A">
      <w:pPr>
        <w:numPr>
          <w:ilvl w:val="0"/>
          <w:numId w:val="24"/>
        </w:numPr>
        <w:spacing w:before="120" w:after="120" w:line="240" w:lineRule="auto"/>
        <w:ind w:left="1440"/>
        <w:rPr>
          <w:rFonts w:ascii="Tahoma" w:eastAsia="Times New Roman" w:hAnsi="Tahoma" w:cs="Tahoma"/>
          <w:sz w:val="20"/>
          <w:szCs w:val="20"/>
        </w:rPr>
      </w:pPr>
      <w:r w:rsidRPr="0077577A">
        <w:rPr>
          <w:rFonts w:ascii="Tahoma" w:eastAsia="Times New Roman" w:hAnsi="Tahoma" w:cs="Tahoma"/>
          <w:b/>
          <w:bCs/>
          <w:sz w:val="20"/>
          <w:szCs w:val="20"/>
        </w:rPr>
        <w:t xml:space="preserve">Non-withdrawal of Incentives </w:t>
      </w:r>
    </w:p>
    <w:p w:rsidR="0077577A" w:rsidRPr="0077577A" w:rsidRDefault="0077577A" w:rsidP="0077577A">
      <w:pPr>
        <w:numPr>
          <w:ilvl w:val="0"/>
          <w:numId w:val="25"/>
        </w:numPr>
        <w:spacing w:before="120" w:after="120" w:line="240" w:lineRule="auto"/>
        <w:ind w:left="2160"/>
        <w:rPr>
          <w:rFonts w:ascii="Tahoma" w:eastAsia="Times New Roman" w:hAnsi="Tahoma" w:cs="Tahoma"/>
          <w:sz w:val="20"/>
          <w:szCs w:val="20"/>
        </w:rPr>
      </w:pPr>
      <w:r w:rsidRPr="0077577A">
        <w:rPr>
          <w:rFonts w:ascii="Tahoma" w:eastAsia="Times New Roman" w:hAnsi="Tahoma" w:cs="Tahoma"/>
          <w:sz w:val="20"/>
          <w:szCs w:val="20"/>
        </w:rPr>
        <w:t>Deduction claimed under Section 33AC (Reserve for shipping business) would not be withdrawn on sale or transfer of a ship in any scheme of demerger.</w:t>
      </w:r>
      <w:r w:rsidRPr="0077577A">
        <w:rPr>
          <w:rFonts w:ascii="Tahoma" w:eastAsia="Times New Roman" w:hAnsi="Tahoma" w:cs="Tahoma"/>
          <w:sz w:val="20"/>
          <w:szCs w:val="20"/>
        </w:rPr>
        <w:br/>
        <w:t xml:space="preserve">  </w:t>
      </w:r>
    </w:p>
    <w:p w:rsidR="0077577A" w:rsidRPr="0077577A" w:rsidRDefault="0077577A" w:rsidP="0077577A">
      <w:pPr>
        <w:numPr>
          <w:ilvl w:val="0"/>
          <w:numId w:val="25"/>
        </w:numPr>
        <w:spacing w:before="120" w:after="120" w:line="240" w:lineRule="auto"/>
        <w:ind w:left="2160"/>
        <w:rPr>
          <w:rFonts w:ascii="Tahoma" w:eastAsia="Times New Roman" w:hAnsi="Tahoma" w:cs="Tahoma"/>
          <w:sz w:val="20"/>
          <w:szCs w:val="20"/>
        </w:rPr>
      </w:pPr>
      <w:r w:rsidRPr="0077577A">
        <w:rPr>
          <w:rFonts w:ascii="Tahoma" w:eastAsia="Times New Roman" w:hAnsi="Tahoma" w:cs="Tahoma"/>
          <w:sz w:val="20"/>
          <w:szCs w:val="20"/>
        </w:rPr>
        <w:t xml:space="preserve">Transfer of patent rights or copyrights (S. 35A) or transfer of </w:t>
      </w:r>
      <w:proofErr w:type="spellStart"/>
      <w:r w:rsidRPr="0077577A">
        <w:rPr>
          <w:rFonts w:ascii="Tahoma" w:eastAsia="Times New Roman" w:hAnsi="Tahoma" w:cs="Tahoma"/>
          <w:sz w:val="20"/>
          <w:szCs w:val="20"/>
        </w:rPr>
        <w:t>licence</w:t>
      </w:r>
      <w:proofErr w:type="spellEnd"/>
      <w:r w:rsidRPr="0077577A">
        <w:rPr>
          <w:rFonts w:ascii="Tahoma" w:eastAsia="Times New Roman" w:hAnsi="Tahoma" w:cs="Tahoma"/>
          <w:sz w:val="20"/>
          <w:szCs w:val="20"/>
        </w:rPr>
        <w:t xml:space="preserve"> to operate telecommunication services (S. 35ABB) or transfer of business for prospecting etc. mineral oil (S. 42) in a scheme of amalgamation/demerger will not be treated as either sale or transfer.  </w:t>
      </w:r>
    </w:p>
    <w:p w:rsidR="0077577A" w:rsidRPr="0077577A" w:rsidRDefault="0077577A" w:rsidP="0077577A">
      <w:pPr>
        <w:numPr>
          <w:ilvl w:val="0"/>
          <w:numId w:val="25"/>
        </w:numPr>
        <w:spacing w:before="120" w:after="120" w:line="240" w:lineRule="auto"/>
        <w:ind w:left="2160"/>
        <w:rPr>
          <w:rFonts w:ascii="Tahoma" w:eastAsia="Times New Roman" w:hAnsi="Tahoma" w:cs="Tahoma"/>
          <w:sz w:val="20"/>
          <w:szCs w:val="20"/>
        </w:rPr>
      </w:pPr>
      <w:r w:rsidRPr="0077577A">
        <w:rPr>
          <w:rFonts w:ascii="Tahoma" w:eastAsia="Times New Roman" w:hAnsi="Tahoma" w:cs="Tahoma"/>
          <w:sz w:val="20"/>
          <w:szCs w:val="20"/>
        </w:rPr>
        <w:t xml:space="preserve">The deductions hitherto granted to amalgamating/demerged company relating to patent rights and copyrights (S. 35A) / Expenditure on know-how (S.35AB) / </w:t>
      </w:r>
      <w:proofErr w:type="spellStart"/>
      <w:r w:rsidRPr="0077577A">
        <w:rPr>
          <w:rFonts w:ascii="Tahoma" w:eastAsia="Times New Roman" w:hAnsi="Tahoma" w:cs="Tahoma"/>
          <w:sz w:val="20"/>
          <w:szCs w:val="20"/>
        </w:rPr>
        <w:t>Licence</w:t>
      </w:r>
      <w:proofErr w:type="spellEnd"/>
      <w:r w:rsidRPr="0077577A">
        <w:rPr>
          <w:rFonts w:ascii="Tahoma" w:eastAsia="Times New Roman" w:hAnsi="Tahoma" w:cs="Tahoma"/>
          <w:sz w:val="20"/>
          <w:szCs w:val="20"/>
        </w:rPr>
        <w:t xml:space="preserve"> fees to operate telecommunication services (S. 35ABB) / Preliminary expenses (S. 35D) / expenditure for prospecting etc., for certain minerals (S. 35E) / business for prospecting etc., for mineral oil (S. 42) would be available for balance period to the amalgamated/resulting company. </w:t>
      </w:r>
    </w:p>
    <w:p w:rsidR="0077577A" w:rsidRPr="0077577A" w:rsidRDefault="0077577A" w:rsidP="0077577A">
      <w:pPr>
        <w:numPr>
          <w:ilvl w:val="0"/>
          <w:numId w:val="26"/>
        </w:numPr>
        <w:spacing w:before="120" w:after="120" w:line="240" w:lineRule="auto"/>
        <w:ind w:left="1440"/>
        <w:rPr>
          <w:rFonts w:ascii="Tahoma" w:eastAsia="Times New Roman" w:hAnsi="Tahoma" w:cs="Tahoma"/>
          <w:sz w:val="20"/>
          <w:szCs w:val="20"/>
        </w:rPr>
      </w:pPr>
      <w:r w:rsidRPr="0077577A">
        <w:rPr>
          <w:rFonts w:ascii="Tahoma" w:eastAsia="Times New Roman" w:hAnsi="Tahoma" w:cs="Tahoma"/>
          <w:b/>
          <w:bCs/>
          <w:sz w:val="20"/>
          <w:szCs w:val="20"/>
        </w:rPr>
        <w:t xml:space="preserve">Provisions applicable to Shareholders </w:t>
      </w:r>
    </w:p>
    <w:p w:rsidR="0077577A" w:rsidRPr="0077577A" w:rsidRDefault="0077577A" w:rsidP="0077577A">
      <w:pPr>
        <w:numPr>
          <w:ilvl w:val="0"/>
          <w:numId w:val="27"/>
        </w:numPr>
        <w:spacing w:before="120" w:after="120" w:line="240" w:lineRule="auto"/>
        <w:ind w:left="2160"/>
        <w:rPr>
          <w:rFonts w:ascii="Tahoma" w:eastAsia="Times New Roman" w:hAnsi="Tahoma" w:cs="Tahoma"/>
          <w:sz w:val="20"/>
          <w:szCs w:val="20"/>
        </w:rPr>
      </w:pPr>
      <w:proofErr w:type="gramStart"/>
      <w:r w:rsidRPr="0077577A">
        <w:rPr>
          <w:rFonts w:ascii="Tahoma" w:eastAsia="Times New Roman" w:hAnsi="Tahoma" w:cs="Tahoma"/>
          <w:sz w:val="20"/>
          <w:szCs w:val="20"/>
        </w:rPr>
        <w:t>Gains arising on transfer of shares of amalgamating company in exchange of shares of amalgamated company, being an Indian Company is</w:t>
      </w:r>
      <w:proofErr w:type="gramEnd"/>
      <w:r w:rsidRPr="0077577A">
        <w:rPr>
          <w:rFonts w:ascii="Tahoma" w:eastAsia="Times New Roman" w:hAnsi="Tahoma" w:cs="Tahoma"/>
          <w:sz w:val="20"/>
          <w:szCs w:val="20"/>
        </w:rPr>
        <w:t xml:space="preserve"> exempt. </w:t>
      </w:r>
    </w:p>
    <w:p w:rsidR="0077577A" w:rsidRPr="0077577A" w:rsidRDefault="0077577A" w:rsidP="0077577A">
      <w:pPr>
        <w:numPr>
          <w:ilvl w:val="0"/>
          <w:numId w:val="27"/>
        </w:numPr>
        <w:spacing w:before="120" w:after="120" w:line="240" w:lineRule="auto"/>
        <w:ind w:left="2160"/>
        <w:rPr>
          <w:rFonts w:ascii="Tahoma" w:eastAsia="Times New Roman" w:hAnsi="Tahoma" w:cs="Tahoma"/>
          <w:sz w:val="20"/>
          <w:szCs w:val="20"/>
        </w:rPr>
      </w:pPr>
      <w:r w:rsidRPr="0077577A">
        <w:rPr>
          <w:rFonts w:ascii="Tahoma" w:eastAsia="Times New Roman" w:hAnsi="Tahoma" w:cs="Tahoma"/>
          <w:sz w:val="20"/>
          <w:szCs w:val="20"/>
        </w:rPr>
        <w:t xml:space="preserve">Acquisition of shares of the resulting company by the shareholders in demerger will not be taxed either as capital gain or deemed dividend. </w:t>
      </w:r>
    </w:p>
    <w:p w:rsidR="0077577A" w:rsidRPr="0077577A" w:rsidRDefault="0077577A" w:rsidP="0077577A">
      <w:pPr>
        <w:numPr>
          <w:ilvl w:val="0"/>
          <w:numId w:val="27"/>
        </w:numPr>
        <w:spacing w:before="120" w:after="120" w:line="240" w:lineRule="auto"/>
        <w:ind w:left="2160"/>
        <w:rPr>
          <w:rFonts w:ascii="Tahoma" w:eastAsia="Times New Roman" w:hAnsi="Tahoma" w:cs="Tahoma"/>
          <w:sz w:val="20"/>
          <w:szCs w:val="20"/>
        </w:rPr>
      </w:pPr>
      <w:r w:rsidRPr="0077577A">
        <w:rPr>
          <w:rFonts w:ascii="Tahoma" w:eastAsia="Times New Roman" w:hAnsi="Tahoma" w:cs="Tahoma"/>
          <w:sz w:val="20"/>
          <w:szCs w:val="20"/>
        </w:rPr>
        <w:t xml:space="preserve">Cost of acquisition of shares of: </w:t>
      </w:r>
    </w:p>
    <w:p w:rsidR="0077577A" w:rsidRPr="0077577A" w:rsidRDefault="0077577A" w:rsidP="0077577A">
      <w:pPr>
        <w:spacing w:before="120" w:after="120" w:line="240" w:lineRule="auto"/>
        <w:rPr>
          <w:rFonts w:ascii="Times New Roman" w:eastAsia="Times New Roman" w:hAnsi="Times New Roman" w:cs="Times New Roman"/>
          <w:sz w:val="24"/>
          <w:szCs w:val="24"/>
        </w:rPr>
      </w:pPr>
      <w:r w:rsidRPr="0077577A">
        <w:rPr>
          <w:rFonts w:ascii="Tahoma" w:eastAsia="Times New Roman" w:hAnsi="Tahoma" w:cs="Tahoma"/>
          <w:sz w:val="20"/>
          <w:szCs w:val="20"/>
        </w:rPr>
        <w:t xml:space="preserve">— </w:t>
      </w:r>
      <w:proofErr w:type="gramStart"/>
      <w:r w:rsidRPr="0077577A">
        <w:rPr>
          <w:rFonts w:ascii="Tahoma" w:eastAsia="Times New Roman" w:hAnsi="Tahoma" w:cs="Tahoma"/>
          <w:sz w:val="20"/>
          <w:szCs w:val="20"/>
        </w:rPr>
        <w:t>the</w:t>
      </w:r>
      <w:proofErr w:type="gramEnd"/>
      <w:r w:rsidRPr="0077577A">
        <w:rPr>
          <w:rFonts w:ascii="Tahoma" w:eastAsia="Times New Roman" w:hAnsi="Tahoma" w:cs="Tahoma"/>
          <w:sz w:val="20"/>
          <w:szCs w:val="20"/>
        </w:rPr>
        <w:t xml:space="preserve"> amalgamated company will be the cost incurred for acquiring shares of amalgamating company.</w:t>
      </w:r>
    </w:p>
    <w:p w:rsidR="0077577A" w:rsidRPr="0077577A" w:rsidRDefault="0077577A" w:rsidP="0077577A">
      <w:pPr>
        <w:spacing w:before="120" w:after="120" w:line="240" w:lineRule="auto"/>
        <w:rPr>
          <w:rFonts w:ascii="Times New Roman" w:eastAsia="Times New Roman" w:hAnsi="Times New Roman" w:cs="Times New Roman"/>
          <w:sz w:val="24"/>
          <w:szCs w:val="24"/>
        </w:rPr>
      </w:pPr>
      <w:r w:rsidRPr="0077577A">
        <w:rPr>
          <w:rFonts w:ascii="Tahoma" w:eastAsia="Times New Roman" w:hAnsi="Tahoma" w:cs="Tahoma"/>
          <w:sz w:val="20"/>
          <w:szCs w:val="20"/>
        </w:rPr>
        <w:t xml:space="preserve">— </w:t>
      </w:r>
      <w:proofErr w:type="gramStart"/>
      <w:r w:rsidRPr="0077577A">
        <w:rPr>
          <w:rFonts w:ascii="Tahoma" w:eastAsia="Times New Roman" w:hAnsi="Tahoma" w:cs="Tahoma"/>
          <w:sz w:val="20"/>
          <w:szCs w:val="20"/>
        </w:rPr>
        <w:t>the</w:t>
      </w:r>
      <w:proofErr w:type="gramEnd"/>
      <w:r w:rsidRPr="0077577A">
        <w:rPr>
          <w:rFonts w:ascii="Tahoma" w:eastAsia="Times New Roman" w:hAnsi="Tahoma" w:cs="Tahoma"/>
          <w:sz w:val="20"/>
          <w:szCs w:val="20"/>
        </w:rPr>
        <w:t xml:space="preserve"> resulting company will be the :</w:t>
      </w:r>
    </w:p>
    <w:p w:rsidR="0077577A" w:rsidRPr="0077577A" w:rsidRDefault="0077577A" w:rsidP="0077577A">
      <w:pPr>
        <w:spacing w:before="120" w:after="120" w:line="240" w:lineRule="auto"/>
        <w:rPr>
          <w:rFonts w:ascii="Times New Roman" w:eastAsia="Times New Roman" w:hAnsi="Times New Roman" w:cs="Times New Roman"/>
          <w:sz w:val="24"/>
          <w:szCs w:val="24"/>
        </w:rPr>
      </w:pPr>
      <w:r w:rsidRPr="0077577A">
        <w:rPr>
          <w:rFonts w:ascii="Tahoma" w:eastAsia="Times New Roman" w:hAnsi="Tahoma" w:cs="Tahoma"/>
          <w:sz w:val="20"/>
          <w:szCs w:val="20"/>
        </w:rPr>
        <w:t>— Original cost of shares of demerged company X net book value of assets transferred to resulting company/net worth of the demerged company before demerger (net worth is equal to Paid-up Share Capital + General Reserve as per books.)</w:t>
      </w:r>
    </w:p>
    <w:p w:rsidR="0077577A" w:rsidRPr="0077577A" w:rsidRDefault="0077577A" w:rsidP="0077577A">
      <w:pPr>
        <w:spacing w:before="120" w:after="120" w:line="240" w:lineRule="auto"/>
        <w:rPr>
          <w:rFonts w:ascii="Times New Roman" w:eastAsia="Times New Roman" w:hAnsi="Times New Roman" w:cs="Times New Roman"/>
          <w:sz w:val="24"/>
          <w:szCs w:val="24"/>
        </w:rPr>
      </w:pPr>
      <w:r w:rsidRPr="0077577A">
        <w:rPr>
          <w:rFonts w:ascii="Tahoma" w:eastAsia="Times New Roman" w:hAnsi="Tahoma" w:cs="Tahoma"/>
          <w:sz w:val="20"/>
          <w:szCs w:val="20"/>
        </w:rPr>
        <w:t xml:space="preserve">— </w:t>
      </w:r>
      <w:proofErr w:type="gramStart"/>
      <w:r w:rsidRPr="0077577A">
        <w:rPr>
          <w:rFonts w:ascii="Tahoma" w:eastAsia="Times New Roman" w:hAnsi="Tahoma" w:cs="Tahoma"/>
          <w:sz w:val="20"/>
          <w:szCs w:val="20"/>
        </w:rPr>
        <w:t>the</w:t>
      </w:r>
      <w:proofErr w:type="gramEnd"/>
      <w:r w:rsidRPr="0077577A">
        <w:rPr>
          <w:rFonts w:ascii="Tahoma" w:eastAsia="Times New Roman" w:hAnsi="Tahoma" w:cs="Tahoma"/>
          <w:sz w:val="20"/>
          <w:szCs w:val="20"/>
        </w:rPr>
        <w:t xml:space="preserve"> demerged company will be the original cost of shares of demerged company – cost of shares of the resulting company as computed above.</w:t>
      </w:r>
    </w:p>
    <w:p w:rsidR="00776B6A" w:rsidRDefault="00776B6A">
      <w:bookmarkStart w:id="0" w:name="_GoBack"/>
      <w:bookmarkEnd w:id="0"/>
    </w:p>
    <w:sectPr w:rsidR="00776B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42C9"/>
    <w:multiLevelType w:val="multilevel"/>
    <w:tmpl w:val="92B6CE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E1B6549"/>
    <w:multiLevelType w:val="multilevel"/>
    <w:tmpl w:val="E49A8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F778C7"/>
    <w:multiLevelType w:val="multilevel"/>
    <w:tmpl w:val="8A2AF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AD2992"/>
    <w:multiLevelType w:val="multilevel"/>
    <w:tmpl w:val="024C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6B1AA9"/>
    <w:multiLevelType w:val="multilevel"/>
    <w:tmpl w:val="EFC2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0E2469"/>
    <w:multiLevelType w:val="multilevel"/>
    <w:tmpl w:val="1AE2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962694"/>
    <w:multiLevelType w:val="multilevel"/>
    <w:tmpl w:val="7CE03C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38F00907"/>
    <w:multiLevelType w:val="multilevel"/>
    <w:tmpl w:val="FA509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62640A"/>
    <w:multiLevelType w:val="multilevel"/>
    <w:tmpl w:val="201C2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0E3EFF"/>
    <w:multiLevelType w:val="multilevel"/>
    <w:tmpl w:val="DFE4AD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3F927F45"/>
    <w:multiLevelType w:val="multilevel"/>
    <w:tmpl w:val="89C4CF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3FEE41FF"/>
    <w:multiLevelType w:val="multilevel"/>
    <w:tmpl w:val="4E7C5E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275D2A"/>
    <w:multiLevelType w:val="multilevel"/>
    <w:tmpl w:val="C640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A2405F"/>
    <w:multiLevelType w:val="multilevel"/>
    <w:tmpl w:val="6C62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D95FDA"/>
    <w:multiLevelType w:val="multilevel"/>
    <w:tmpl w:val="D8BC47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45DC47DE"/>
    <w:multiLevelType w:val="multilevel"/>
    <w:tmpl w:val="96FEF1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6E1D3C"/>
    <w:multiLevelType w:val="multilevel"/>
    <w:tmpl w:val="92D68E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FE290F"/>
    <w:multiLevelType w:val="multilevel"/>
    <w:tmpl w:val="B24CA3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5AA65E7E"/>
    <w:multiLevelType w:val="multilevel"/>
    <w:tmpl w:val="8FECFB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5B8E0F4A"/>
    <w:multiLevelType w:val="multilevel"/>
    <w:tmpl w:val="5650A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7C42D7"/>
    <w:multiLevelType w:val="multilevel"/>
    <w:tmpl w:val="07D8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E834FD"/>
    <w:multiLevelType w:val="multilevel"/>
    <w:tmpl w:val="24FEA5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5F520D8B"/>
    <w:multiLevelType w:val="multilevel"/>
    <w:tmpl w:val="A4F61D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69A82329"/>
    <w:multiLevelType w:val="multilevel"/>
    <w:tmpl w:val="1BC0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A62F21"/>
    <w:multiLevelType w:val="multilevel"/>
    <w:tmpl w:val="89A85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8E10C0"/>
    <w:multiLevelType w:val="multilevel"/>
    <w:tmpl w:val="A22AC3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nsid w:val="7B972A45"/>
    <w:multiLevelType w:val="multilevel"/>
    <w:tmpl w:val="CA3C0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4"/>
  </w:num>
  <w:num w:numId="3">
    <w:abstractNumId w:val="11"/>
  </w:num>
  <w:num w:numId="4">
    <w:abstractNumId w:val="5"/>
  </w:num>
  <w:num w:numId="5">
    <w:abstractNumId w:val="15"/>
  </w:num>
  <w:num w:numId="6">
    <w:abstractNumId w:val="3"/>
  </w:num>
  <w:num w:numId="7">
    <w:abstractNumId w:val="10"/>
  </w:num>
  <w:num w:numId="8">
    <w:abstractNumId w:val="4"/>
  </w:num>
  <w:num w:numId="9">
    <w:abstractNumId w:val="6"/>
  </w:num>
  <w:num w:numId="10">
    <w:abstractNumId w:val="7"/>
  </w:num>
  <w:num w:numId="11">
    <w:abstractNumId w:val="2"/>
  </w:num>
  <w:num w:numId="12">
    <w:abstractNumId w:val="9"/>
  </w:num>
  <w:num w:numId="13">
    <w:abstractNumId w:val="19"/>
  </w:num>
  <w:num w:numId="14">
    <w:abstractNumId w:val="8"/>
  </w:num>
  <w:num w:numId="15">
    <w:abstractNumId w:val="17"/>
  </w:num>
  <w:num w:numId="16">
    <w:abstractNumId w:val="23"/>
  </w:num>
  <w:num w:numId="17">
    <w:abstractNumId w:val="0"/>
  </w:num>
  <w:num w:numId="18">
    <w:abstractNumId w:val="26"/>
  </w:num>
  <w:num w:numId="19">
    <w:abstractNumId w:val="25"/>
  </w:num>
  <w:num w:numId="20">
    <w:abstractNumId w:val="1"/>
  </w:num>
  <w:num w:numId="21">
    <w:abstractNumId w:val="21"/>
  </w:num>
  <w:num w:numId="22">
    <w:abstractNumId w:val="12"/>
  </w:num>
  <w:num w:numId="23">
    <w:abstractNumId w:val="22"/>
  </w:num>
  <w:num w:numId="24">
    <w:abstractNumId w:val="20"/>
  </w:num>
  <w:num w:numId="25">
    <w:abstractNumId w:val="18"/>
  </w:num>
  <w:num w:numId="26">
    <w:abstractNumId w:val="1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77A"/>
    <w:rsid w:val="0077577A"/>
    <w:rsid w:val="00776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577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577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707013">
      <w:bodyDiv w:val="1"/>
      <w:marLeft w:val="0"/>
      <w:marRight w:val="0"/>
      <w:marTop w:val="0"/>
      <w:marBottom w:val="0"/>
      <w:divBdr>
        <w:top w:val="none" w:sz="0" w:space="0" w:color="auto"/>
        <w:left w:val="none" w:sz="0" w:space="0" w:color="auto"/>
        <w:bottom w:val="none" w:sz="0" w:space="0" w:color="auto"/>
        <w:right w:val="none" w:sz="0" w:space="0" w:color="auto"/>
      </w:divBdr>
      <w:divsChild>
        <w:div w:id="1781302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2293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710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0051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84930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91818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7970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1095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554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97913570">
              <w:blockQuote w:val="1"/>
              <w:marLeft w:val="720"/>
              <w:marRight w:val="720"/>
              <w:marTop w:val="100"/>
              <w:marBottom w:val="100"/>
              <w:divBdr>
                <w:top w:val="none" w:sz="0" w:space="0" w:color="auto"/>
                <w:left w:val="none" w:sz="0" w:space="0" w:color="auto"/>
                <w:bottom w:val="none" w:sz="0" w:space="0" w:color="auto"/>
                <w:right w:val="none" w:sz="0" w:space="0" w:color="auto"/>
              </w:divBdr>
            </w:div>
            <w:div w:id="82473777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8553117">
              <w:blockQuote w:val="1"/>
              <w:marLeft w:val="720"/>
              <w:marRight w:val="720"/>
              <w:marTop w:val="100"/>
              <w:marBottom w:val="100"/>
              <w:divBdr>
                <w:top w:val="none" w:sz="0" w:space="0" w:color="auto"/>
                <w:left w:val="none" w:sz="0" w:space="0" w:color="auto"/>
                <w:bottom w:val="none" w:sz="0" w:space="0" w:color="auto"/>
                <w:right w:val="none" w:sz="0" w:space="0" w:color="auto"/>
              </w:divBdr>
            </w:div>
            <w:div w:id="435830911">
              <w:blockQuote w:val="1"/>
              <w:marLeft w:val="720"/>
              <w:marRight w:val="720"/>
              <w:marTop w:val="100"/>
              <w:marBottom w:val="100"/>
              <w:divBdr>
                <w:top w:val="none" w:sz="0" w:space="0" w:color="auto"/>
                <w:left w:val="none" w:sz="0" w:space="0" w:color="auto"/>
                <w:bottom w:val="none" w:sz="0" w:space="0" w:color="auto"/>
                <w:right w:val="none" w:sz="0" w:space="0" w:color="auto"/>
              </w:divBdr>
            </w:div>
            <w:div w:id="3388907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2453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9085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1081</Words>
  <Characters>6164</Characters>
  <Application>Microsoft Office Word</Application>
  <DocSecurity>0</DocSecurity>
  <Lines>51</Lines>
  <Paragraphs>14</Paragraphs>
  <ScaleCrop>false</ScaleCrop>
  <Company> </Company>
  <LinksUpToDate>false</LinksUpToDate>
  <CharactersWithSpaces>7231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 James</dc:creator>
  <cp:lastModifiedBy>Dean James</cp:lastModifiedBy>
  <cp:revision>1</cp:revision>
  <dcterms:created xsi:type="dcterms:W3CDTF">2011-05-04T08:30:00Z</dcterms:created>
  <dcterms:modified xsi:type="dcterms:W3CDTF">2011-05-04T08:31:00Z</dcterms:modified>
</cp:coreProperties>
</file>