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2A" w:rsidRPr="005F1D2A" w:rsidRDefault="005F1D2A" w:rsidP="005F1D2A">
      <w:pPr>
        <w:spacing w:after="120" w:line="240" w:lineRule="auto"/>
        <w:jc w:val="both"/>
        <w:rPr>
          <w:rFonts w:ascii="Arial" w:eastAsia="Times New Roman" w:hAnsi="Arial" w:cs="Arial"/>
          <w:color w:val="000000"/>
          <w:sz w:val="24"/>
          <w:szCs w:val="24"/>
        </w:rPr>
      </w:pPr>
      <w:r w:rsidRPr="005F1D2A">
        <w:rPr>
          <w:rFonts w:ascii="Times New Roman" w:eastAsia="Times New Roman" w:hAnsi="Times New Roman" w:cs="Times New Roman"/>
          <w:color w:val="414141"/>
          <w:sz w:val="24"/>
          <w:szCs w:val="24"/>
        </w:rPr>
        <w:t xml:space="preserve">Comparison between provision of Present </w:t>
      </w:r>
      <w:r w:rsidRPr="005F1D2A">
        <w:rPr>
          <w:rFonts w:ascii="Times New Roman" w:eastAsia="Times New Roman" w:hAnsi="Times New Roman" w:cs="Times New Roman"/>
          <w:color w:val="0000FF"/>
          <w:sz w:val="24"/>
          <w:szCs w:val="24"/>
          <w:u w:val="single"/>
        </w:rPr>
        <w:t>income Tax ACT</w:t>
      </w:r>
      <w:r w:rsidRPr="005F1D2A">
        <w:rPr>
          <w:rFonts w:ascii="Times New Roman" w:eastAsia="Times New Roman" w:hAnsi="Times New Roman" w:cs="Times New Roman"/>
          <w:color w:val="414141"/>
          <w:sz w:val="24"/>
          <w:szCs w:val="24"/>
        </w:rPr>
        <w:t xml:space="preserve"> 1961 and proposed Direct tax code</w:t>
      </w:r>
    </w:p>
    <w:tbl>
      <w:tblPr>
        <w:tblW w:w="8775" w:type="dxa"/>
        <w:jc w:val="center"/>
        <w:tblInd w:w="-2269" w:type="dxa"/>
        <w:tblCellMar>
          <w:left w:w="0" w:type="dxa"/>
          <w:right w:w="0" w:type="dxa"/>
        </w:tblCellMar>
        <w:tblLook w:val="04A0"/>
      </w:tblPr>
      <w:tblGrid>
        <w:gridCol w:w="9"/>
        <w:gridCol w:w="11"/>
        <w:gridCol w:w="586"/>
        <w:gridCol w:w="1762"/>
        <w:gridCol w:w="2532"/>
        <w:gridCol w:w="1961"/>
        <w:gridCol w:w="1914"/>
      </w:tblGrid>
      <w:tr w:rsidR="005F1D2A" w:rsidRPr="005F1D2A" w:rsidTr="005F1D2A">
        <w:trPr>
          <w:gridBefore w:val="2"/>
          <w:wBefore w:w="19" w:type="dxa"/>
          <w:jc w:val="center"/>
        </w:trPr>
        <w:tc>
          <w:tcPr>
            <w:tcW w:w="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i/>
                <w:iCs/>
                <w:color w:val="3E3E3E"/>
                <w:sz w:val="20"/>
                <w:szCs w:val="20"/>
              </w:rPr>
              <w:t>S. No.</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i/>
                <w:iCs/>
                <w:color w:val="3E3E3E"/>
                <w:sz w:val="20"/>
                <w:szCs w:val="20"/>
              </w:rPr>
              <w:t>Subject</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i/>
                <w:iCs/>
                <w:color w:val="3E3E3E"/>
                <w:sz w:val="20"/>
                <w:szCs w:val="20"/>
              </w:rPr>
              <w:t>IT Act, 1961</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12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i/>
                <w:iCs/>
                <w:color w:val="3E3E3E"/>
                <w:sz w:val="20"/>
                <w:szCs w:val="20"/>
              </w:rPr>
              <w:t>DTC-II</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12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i/>
                <w:iCs/>
                <w:color w:val="3E3E3E"/>
                <w:sz w:val="20"/>
                <w:szCs w:val="20"/>
              </w:rPr>
              <w:t>Impact</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(1)</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(2)</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(3)</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12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(4)</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12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(5)</w:t>
            </w:r>
          </w:p>
        </w:tc>
      </w:tr>
      <w:tr w:rsidR="005F1D2A" w:rsidRPr="005F1D2A" w:rsidTr="005F1D2A">
        <w:trPr>
          <w:gridBefore w:val="1"/>
          <w:wBefore w:w="8" w:type="dxa"/>
          <w:jc w:val="center"/>
        </w:trPr>
        <w:tc>
          <w:tcPr>
            <w:tcW w:w="4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proofErr w:type="spellStart"/>
            <w:r w:rsidRPr="005F1D2A">
              <w:rPr>
                <w:rFonts w:ascii="Times New Roman" w:eastAsia="Times New Roman" w:hAnsi="Times New Roman" w:cs="Times New Roman"/>
                <w:i/>
                <w:iCs/>
                <w:color w:val="3E3E3E"/>
                <w:sz w:val="20"/>
                <w:szCs w:val="20"/>
              </w:rPr>
              <w:t>i</w:t>
            </w:r>
            <w:proofErr w:type="spellEnd"/>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Taxation of companies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proofErr w:type="spellStart"/>
            <w:r w:rsidRPr="005F1D2A">
              <w:rPr>
                <w:rFonts w:ascii="Times New Roman" w:eastAsia="Times New Roman" w:hAnsi="Times New Roman" w:cs="Times New Roman"/>
                <w:i/>
                <w:iCs/>
                <w:color w:val="3E3E3E"/>
                <w:sz w:val="20"/>
                <w:szCs w:val="20"/>
              </w:rPr>
              <w:t>i</w:t>
            </w:r>
            <w:proofErr w:type="spellEnd"/>
            <w:r w:rsidRPr="005F1D2A">
              <w:rPr>
                <w:rFonts w:ascii="Times New Roman" w:eastAsia="Times New Roman" w:hAnsi="Times New Roman" w:cs="Times New Roman"/>
                <w:color w:val="3E3E3E"/>
                <w:sz w:val="20"/>
                <w:szCs w:val="20"/>
              </w:rPr>
              <w:t xml:space="preserve">) Under this Act, domestic companies are taxable @ 33.90% where income exceeds ` 1 </w:t>
            </w:r>
            <w:proofErr w:type="spellStart"/>
            <w:r w:rsidRPr="005F1D2A">
              <w:rPr>
                <w:rFonts w:ascii="Times New Roman" w:eastAsia="Times New Roman" w:hAnsi="Times New Roman" w:cs="Times New Roman"/>
                <w:color w:val="3E3E3E"/>
                <w:sz w:val="20"/>
                <w:szCs w:val="20"/>
              </w:rPr>
              <w:t>crore</w:t>
            </w:r>
            <w:proofErr w:type="spellEnd"/>
            <w:r w:rsidRPr="005F1D2A">
              <w:rPr>
                <w:rFonts w:ascii="Times New Roman" w:eastAsia="Times New Roman" w:hAnsi="Times New Roman" w:cs="Times New Roman"/>
                <w:color w:val="3E3E3E"/>
                <w:sz w:val="20"/>
                <w:szCs w:val="20"/>
              </w:rPr>
              <w:t xml:space="preserve">. No surcharge @10% is </w:t>
            </w:r>
            <w:proofErr w:type="spellStart"/>
            <w:r w:rsidRPr="005F1D2A">
              <w:rPr>
                <w:rFonts w:ascii="Times New Roman" w:eastAsia="Times New Roman" w:hAnsi="Times New Roman" w:cs="Times New Roman"/>
                <w:color w:val="3E3E3E"/>
                <w:sz w:val="20"/>
                <w:szCs w:val="20"/>
              </w:rPr>
              <w:t>leviable</w:t>
            </w:r>
            <w:proofErr w:type="spellEnd"/>
            <w:r w:rsidRPr="005F1D2A">
              <w:rPr>
                <w:rFonts w:ascii="Times New Roman" w:eastAsia="Times New Roman" w:hAnsi="Times New Roman" w:cs="Times New Roman"/>
                <w:color w:val="3E3E3E"/>
                <w:sz w:val="20"/>
                <w:szCs w:val="20"/>
              </w:rPr>
              <w:t xml:space="preserve"> </w:t>
            </w:r>
            <w:proofErr w:type="spellStart"/>
            <w:r w:rsidRPr="005F1D2A">
              <w:rPr>
                <w:rFonts w:ascii="Times New Roman" w:eastAsia="Times New Roman" w:hAnsi="Times New Roman" w:cs="Times New Roman"/>
                <w:color w:val="3E3E3E"/>
                <w:sz w:val="20"/>
                <w:szCs w:val="20"/>
              </w:rPr>
              <w:t>upto</w:t>
            </w:r>
            <w:proofErr w:type="spellEnd"/>
            <w:r w:rsidRPr="005F1D2A">
              <w:rPr>
                <w:rFonts w:ascii="Times New Roman" w:eastAsia="Times New Roman" w:hAnsi="Times New Roman" w:cs="Times New Roman"/>
                <w:color w:val="3E3E3E"/>
                <w:sz w:val="20"/>
                <w:szCs w:val="20"/>
              </w:rPr>
              <w:t xml:space="preserve"> income of ` 1 </w:t>
            </w:r>
            <w:proofErr w:type="spellStart"/>
            <w:r w:rsidRPr="005F1D2A">
              <w:rPr>
                <w:rFonts w:ascii="Times New Roman" w:eastAsia="Times New Roman" w:hAnsi="Times New Roman" w:cs="Times New Roman"/>
                <w:color w:val="3E3E3E"/>
                <w:sz w:val="20"/>
                <w:szCs w:val="20"/>
              </w:rPr>
              <w:t>crore</w:t>
            </w:r>
            <w:proofErr w:type="spellEnd"/>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ii</w:t>
            </w:r>
            <w:r w:rsidRPr="005F1D2A">
              <w:rPr>
                <w:rFonts w:ascii="Times New Roman" w:eastAsia="Times New Roman" w:hAnsi="Times New Roman" w:cs="Times New Roman"/>
                <w:color w:val="3E3E3E"/>
                <w:sz w:val="20"/>
                <w:szCs w:val="20"/>
              </w:rPr>
              <w:t xml:space="preserve">) </w:t>
            </w:r>
            <w:r w:rsidRPr="005F1D2A">
              <w:rPr>
                <w:rFonts w:ascii="Times New Roman" w:eastAsia="Times New Roman" w:hAnsi="Times New Roman" w:cs="Times New Roman"/>
                <w:color w:val="0000FF"/>
                <w:sz w:val="20"/>
                <w:u w:val="single"/>
              </w:rPr>
              <w:t>Foreign companies</w:t>
            </w:r>
            <w:r w:rsidRPr="005F1D2A">
              <w:rPr>
                <w:rFonts w:ascii="Times New Roman" w:eastAsia="Times New Roman" w:hAnsi="Times New Roman" w:cs="Times New Roman"/>
                <w:color w:val="3E3E3E"/>
                <w:sz w:val="20"/>
                <w:szCs w:val="20"/>
              </w:rPr>
              <w:t xml:space="preserve"> are taxable @ 42.33% where income exceeds ` 1 </w:t>
            </w:r>
            <w:proofErr w:type="spellStart"/>
            <w:r w:rsidRPr="005F1D2A">
              <w:rPr>
                <w:rFonts w:ascii="Times New Roman" w:eastAsia="Times New Roman" w:hAnsi="Times New Roman" w:cs="Times New Roman"/>
                <w:color w:val="3E3E3E"/>
                <w:sz w:val="20"/>
                <w:szCs w:val="20"/>
              </w:rPr>
              <w:t>crore</w:t>
            </w:r>
            <w:proofErr w:type="spellEnd"/>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Under DTC-II, the proposal is to tax all companies including the foreign companies @ 30% - No surcharge – no education </w:t>
            </w:r>
            <w:proofErr w:type="spellStart"/>
            <w:r w:rsidRPr="005F1D2A">
              <w:rPr>
                <w:rFonts w:ascii="Times New Roman" w:eastAsia="Times New Roman" w:hAnsi="Times New Roman" w:cs="Times New Roman"/>
                <w:color w:val="3E3E3E"/>
                <w:sz w:val="20"/>
                <w:szCs w:val="20"/>
              </w:rPr>
              <w:t>cess</w:t>
            </w:r>
            <w:proofErr w:type="spellEnd"/>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uMarginal</w:t>
            </w:r>
            <w:proofErr w:type="spellEnd"/>
            <w:r w:rsidRPr="005F1D2A">
              <w:rPr>
                <w:rFonts w:ascii="Times New Roman" w:eastAsia="Times New Roman" w:hAnsi="Times New Roman" w:cs="Times New Roman"/>
                <w:color w:val="3E3E3E"/>
                <w:sz w:val="20"/>
                <w:szCs w:val="20"/>
              </w:rPr>
              <w:t xml:space="preserve"> relief for domestic companies</w:t>
            </w:r>
          </w:p>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uWelcome</w:t>
            </w:r>
            <w:proofErr w:type="spellEnd"/>
            <w:r w:rsidRPr="005F1D2A">
              <w:rPr>
                <w:rFonts w:ascii="Times New Roman" w:eastAsia="Times New Roman" w:hAnsi="Times New Roman" w:cs="Times New Roman"/>
                <w:color w:val="3E3E3E"/>
                <w:sz w:val="20"/>
                <w:szCs w:val="20"/>
              </w:rPr>
              <w:t xml:space="preserve"> proposition for foreign companies- relief of about 13% on tax rates</w:t>
            </w:r>
          </w:p>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uHowever</w:t>
            </w:r>
            <w:proofErr w:type="spellEnd"/>
            <w:r w:rsidRPr="005F1D2A">
              <w:rPr>
                <w:rFonts w:ascii="Times New Roman" w:eastAsia="Times New Roman" w:hAnsi="Times New Roman" w:cs="Times New Roman"/>
                <w:color w:val="3E3E3E"/>
                <w:sz w:val="20"/>
                <w:szCs w:val="20"/>
              </w:rPr>
              <w:t xml:space="preserve">, profits of Indian branches of foreign companies will be </w:t>
            </w:r>
            <w:r w:rsidRPr="005F1D2A">
              <w:rPr>
                <w:rFonts w:ascii="Times New Roman" w:eastAsia="Times New Roman" w:hAnsi="Times New Roman" w:cs="Times New Roman"/>
                <w:color w:val="0000FF"/>
                <w:sz w:val="20"/>
                <w:u w:val="single"/>
              </w:rPr>
              <w:t>subject to</w:t>
            </w:r>
            <w:r w:rsidRPr="005F1D2A">
              <w:rPr>
                <w:rFonts w:ascii="Times New Roman" w:eastAsia="Times New Roman" w:hAnsi="Times New Roman" w:cs="Times New Roman"/>
                <w:color w:val="3E3E3E"/>
                <w:sz w:val="20"/>
                <w:szCs w:val="20"/>
              </w:rPr>
              <w:t xml:space="preserve"> additional ‘Branch Profits Tax’ </w:t>
            </w:r>
            <w:proofErr w:type="spellStart"/>
            <w:r w:rsidRPr="005F1D2A">
              <w:rPr>
                <w:rFonts w:ascii="Times New Roman" w:eastAsia="Times New Roman" w:hAnsi="Times New Roman" w:cs="Times New Roman"/>
                <w:color w:val="3E3E3E"/>
                <w:sz w:val="20"/>
                <w:szCs w:val="20"/>
              </w:rPr>
              <w:t>leviable</w:t>
            </w:r>
            <w:proofErr w:type="spellEnd"/>
            <w:r w:rsidRPr="005F1D2A">
              <w:rPr>
                <w:rFonts w:ascii="Times New Roman" w:eastAsia="Times New Roman" w:hAnsi="Times New Roman" w:cs="Times New Roman"/>
                <w:color w:val="3E3E3E"/>
                <w:sz w:val="20"/>
                <w:szCs w:val="20"/>
              </w:rPr>
              <w:t xml:space="preserve"> @ 15%</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ii</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0000FF"/>
                <w:sz w:val="20"/>
                <w:u w:val="single"/>
              </w:rPr>
              <w:t>Minimum Alternate tax</w:t>
            </w:r>
            <w:r w:rsidRPr="005F1D2A">
              <w:rPr>
                <w:rFonts w:ascii="Times New Roman" w:eastAsia="Times New Roman" w:hAnsi="Times New Roman" w:cs="Times New Roman"/>
                <w:b/>
                <w:bCs/>
                <w:color w:val="3E3E3E"/>
                <w:sz w:val="20"/>
                <w:szCs w:val="20"/>
              </w:rPr>
              <w:t xml:space="preserve"> in the case of companies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MAT rate is @ 19.93% (inclusive of surcharge and education </w:t>
            </w:r>
            <w:proofErr w:type="spellStart"/>
            <w:r w:rsidRPr="005F1D2A">
              <w:rPr>
                <w:rFonts w:ascii="Times New Roman" w:eastAsia="Times New Roman" w:hAnsi="Times New Roman" w:cs="Times New Roman"/>
                <w:color w:val="3E3E3E"/>
                <w:sz w:val="20"/>
                <w:szCs w:val="20"/>
              </w:rPr>
              <w:t>cess</w:t>
            </w:r>
            <w:proofErr w:type="spellEnd"/>
            <w:r w:rsidRPr="005F1D2A">
              <w:rPr>
                <w:rFonts w:ascii="Times New Roman" w:eastAsia="Times New Roman" w:hAnsi="Times New Roman" w:cs="Times New Roman"/>
                <w:color w:val="3E3E3E"/>
                <w:sz w:val="20"/>
                <w:szCs w:val="20"/>
              </w:rPr>
              <w:t xml:space="preserve">) where income exceeds ` 1 </w:t>
            </w:r>
            <w:proofErr w:type="spellStart"/>
            <w:r w:rsidRPr="005F1D2A">
              <w:rPr>
                <w:rFonts w:ascii="Times New Roman" w:eastAsia="Times New Roman" w:hAnsi="Times New Roman" w:cs="Times New Roman"/>
                <w:color w:val="3E3E3E"/>
                <w:sz w:val="20"/>
                <w:szCs w:val="20"/>
              </w:rPr>
              <w:t>crore</w:t>
            </w:r>
            <w:proofErr w:type="spellEnd"/>
            <w:r w:rsidRPr="005F1D2A">
              <w:rPr>
                <w:rFonts w:ascii="Times New Roman" w:eastAsia="Times New Roman" w:hAnsi="Times New Roman" w:cs="Times New Roman"/>
                <w:color w:val="3E3E3E"/>
                <w:sz w:val="20"/>
                <w:szCs w:val="20"/>
              </w:rPr>
              <w:t>. Tax credit for MAT paid is available for 10 years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MAT is proposed to be taxed @ 20% without any surcharge and education </w:t>
            </w:r>
            <w:proofErr w:type="spellStart"/>
            <w:r w:rsidRPr="005F1D2A">
              <w:rPr>
                <w:rFonts w:ascii="Times New Roman" w:eastAsia="Times New Roman" w:hAnsi="Times New Roman" w:cs="Times New Roman"/>
                <w:color w:val="3E3E3E"/>
                <w:sz w:val="20"/>
                <w:szCs w:val="20"/>
              </w:rPr>
              <w:t>cess</w:t>
            </w:r>
            <w:proofErr w:type="spellEnd"/>
            <w:r w:rsidRPr="005F1D2A">
              <w:rPr>
                <w:rFonts w:ascii="Times New Roman" w:eastAsia="Times New Roman" w:hAnsi="Times New Roman" w:cs="Times New Roman"/>
                <w:color w:val="3E3E3E"/>
                <w:sz w:val="20"/>
                <w:szCs w:val="20"/>
              </w:rPr>
              <w:t>.</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Credit for MAT is proposed for 15 years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MAT rate of tax increases slightly.</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Credit for MAT gets extended from 10 years to 15 years</w:t>
            </w:r>
          </w:p>
        </w:tc>
      </w:tr>
      <w:tr w:rsidR="005F1D2A" w:rsidRPr="005F1D2A" w:rsidTr="005F1D2A">
        <w:trPr>
          <w:jc w:val="center"/>
        </w:trPr>
        <w:tc>
          <w:tcPr>
            <w:tcW w:w="878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 proposal to impose MAT on total value of gross assets @ 2% in DTC-I has been given up</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iii</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Wealth tax</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1957 Wealth tax Act</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wealth tax on companies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Wealth tax is proposed on wealth exceeding ` 1 </w:t>
            </w:r>
            <w:proofErr w:type="spellStart"/>
            <w:r w:rsidRPr="005F1D2A">
              <w:rPr>
                <w:rFonts w:ascii="Times New Roman" w:eastAsia="Times New Roman" w:hAnsi="Times New Roman" w:cs="Times New Roman"/>
                <w:color w:val="3E3E3E"/>
                <w:sz w:val="20"/>
                <w:szCs w:val="20"/>
              </w:rPr>
              <w:t>crore</w:t>
            </w:r>
            <w:proofErr w:type="spellEnd"/>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Tax generally on non-productive assets. However value of equity in preference shares held by a resident in controlled foreign company will be liable to tax.</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Companies hitherto non-taxable will be taxable.</w:t>
            </w:r>
          </w:p>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Favourable</w:t>
            </w:r>
            <w:proofErr w:type="spellEnd"/>
            <w:r w:rsidRPr="005F1D2A">
              <w:rPr>
                <w:rFonts w:ascii="Times New Roman" w:eastAsia="Times New Roman" w:hAnsi="Times New Roman" w:cs="Times New Roman"/>
                <w:color w:val="3E3E3E"/>
                <w:sz w:val="20"/>
                <w:szCs w:val="20"/>
              </w:rPr>
              <w:t xml:space="preserve"> aspect is that limit of ` 30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gets extended to ` 100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iv</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Taxation of salaries</w:t>
            </w:r>
            <w:r w:rsidRPr="005F1D2A">
              <w:rPr>
                <w:rFonts w:ascii="Times New Roman" w:eastAsia="Times New Roman" w:hAnsi="Times New Roman" w:cs="Times New Roman"/>
                <w:color w:val="3E3E3E"/>
                <w:sz w:val="20"/>
                <w:szCs w:val="20"/>
              </w:rPr>
              <w:t> - In regard to income from salaries the pattern of taxation remains the same as in the existing enactment. Changes however have been made in certain respects. These briefly are as under</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a</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House rent allowance</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Exemption is available subject to satisfaction of prescribed conditions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Exemption is continued</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Distinction between employees living in </w:t>
            </w:r>
            <w:proofErr w:type="spellStart"/>
            <w:r w:rsidRPr="005F1D2A">
              <w:rPr>
                <w:rFonts w:ascii="Times New Roman" w:eastAsia="Times New Roman" w:hAnsi="Times New Roman" w:cs="Times New Roman"/>
                <w:color w:val="3E3E3E"/>
                <w:sz w:val="20"/>
                <w:szCs w:val="20"/>
              </w:rPr>
              <w:t>own</w:t>
            </w:r>
            <w:proofErr w:type="spellEnd"/>
            <w:r w:rsidRPr="005F1D2A">
              <w:rPr>
                <w:rFonts w:ascii="Times New Roman" w:eastAsia="Times New Roman" w:hAnsi="Times New Roman" w:cs="Times New Roman"/>
                <w:color w:val="3E3E3E"/>
                <w:sz w:val="20"/>
                <w:szCs w:val="20"/>
              </w:rPr>
              <w:t xml:space="preserve"> houses and rented houses has been removed.</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b</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Leave encashment</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Exemption is available </w:t>
            </w:r>
            <w:proofErr w:type="spellStart"/>
            <w:r w:rsidRPr="005F1D2A">
              <w:rPr>
                <w:rFonts w:ascii="Times New Roman" w:eastAsia="Times New Roman" w:hAnsi="Times New Roman" w:cs="Times New Roman"/>
                <w:color w:val="3E3E3E"/>
                <w:sz w:val="20"/>
                <w:szCs w:val="20"/>
              </w:rPr>
              <w:t>upto</w:t>
            </w:r>
            <w:proofErr w:type="spellEnd"/>
            <w:r w:rsidRPr="005F1D2A">
              <w:rPr>
                <w:rFonts w:ascii="Times New Roman" w:eastAsia="Times New Roman" w:hAnsi="Times New Roman" w:cs="Times New Roman"/>
                <w:color w:val="3E3E3E"/>
                <w:sz w:val="20"/>
                <w:szCs w:val="20"/>
              </w:rPr>
              <w:t xml:space="preserve"> ` 3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in specified cases and fully exempt in case of Govt. employees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Exemption of leave encashment on retirement up to the limit to be specified allowed</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Employees would continue to avail of exemption subject to limit prescribed.</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lastRenderedPageBreak/>
              <w:t>(</w:t>
            </w:r>
            <w:r w:rsidRPr="005F1D2A">
              <w:rPr>
                <w:rFonts w:ascii="Times New Roman" w:eastAsia="Times New Roman" w:hAnsi="Times New Roman" w:cs="Times New Roman"/>
                <w:i/>
                <w:iCs/>
                <w:color w:val="3E3E3E"/>
                <w:sz w:val="20"/>
                <w:szCs w:val="20"/>
              </w:rPr>
              <w:t>c</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Medical reimbursement</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Medical treatment in specified hospitals not taxable, nor is payment of </w:t>
            </w:r>
            <w:r w:rsidRPr="005F1D2A">
              <w:rPr>
                <w:rFonts w:ascii="Times New Roman" w:eastAsia="Times New Roman" w:hAnsi="Times New Roman" w:cs="Times New Roman"/>
                <w:color w:val="0000FF"/>
                <w:sz w:val="20"/>
                <w:u w:val="single"/>
              </w:rPr>
              <w:t>medical insurance premium</w:t>
            </w:r>
            <w:r w:rsidRPr="005F1D2A">
              <w:rPr>
                <w:rFonts w:ascii="Times New Roman" w:eastAsia="Times New Roman" w:hAnsi="Times New Roman" w:cs="Times New Roman"/>
                <w:color w:val="3E3E3E"/>
                <w:sz w:val="20"/>
                <w:szCs w:val="20"/>
              </w:rPr>
              <w:t>. More so, reimbursement of medical bills is exempt up to `15,000.</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Medical facilities not taxable (as present) and medical expense reimbursement up to` 50,000 exempt</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There is continuation of exclusion of medical facilities out of perquisite net.</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Increase of medical expenses reimbursement limit to ` 50,000 </w:t>
            </w:r>
            <w:proofErr w:type="gramStart"/>
            <w:r w:rsidRPr="005F1D2A">
              <w:rPr>
                <w:rFonts w:ascii="Times New Roman" w:eastAsia="Times New Roman" w:hAnsi="Times New Roman" w:cs="Times New Roman"/>
                <w:color w:val="3E3E3E"/>
                <w:sz w:val="20"/>
                <w:szCs w:val="20"/>
              </w:rPr>
              <w:t>is</w:t>
            </w:r>
            <w:proofErr w:type="gramEnd"/>
            <w:r w:rsidRPr="005F1D2A">
              <w:rPr>
                <w:rFonts w:ascii="Times New Roman" w:eastAsia="Times New Roman" w:hAnsi="Times New Roman" w:cs="Times New Roman"/>
                <w:color w:val="3E3E3E"/>
                <w:sz w:val="20"/>
                <w:szCs w:val="20"/>
              </w:rPr>
              <w:t xml:space="preserve"> commensurate to the increased medical costs.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d</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Leave Travel Concession (LTC)</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LTC is exempt in respect of travel expenses for self/family subject to certain conditions.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LTC exemption removed</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LTC benefit (travel expenses) shall be taxable.</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A report published in some newspapers shows that Government is reconsidering the proposal for exemption of LTC in a </w:t>
            </w:r>
            <w:proofErr w:type="spellStart"/>
            <w:r w:rsidRPr="005F1D2A">
              <w:rPr>
                <w:rFonts w:ascii="Times New Roman" w:eastAsia="Times New Roman" w:hAnsi="Times New Roman" w:cs="Times New Roman"/>
                <w:color w:val="3E3E3E"/>
                <w:sz w:val="20"/>
                <w:szCs w:val="20"/>
              </w:rPr>
              <w:t>round about</w:t>
            </w:r>
            <w:proofErr w:type="spellEnd"/>
            <w:r w:rsidRPr="005F1D2A">
              <w:rPr>
                <w:rFonts w:ascii="Times New Roman" w:eastAsia="Times New Roman" w:hAnsi="Times New Roman" w:cs="Times New Roman"/>
                <w:color w:val="3E3E3E"/>
                <w:sz w:val="20"/>
                <w:szCs w:val="20"/>
              </w:rPr>
              <w:t xml:space="preserve"> manner by including it in the total income of an employee and then giving deduction on prescribed basis. This would lead to complication in an already complicated legislation. This also shows the fickle mindedness of the policy makers! A proposal is to be changed only after 3 days of its announcement.</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e</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Retirement Benefits of employees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Exemption is available (gratuity up to ` 10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VRS up to ` 5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etc. ) in specified cases subject to conditions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Terminal benefit such as gratuity, VRS, commuted pension are exempt, subject to conditions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Continuance of exemption will ease tax burden on such payments.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v</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Taxation of House Property incomes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Here too, the pattern would continue to be the same </w:t>
            </w:r>
            <w:proofErr w:type="spellStart"/>
            <w:r w:rsidRPr="005F1D2A">
              <w:rPr>
                <w:rFonts w:ascii="Times New Roman" w:eastAsia="Times New Roman" w:hAnsi="Times New Roman" w:cs="Times New Roman"/>
                <w:i/>
                <w:iCs/>
                <w:color w:val="3E3E3E"/>
                <w:sz w:val="20"/>
                <w:szCs w:val="20"/>
              </w:rPr>
              <w:t>i.e</w:t>
            </w:r>
            <w:proofErr w:type="spellEnd"/>
            <w:r w:rsidRPr="005F1D2A">
              <w:rPr>
                <w:rFonts w:ascii="Times New Roman" w:eastAsia="Times New Roman" w:hAnsi="Times New Roman" w:cs="Times New Roman"/>
                <w:color w:val="3E3E3E"/>
                <w:sz w:val="20"/>
                <w:szCs w:val="20"/>
              </w:rPr>
              <w:t>, taxation on A.L.V. basis. However some changes proposed are mentioned hereinafter</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a</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Newly introduced concept of taxation of house properties on notional ALV basis by DTC-I</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House property (other than self-occupied) income is taxed on deemed rent basis, even if not actually let out.</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House property income taxable only where rent is actually received/receivable</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i/>
                <w:iCs/>
                <w:color w:val="3E3E3E"/>
                <w:sz w:val="20"/>
                <w:szCs w:val="20"/>
              </w:rPr>
              <w:t>Vis-a-</w:t>
            </w:r>
            <w:proofErr w:type="spellStart"/>
            <w:r w:rsidRPr="005F1D2A">
              <w:rPr>
                <w:rFonts w:ascii="Times New Roman" w:eastAsia="Times New Roman" w:hAnsi="Times New Roman" w:cs="Times New Roman"/>
                <w:i/>
                <w:iCs/>
                <w:color w:val="3E3E3E"/>
                <w:sz w:val="20"/>
                <w:szCs w:val="20"/>
              </w:rPr>
              <w:t>vis</w:t>
            </w:r>
            <w:proofErr w:type="spellEnd"/>
            <w:r w:rsidRPr="005F1D2A">
              <w:rPr>
                <w:rFonts w:ascii="Times New Roman" w:eastAsia="Times New Roman" w:hAnsi="Times New Roman" w:cs="Times New Roman"/>
                <w:color w:val="3E3E3E"/>
                <w:sz w:val="20"/>
                <w:szCs w:val="20"/>
              </w:rPr>
              <w:t xml:space="preserve"> DTC-I, the hardship of taxation on notional basis </w:t>
            </w:r>
            <w:proofErr w:type="gramStart"/>
            <w:r w:rsidRPr="005F1D2A">
              <w:rPr>
                <w:rFonts w:ascii="Times New Roman" w:eastAsia="Times New Roman" w:hAnsi="Times New Roman" w:cs="Times New Roman"/>
                <w:color w:val="3E3E3E"/>
                <w:sz w:val="20"/>
                <w:szCs w:val="20"/>
              </w:rPr>
              <w:t>gets</w:t>
            </w:r>
            <w:proofErr w:type="gramEnd"/>
            <w:r w:rsidRPr="005F1D2A">
              <w:rPr>
                <w:rFonts w:ascii="Times New Roman" w:eastAsia="Times New Roman" w:hAnsi="Times New Roman" w:cs="Times New Roman"/>
                <w:color w:val="3E3E3E"/>
                <w:sz w:val="20"/>
                <w:szCs w:val="20"/>
              </w:rPr>
              <w:t xml:space="preserve"> removed and to this extent, the new proposal in DTC-II is welcome.</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b</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Deduction of expenses for repair and renewals in regard to property income</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Deduction of 30% of gross rent is allowed</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20% on gross rent allowable towards repairs, etc.</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In view of the increased </w:t>
            </w:r>
            <w:r w:rsidRPr="005F1D2A">
              <w:rPr>
                <w:rFonts w:ascii="Times New Roman" w:eastAsia="Times New Roman" w:hAnsi="Times New Roman" w:cs="Times New Roman"/>
                <w:color w:val="0000FF"/>
                <w:sz w:val="20"/>
                <w:u w:val="single"/>
              </w:rPr>
              <w:t>cost of construction</w:t>
            </w:r>
            <w:r w:rsidRPr="005F1D2A">
              <w:rPr>
                <w:rFonts w:ascii="Times New Roman" w:eastAsia="Times New Roman" w:hAnsi="Times New Roman" w:cs="Times New Roman"/>
                <w:color w:val="3E3E3E"/>
                <w:sz w:val="20"/>
                <w:szCs w:val="20"/>
              </w:rPr>
              <w:t xml:space="preserve"> the proposed reduction from 30% to 20% </w:t>
            </w:r>
            <w:proofErr w:type="spellStart"/>
            <w:r w:rsidRPr="005F1D2A">
              <w:rPr>
                <w:rFonts w:ascii="Times New Roman" w:eastAsia="Times New Roman" w:hAnsi="Times New Roman" w:cs="Times New Roman"/>
                <w:color w:val="3E3E3E"/>
                <w:sz w:val="20"/>
                <w:szCs w:val="20"/>
              </w:rPr>
              <w:t>is</w:t>
            </w:r>
            <w:r w:rsidRPr="005F1D2A">
              <w:rPr>
                <w:rFonts w:ascii="Times New Roman" w:eastAsia="Times New Roman" w:hAnsi="Times New Roman" w:cs="Times New Roman"/>
                <w:i/>
                <w:iCs/>
                <w:color w:val="3E3E3E"/>
                <w:sz w:val="20"/>
                <w:szCs w:val="20"/>
              </w:rPr>
              <w:t>prima</w:t>
            </w:r>
            <w:proofErr w:type="spellEnd"/>
            <w:r w:rsidRPr="005F1D2A">
              <w:rPr>
                <w:rFonts w:ascii="Times New Roman" w:eastAsia="Times New Roman" w:hAnsi="Times New Roman" w:cs="Times New Roman"/>
                <w:i/>
                <w:iCs/>
                <w:color w:val="3E3E3E"/>
                <w:sz w:val="20"/>
                <w:szCs w:val="20"/>
              </w:rPr>
              <w:t xml:space="preserve"> </w:t>
            </w:r>
            <w:proofErr w:type="spellStart"/>
            <w:r w:rsidRPr="005F1D2A">
              <w:rPr>
                <w:rFonts w:ascii="Times New Roman" w:eastAsia="Times New Roman" w:hAnsi="Times New Roman" w:cs="Times New Roman"/>
                <w:i/>
                <w:iCs/>
                <w:color w:val="3E3E3E"/>
                <w:sz w:val="20"/>
                <w:szCs w:val="20"/>
              </w:rPr>
              <w:t>facie</w:t>
            </w:r>
            <w:r w:rsidRPr="005F1D2A">
              <w:rPr>
                <w:rFonts w:ascii="Times New Roman" w:eastAsia="Times New Roman" w:hAnsi="Times New Roman" w:cs="Times New Roman"/>
                <w:color w:val="3E3E3E"/>
                <w:sz w:val="20"/>
                <w:szCs w:val="20"/>
              </w:rPr>
              <w:t>unwarranted</w:t>
            </w:r>
            <w:proofErr w:type="spellEnd"/>
            <w:r w:rsidRPr="005F1D2A">
              <w:rPr>
                <w:rFonts w:ascii="Times New Roman" w:eastAsia="Times New Roman" w:hAnsi="Times New Roman" w:cs="Times New Roman"/>
                <w:color w:val="3E3E3E"/>
                <w:sz w:val="20"/>
                <w:szCs w:val="20"/>
              </w:rPr>
              <w:t xml:space="preserve"> and of an arbitrary </w:t>
            </w:r>
            <w:proofErr w:type="spellStart"/>
            <w:r w:rsidRPr="005F1D2A">
              <w:rPr>
                <w:rFonts w:ascii="Times New Roman" w:eastAsia="Times New Roman" w:hAnsi="Times New Roman" w:cs="Times New Roman"/>
                <w:color w:val="3E3E3E"/>
                <w:sz w:val="20"/>
                <w:szCs w:val="20"/>
              </w:rPr>
              <w:t>and</w:t>
            </w:r>
            <w:r w:rsidRPr="005F1D2A">
              <w:rPr>
                <w:rFonts w:ascii="Times New Roman" w:eastAsia="Times New Roman" w:hAnsi="Times New Roman" w:cs="Times New Roman"/>
                <w:i/>
                <w:iCs/>
                <w:color w:val="3E3E3E"/>
                <w:sz w:val="20"/>
                <w:szCs w:val="20"/>
              </w:rPr>
              <w:t>ad</w:t>
            </w:r>
            <w:proofErr w:type="spellEnd"/>
            <w:r w:rsidRPr="005F1D2A">
              <w:rPr>
                <w:rFonts w:ascii="Times New Roman" w:eastAsia="Times New Roman" w:hAnsi="Times New Roman" w:cs="Times New Roman"/>
                <w:i/>
                <w:iCs/>
                <w:color w:val="3E3E3E"/>
                <w:sz w:val="20"/>
                <w:szCs w:val="20"/>
              </w:rPr>
              <w:t xml:space="preserve"> hoc</w:t>
            </w:r>
            <w:r w:rsidRPr="005F1D2A">
              <w:rPr>
                <w:rFonts w:ascii="Times New Roman" w:eastAsia="Times New Roman" w:hAnsi="Times New Roman" w:cs="Times New Roman"/>
                <w:color w:val="3E3E3E"/>
                <w:sz w:val="20"/>
                <w:szCs w:val="20"/>
              </w:rPr>
              <w:t> </w:t>
            </w:r>
            <w:proofErr w:type="gramStart"/>
            <w:r w:rsidRPr="005F1D2A">
              <w:rPr>
                <w:rFonts w:ascii="Times New Roman" w:eastAsia="Times New Roman" w:hAnsi="Times New Roman" w:cs="Times New Roman"/>
                <w:color w:val="3E3E3E"/>
                <w:sz w:val="20"/>
                <w:szCs w:val="20"/>
              </w:rPr>
              <w:t>nature.</w:t>
            </w:r>
            <w:proofErr w:type="gramEnd"/>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c</w:t>
            </w:r>
            <w:r w:rsidRPr="005F1D2A">
              <w:rPr>
                <w:rFonts w:ascii="Times New Roman" w:eastAsia="Times New Roman" w:hAnsi="Times New Roman" w:cs="Times New Roman"/>
                <w:color w:val="3E3E3E"/>
                <w:sz w:val="20"/>
                <w:szCs w:val="20"/>
              </w:rPr>
              <w:t>)</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Interest deduction for housing loan for self-occupied property</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Interest deduction </w:t>
            </w:r>
            <w:proofErr w:type="spellStart"/>
            <w:r w:rsidRPr="005F1D2A">
              <w:rPr>
                <w:rFonts w:ascii="Times New Roman" w:eastAsia="Times New Roman" w:hAnsi="Times New Roman" w:cs="Times New Roman"/>
                <w:color w:val="3E3E3E"/>
                <w:sz w:val="20"/>
                <w:szCs w:val="20"/>
              </w:rPr>
              <w:t>upto</w:t>
            </w:r>
            <w:proofErr w:type="spellEnd"/>
            <w:r w:rsidRPr="005F1D2A">
              <w:rPr>
                <w:rFonts w:ascii="Times New Roman" w:eastAsia="Times New Roman" w:hAnsi="Times New Roman" w:cs="Times New Roman"/>
                <w:color w:val="3E3E3E"/>
                <w:sz w:val="20"/>
                <w:szCs w:val="20"/>
              </w:rPr>
              <w:t xml:space="preserve"> `1.5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is allowed in case of one house property which is not let out by an individual</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Deduction of ` 1.5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(including pre-construction interest </w:t>
            </w:r>
            <w:proofErr w:type="spellStart"/>
            <w:r w:rsidRPr="005F1D2A">
              <w:rPr>
                <w:rFonts w:ascii="Times New Roman" w:eastAsia="Times New Roman" w:hAnsi="Times New Roman" w:cs="Times New Roman"/>
                <w:color w:val="3E3E3E"/>
                <w:sz w:val="20"/>
                <w:szCs w:val="20"/>
              </w:rPr>
              <w:t>instalment</w:t>
            </w:r>
            <w:proofErr w:type="spellEnd"/>
            <w:r w:rsidRPr="005F1D2A">
              <w:rPr>
                <w:rFonts w:ascii="Times New Roman" w:eastAsia="Times New Roman" w:hAnsi="Times New Roman" w:cs="Times New Roman"/>
                <w:color w:val="3E3E3E"/>
                <w:sz w:val="20"/>
                <w:szCs w:val="20"/>
              </w:rPr>
              <w:t>) allowed.</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Since the present practice of deduction </w:t>
            </w:r>
            <w:proofErr w:type="spellStart"/>
            <w:r w:rsidRPr="005F1D2A">
              <w:rPr>
                <w:rFonts w:ascii="Times New Roman" w:eastAsia="Times New Roman" w:hAnsi="Times New Roman" w:cs="Times New Roman"/>
                <w:color w:val="3E3E3E"/>
                <w:sz w:val="20"/>
                <w:szCs w:val="20"/>
              </w:rPr>
              <w:t>upto</w:t>
            </w:r>
            <w:proofErr w:type="spellEnd"/>
            <w:r w:rsidRPr="005F1D2A">
              <w:rPr>
                <w:rFonts w:ascii="Times New Roman" w:eastAsia="Times New Roman" w:hAnsi="Times New Roman" w:cs="Times New Roman"/>
                <w:color w:val="3E3E3E"/>
                <w:sz w:val="20"/>
                <w:szCs w:val="20"/>
              </w:rPr>
              <w:t xml:space="preserve">` 1.50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xml:space="preserve"> is to continue, no benefit on this count can be said to accrue or arise to taxpayers. An adverse impact </w:t>
            </w:r>
            <w:r w:rsidRPr="005F1D2A">
              <w:rPr>
                <w:rFonts w:ascii="Times New Roman" w:eastAsia="Times New Roman" w:hAnsi="Times New Roman" w:cs="Times New Roman"/>
                <w:color w:val="3E3E3E"/>
                <w:sz w:val="20"/>
                <w:szCs w:val="20"/>
              </w:rPr>
              <w:lastRenderedPageBreak/>
              <w:t>would be that repayment of loan which could be deducted u/s 80C along with other items will be discontinued.</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lastRenderedPageBreak/>
              <w:t>(</w:t>
            </w:r>
            <w:r w:rsidRPr="005F1D2A">
              <w:rPr>
                <w:rFonts w:ascii="Times New Roman" w:eastAsia="Times New Roman" w:hAnsi="Times New Roman" w:cs="Times New Roman"/>
                <w:i/>
                <w:iCs/>
                <w:color w:val="3E3E3E"/>
                <w:sz w:val="20"/>
                <w:szCs w:val="20"/>
              </w:rPr>
              <w:t>vi</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Income from business or profession</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 changes proposed in DTC-II are too many to be covered in a short article of this nature. These could be discussed in a separate write up on this subject only.</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vii</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Income from capital gains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Fundamental changes are proposed to be made in regard to taxation of capital gains to “attract” small investors to stock market. To what extent this objective would be fulfilled could be a matter of debate. In the meantime, comparative study of some of the aspects of taxation of this income under the 1961 Act and proposed DTC-II is briefly mentioned hereinafter.</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Securities transactions Act (STT)</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Applicable</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To be continued</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change</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Equity shares and units of equity oriented funds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If held for more than 12 months, entire gains are not taxable.</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If held for more than 12 months, 100% gains are allowed as deduction, </w:t>
            </w:r>
            <w:r w:rsidRPr="005F1D2A">
              <w:rPr>
                <w:rFonts w:ascii="Times New Roman" w:eastAsia="Times New Roman" w:hAnsi="Times New Roman" w:cs="Times New Roman"/>
                <w:i/>
                <w:iCs/>
                <w:color w:val="3E3E3E"/>
                <w:sz w:val="20"/>
                <w:szCs w:val="20"/>
              </w:rPr>
              <w:t>i.e.</w:t>
            </w:r>
            <w:r w:rsidRPr="005F1D2A">
              <w:rPr>
                <w:rFonts w:ascii="Times New Roman" w:eastAsia="Times New Roman" w:hAnsi="Times New Roman" w:cs="Times New Roman"/>
                <w:color w:val="3E3E3E"/>
                <w:sz w:val="20"/>
                <w:szCs w:val="20"/>
              </w:rPr>
              <w:t> entire gains not taxed.</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Continuance </w:t>
            </w:r>
            <w:proofErr w:type="spellStart"/>
            <w:r w:rsidRPr="005F1D2A">
              <w:rPr>
                <w:rFonts w:ascii="Times New Roman" w:eastAsia="Times New Roman" w:hAnsi="Times New Roman" w:cs="Times New Roman"/>
                <w:color w:val="3E3E3E"/>
                <w:sz w:val="20"/>
                <w:szCs w:val="20"/>
              </w:rPr>
              <w:t>of</w:t>
            </w:r>
            <w:r w:rsidRPr="005F1D2A">
              <w:rPr>
                <w:rFonts w:ascii="Times New Roman" w:eastAsia="Times New Roman" w:hAnsi="Times New Roman" w:cs="Times New Roman"/>
                <w:i/>
                <w:iCs/>
                <w:color w:val="3E3E3E"/>
                <w:sz w:val="20"/>
                <w:szCs w:val="20"/>
              </w:rPr>
              <w:t>NIL</w:t>
            </w:r>
            <w:proofErr w:type="spellEnd"/>
            <w:r w:rsidRPr="005F1D2A">
              <w:rPr>
                <w:rFonts w:ascii="Times New Roman" w:eastAsia="Times New Roman" w:hAnsi="Times New Roman" w:cs="Times New Roman"/>
                <w:color w:val="3E3E3E"/>
                <w:sz w:val="20"/>
                <w:szCs w:val="20"/>
              </w:rPr>
              <w:t> tax on gains from sale of shares/equity oriented units held for more than a year continues and should be welcome.</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If held for less than 12 months, tax payable on gains @ 15%</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If held less than 12 months, deduction of 50% of gains will be allowed and the balance will be taxed at gradual rates of 5%, 10% &amp; 15% depending on income of the </w:t>
            </w:r>
            <w:proofErr w:type="spellStart"/>
            <w:r w:rsidRPr="005F1D2A">
              <w:rPr>
                <w:rFonts w:ascii="Times New Roman" w:eastAsia="Times New Roman" w:hAnsi="Times New Roman" w:cs="Times New Roman"/>
                <w:color w:val="3E3E3E"/>
                <w:sz w:val="20"/>
                <w:szCs w:val="20"/>
              </w:rPr>
              <w:t>assessees</w:t>
            </w:r>
            <w:proofErr w:type="spellEnd"/>
            <w:r w:rsidRPr="005F1D2A">
              <w:rPr>
                <w:rFonts w:ascii="Times New Roman" w:eastAsia="Times New Roman" w:hAnsi="Times New Roman" w:cs="Times New Roman"/>
                <w:color w:val="3E3E3E"/>
                <w:sz w:val="20"/>
                <w:szCs w:val="20"/>
              </w:rPr>
              <w:t>.</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50% deduction mechanism would result in lower tax impact</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Other investment assets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Holding period for classification as long term/indexation/exemption benefits is 36 months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Holding period for indexation/exemption benefit is one year from end of financial year post acquisition</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Cut off</w:t>
            </w:r>
            <w:proofErr w:type="spellEnd"/>
            <w:r w:rsidRPr="005F1D2A">
              <w:rPr>
                <w:rFonts w:ascii="Times New Roman" w:eastAsia="Times New Roman" w:hAnsi="Times New Roman" w:cs="Times New Roman"/>
                <w:color w:val="3E3E3E"/>
                <w:sz w:val="20"/>
                <w:szCs w:val="20"/>
              </w:rPr>
              <w:t xml:space="preserve"> date for working cost of acquisition shifts from 1-4-1980 to 1-4-2000. </w:t>
            </w:r>
            <w:proofErr w:type="gramStart"/>
            <w:r w:rsidRPr="005F1D2A">
              <w:rPr>
                <w:rFonts w:ascii="Times New Roman" w:eastAsia="Times New Roman" w:hAnsi="Times New Roman" w:cs="Times New Roman"/>
                <w:color w:val="3E3E3E"/>
                <w:sz w:val="20"/>
                <w:szCs w:val="20"/>
              </w:rPr>
              <w:t>thus</w:t>
            </w:r>
            <w:proofErr w:type="gramEnd"/>
            <w:r w:rsidRPr="005F1D2A">
              <w:rPr>
                <w:rFonts w:ascii="Times New Roman" w:eastAsia="Times New Roman" w:hAnsi="Times New Roman" w:cs="Times New Roman"/>
                <w:color w:val="3E3E3E"/>
                <w:sz w:val="20"/>
                <w:szCs w:val="20"/>
              </w:rPr>
              <w:t xml:space="preserve"> unrealized gains </w:t>
            </w:r>
            <w:proofErr w:type="spellStart"/>
            <w:r w:rsidRPr="005F1D2A">
              <w:rPr>
                <w:rFonts w:ascii="Times New Roman" w:eastAsia="Times New Roman" w:hAnsi="Times New Roman" w:cs="Times New Roman"/>
                <w:color w:val="3E3E3E"/>
                <w:sz w:val="20"/>
                <w:szCs w:val="20"/>
              </w:rPr>
              <w:t>upto</w:t>
            </w:r>
            <w:proofErr w:type="spellEnd"/>
            <w:r w:rsidRPr="005F1D2A">
              <w:rPr>
                <w:rFonts w:ascii="Times New Roman" w:eastAsia="Times New Roman" w:hAnsi="Times New Roman" w:cs="Times New Roman"/>
                <w:color w:val="3E3E3E"/>
                <w:sz w:val="20"/>
                <w:szCs w:val="20"/>
              </w:rPr>
              <w:t xml:space="preserve"> 31-3-2000 will get exempted.</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Holding period for indexation/ exemption benefit is reduced to 12 – 24 months.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Long term, gains taxable @ 20%, subject to indexation benefit (inflation indices starting 1981)</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Indexation and rollover benefit (subject to conditions) available </w:t>
            </w:r>
            <w:r w:rsidRPr="005F1D2A">
              <w:rPr>
                <w:rFonts w:ascii="Times New Roman" w:eastAsia="Times New Roman" w:hAnsi="Times New Roman" w:cs="Times New Roman"/>
                <w:color w:val="3E3E3E"/>
                <w:sz w:val="20"/>
                <w:szCs w:val="20"/>
              </w:rPr>
              <w:lastRenderedPageBreak/>
              <w:t xml:space="preserve">with reference to purchase price, or optionally, </w:t>
            </w:r>
            <w:r w:rsidRPr="005F1D2A">
              <w:rPr>
                <w:rFonts w:ascii="Times New Roman" w:eastAsia="Times New Roman" w:hAnsi="Times New Roman" w:cs="Times New Roman"/>
                <w:color w:val="0000FF"/>
                <w:sz w:val="20"/>
                <w:u w:val="single"/>
              </w:rPr>
              <w:t>fair market value</w:t>
            </w:r>
            <w:r w:rsidRPr="005F1D2A">
              <w:rPr>
                <w:rFonts w:ascii="Times New Roman" w:eastAsia="Times New Roman" w:hAnsi="Times New Roman" w:cs="Times New Roman"/>
                <w:color w:val="3E3E3E"/>
                <w:sz w:val="20"/>
                <w:szCs w:val="20"/>
              </w:rPr>
              <w:t xml:space="preserve"> as on 1 April, 2000, if asset acquired before that date</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If short term, gains taxable at applicable slab rates.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viii</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Some other aspects concerning common taxpayers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Govt. PF, PPF, recognized PFs etc.</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Employer’s contribution to recognized provident fund exempt up to 12% of salary</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Employee’s contribution eligible for deduction up to ` 100,000</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Employer’s contributions to PF up to 12% of salary exempt.</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Employee’s contribution eligible for overall investment deduction limit to `100,000</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Accretions and amount received exempt.</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Withdrawals exempt based on prescribed guidelines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EEE continued for these schemes.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Overall investment deduction limit of ` 100,000 applies for contributions to approved funds, </w:t>
            </w:r>
            <w:r w:rsidRPr="005F1D2A">
              <w:rPr>
                <w:rFonts w:ascii="Times New Roman" w:eastAsia="Times New Roman" w:hAnsi="Times New Roman" w:cs="Times New Roman"/>
                <w:i/>
                <w:iCs/>
                <w:color w:val="3E3E3E"/>
                <w:sz w:val="20"/>
                <w:szCs w:val="20"/>
              </w:rPr>
              <w:t>viz.</w:t>
            </w:r>
            <w:r w:rsidRPr="005F1D2A">
              <w:rPr>
                <w:rFonts w:ascii="Times New Roman" w:eastAsia="Times New Roman" w:hAnsi="Times New Roman" w:cs="Times New Roman"/>
                <w:color w:val="3E3E3E"/>
                <w:sz w:val="20"/>
                <w:szCs w:val="20"/>
              </w:rPr>
              <w:t>, PF, superannuation fund, gratuity, pension and other notified funds.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On withdrawal and maturity not taxable, subject to conditions.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Superannuation funds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Employer’s contribution up to ` 100,000 per annum is exempt</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Withdrawal is exempt based on prescribed guidelines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Employer’s contribution to approved superannuation funds exempt Employee’s contribution eligible for overall investment deduction limit of `100,000</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Maturity payments on retirement/ achieving certain age/ incapacitation not taxable</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Continuance of EEE would mean no tax liability on end-payments.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Removal of present anomaly of part double taxation of employer’s contribution will help.</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Life Insurance Premium</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Premia</w:t>
            </w:r>
            <w:proofErr w:type="spellEnd"/>
            <w:r w:rsidRPr="005F1D2A">
              <w:rPr>
                <w:rFonts w:ascii="Times New Roman" w:eastAsia="Times New Roman" w:hAnsi="Times New Roman" w:cs="Times New Roman"/>
                <w:color w:val="3E3E3E"/>
                <w:sz w:val="20"/>
                <w:szCs w:val="20"/>
              </w:rPr>
              <w:t xml:space="preserve"> deductible </w:t>
            </w:r>
            <w:proofErr w:type="spellStart"/>
            <w:r w:rsidRPr="005F1D2A">
              <w:rPr>
                <w:rFonts w:ascii="Times New Roman" w:eastAsia="Times New Roman" w:hAnsi="Times New Roman" w:cs="Times New Roman"/>
                <w:color w:val="3E3E3E"/>
                <w:sz w:val="20"/>
                <w:szCs w:val="20"/>
              </w:rPr>
              <w:t>upto</w:t>
            </w:r>
            <w:proofErr w:type="spellEnd"/>
            <w:r w:rsidRPr="005F1D2A">
              <w:rPr>
                <w:rFonts w:ascii="Times New Roman" w:eastAsia="Times New Roman" w:hAnsi="Times New Roman" w:cs="Times New Roman"/>
                <w:color w:val="3E3E3E"/>
                <w:sz w:val="20"/>
                <w:szCs w:val="20"/>
              </w:rPr>
              <w:t> `100,000</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Sum received on life insurance policy (including bonus) exempt if premium in any year is &lt;20% of sum assured.</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Further maturity amount is exempt if premium paid is less than 2) 5 of the sum assured.</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Premium paid on is exempt </w:t>
            </w:r>
            <w:proofErr w:type="spellStart"/>
            <w:r w:rsidRPr="005F1D2A">
              <w:rPr>
                <w:rFonts w:ascii="Times New Roman" w:eastAsia="Times New Roman" w:hAnsi="Times New Roman" w:cs="Times New Roman"/>
                <w:color w:val="3E3E3E"/>
                <w:sz w:val="20"/>
                <w:szCs w:val="20"/>
              </w:rPr>
              <w:lastRenderedPageBreak/>
              <w:t>upto</w:t>
            </w:r>
            <w:proofErr w:type="spellEnd"/>
            <w:r w:rsidRPr="005F1D2A">
              <w:rPr>
                <w:rFonts w:ascii="Times New Roman" w:eastAsia="Times New Roman" w:hAnsi="Times New Roman" w:cs="Times New Roman"/>
                <w:color w:val="3E3E3E"/>
                <w:sz w:val="20"/>
                <w:szCs w:val="20"/>
              </w:rPr>
              <w:t xml:space="preserve"> ` 1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along with other sums.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lastRenderedPageBreak/>
              <w:t>Premia</w:t>
            </w:r>
            <w:proofErr w:type="spellEnd"/>
            <w:r w:rsidRPr="005F1D2A">
              <w:rPr>
                <w:rFonts w:ascii="Times New Roman" w:eastAsia="Times New Roman" w:hAnsi="Times New Roman" w:cs="Times New Roman"/>
                <w:color w:val="3E3E3E"/>
                <w:sz w:val="20"/>
                <w:szCs w:val="20"/>
              </w:rPr>
              <w:t xml:space="preserve"> eligible for overall additional deduction limit of `50,000 (with </w:t>
            </w:r>
            <w:proofErr w:type="spellStart"/>
            <w:r w:rsidRPr="005F1D2A">
              <w:rPr>
                <w:rFonts w:ascii="Times New Roman" w:eastAsia="Times New Roman" w:hAnsi="Times New Roman" w:cs="Times New Roman"/>
                <w:color w:val="3E3E3E"/>
                <w:sz w:val="20"/>
                <w:szCs w:val="20"/>
              </w:rPr>
              <w:t>mediclaim</w:t>
            </w:r>
            <w:proofErr w:type="spellEnd"/>
            <w:r w:rsidRPr="005F1D2A">
              <w:rPr>
                <w:rFonts w:ascii="Times New Roman" w:eastAsia="Times New Roman" w:hAnsi="Times New Roman" w:cs="Times New Roman"/>
                <w:color w:val="3E3E3E"/>
                <w:sz w:val="20"/>
                <w:szCs w:val="20"/>
              </w:rPr>
              <w:t xml:space="preserve"> &amp; tuition fees)</w:t>
            </w:r>
          </w:p>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Premia</w:t>
            </w:r>
            <w:proofErr w:type="spellEnd"/>
            <w:r w:rsidRPr="005F1D2A">
              <w:rPr>
                <w:rFonts w:ascii="Times New Roman" w:eastAsia="Times New Roman" w:hAnsi="Times New Roman" w:cs="Times New Roman"/>
                <w:color w:val="3E3E3E"/>
                <w:sz w:val="20"/>
                <w:szCs w:val="20"/>
              </w:rPr>
              <w:t xml:space="preserve"> paid on policies with premium </w:t>
            </w:r>
            <w:r w:rsidRPr="005F1D2A">
              <w:rPr>
                <w:rFonts w:ascii="Times New Roman" w:eastAsia="Times New Roman" w:hAnsi="Times New Roman" w:cs="Times New Roman"/>
                <w:color w:val="3E3E3E"/>
                <w:sz w:val="20"/>
              </w:rPr>
              <w:t>more</w:t>
            </w:r>
            <w:r w:rsidRPr="005F1D2A">
              <w:rPr>
                <w:rFonts w:ascii="Times New Roman" w:eastAsia="Times New Roman" w:hAnsi="Times New Roman" w:cs="Times New Roman"/>
                <w:color w:val="3E3E3E"/>
                <w:sz w:val="20"/>
                <w:szCs w:val="20"/>
              </w:rPr>
              <w:t xml:space="preserve">   than 5% of sum assured not deductible.</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Maturity proceeds </w:t>
            </w:r>
            <w:r w:rsidRPr="005F1D2A">
              <w:rPr>
                <w:rFonts w:ascii="Times New Roman" w:eastAsia="Times New Roman" w:hAnsi="Times New Roman" w:cs="Times New Roman"/>
                <w:color w:val="3E3E3E"/>
                <w:sz w:val="20"/>
                <w:szCs w:val="20"/>
              </w:rPr>
              <w:lastRenderedPageBreak/>
              <w:t>exempt, if the premium paid in any year &lt;5% of sum assured and received on completion of original insurance period. Proceeds received on death are completely exempt.</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Equity linked life insurance schemes subject to 5% tax on distribution</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lastRenderedPageBreak/>
              <w:t xml:space="preserve">Overall additional deduction limit not only lowered to `50,000, but is also merged with </w:t>
            </w:r>
            <w:proofErr w:type="spellStart"/>
            <w:r w:rsidRPr="005F1D2A">
              <w:rPr>
                <w:rFonts w:ascii="Times New Roman" w:eastAsia="Times New Roman" w:hAnsi="Times New Roman" w:cs="Times New Roman"/>
                <w:color w:val="3E3E3E"/>
                <w:sz w:val="20"/>
                <w:szCs w:val="20"/>
              </w:rPr>
              <w:t>mediclaim</w:t>
            </w:r>
            <w:proofErr w:type="spellEnd"/>
            <w:r w:rsidRPr="005F1D2A">
              <w:rPr>
                <w:rFonts w:ascii="Times New Roman" w:eastAsia="Times New Roman" w:hAnsi="Times New Roman" w:cs="Times New Roman"/>
                <w:color w:val="3E3E3E"/>
                <w:sz w:val="20"/>
                <w:szCs w:val="20"/>
              </w:rPr>
              <w:t xml:space="preserve"> insurance and tuition fees.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Amounts received during the term of the insurance contract under cash back insurance </w:t>
            </w:r>
            <w:r w:rsidRPr="005F1D2A">
              <w:rPr>
                <w:rFonts w:ascii="Times New Roman" w:eastAsia="Times New Roman" w:hAnsi="Times New Roman" w:cs="Times New Roman"/>
                <w:color w:val="3E3E3E"/>
                <w:sz w:val="20"/>
                <w:szCs w:val="20"/>
              </w:rPr>
              <w:lastRenderedPageBreak/>
              <w:t>policies would become taxable.</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Threshold of 5% of sum, assured seems to be too low- may affect even genuine policies.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grandfathering provisions for presently issued policies.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5% distribution tax on equity linked insurance schemes would lower the effective yield of such instruments.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Medical premium</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Premia</w:t>
            </w:r>
            <w:proofErr w:type="spellEnd"/>
            <w:r w:rsidRPr="005F1D2A">
              <w:rPr>
                <w:rFonts w:ascii="Times New Roman" w:eastAsia="Times New Roman" w:hAnsi="Times New Roman" w:cs="Times New Roman"/>
                <w:color w:val="3E3E3E"/>
                <w:sz w:val="20"/>
                <w:szCs w:val="20"/>
              </w:rPr>
              <w:t xml:space="preserve"> paid for self/ spouse/ children are entitled for deduction of `15,000 and additional deduction of ` 15,000 (`20,000 in case of senior citizens) for parents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proofErr w:type="spellStart"/>
            <w:r w:rsidRPr="005F1D2A">
              <w:rPr>
                <w:rFonts w:ascii="Times New Roman" w:eastAsia="Times New Roman" w:hAnsi="Times New Roman" w:cs="Times New Roman"/>
                <w:color w:val="3E3E3E"/>
                <w:sz w:val="20"/>
                <w:szCs w:val="20"/>
              </w:rPr>
              <w:t>Premia</w:t>
            </w:r>
            <w:proofErr w:type="spellEnd"/>
            <w:r w:rsidRPr="005F1D2A">
              <w:rPr>
                <w:rFonts w:ascii="Times New Roman" w:eastAsia="Times New Roman" w:hAnsi="Times New Roman" w:cs="Times New Roman"/>
                <w:color w:val="3E3E3E"/>
                <w:sz w:val="20"/>
                <w:szCs w:val="20"/>
              </w:rPr>
              <w:t xml:space="preserve"> paid for self/ spouse/ children/ dependent parents eligible for overall additional deduction limit of ` 50,000</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Overall additional deduction limit although increased, is merged with life insurance and tuition fees.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Parents need to be dependent, if premium is to qualify as a deduction.</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80C investment avenues considerably reduced</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Such payments were eligible for ` 100,000 deduction limit</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deductions for avenues such as mutual fund investments (ELSS), housing loan repayment (principal), fixed deposit etc.</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These avenues will no longer be eligible for deduction</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ix</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Aspects concerning special situations/incomes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Special Economic Zone (SEZ) units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sunset clause under existing laws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Unit set up in SEZ to get deduction from profits if set up before March 31, 2014</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Adverse impact, i.e. no exemption from 1-4-2014.</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SEZ developers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Profits are not subject to tax</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Existing developers engaged in operations before April 1, 2012 shall be eligible to claim profit based tax holidays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Adverse after 31-3-2012. No profit tax holiday after this date.</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Tax losses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To be carried forward for maximum 8 years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Unlimited carry forward of losses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New proposal would have adverse impact on working of undertakings </w:t>
            </w:r>
            <w:r w:rsidRPr="005F1D2A">
              <w:rPr>
                <w:rFonts w:ascii="Times New Roman" w:eastAsia="Times New Roman" w:hAnsi="Times New Roman" w:cs="Times New Roman"/>
                <w:color w:val="3E3E3E"/>
                <w:sz w:val="20"/>
                <w:szCs w:val="20"/>
              </w:rPr>
              <w:lastRenderedPageBreak/>
              <w:t>affecting their efficiency.</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Monetary limits regarding tax audit</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Existing limits:</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For income from profession, ` 15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and</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For income from business,` 60 </w:t>
            </w:r>
            <w:proofErr w:type="spellStart"/>
            <w:r w:rsidRPr="005F1D2A">
              <w:rPr>
                <w:rFonts w:ascii="Times New Roman" w:eastAsia="Times New Roman" w:hAnsi="Times New Roman" w:cs="Times New Roman"/>
                <w:color w:val="3E3E3E"/>
                <w:sz w:val="20"/>
                <w:szCs w:val="20"/>
              </w:rPr>
              <w:t>lakhs</w:t>
            </w:r>
            <w:proofErr w:type="spellEnd"/>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Tax audits limits to be enhanced:</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For income from profession, ` 25 </w:t>
            </w:r>
            <w:proofErr w:type="spellStart"/>
            <w:r w:rsidRPr="005F1D2A">
              <w:rPr>
                <w:rFonts w:ascii="Times New Roman" w:eastAsia="Times New Roman" w:hAnsi="Times New Roman" w:cs="Times New Roman"/>
                <w:color w:val="3E3E3E"/>
                <w:sz w:val="20"/>
                <w:szCs w:val="20"/>
              </w:rPr>
              <w:t>lakh</w:t>
            </w:r>
            <w:proofErr w:type="spellEnd"/>
            <w:r w:rsidRPr="005F1D2A">
              <w:rPr>
                <w:rFonts w:ascii="Times New Roman" w:eastAsia="Times New Roman" w:hAnsi="Times New Roman" w:cs="Times New Roman"/>
                <w:color w:val="3E3E3E"/>
                <w:sz w:val="20"/>
                <w:szCs w:val="20"/>
              </w:rPr>
              <w:t>; and</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For income from business, ` 1 cr.</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It will give relief to small and middle income group taxpayers. The present limits prescribed in 1984 have become totally unrealistic</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w:t>
            </w:r>
            <w:r w:rsidRPr="005F1D2A">
              <w:rPr>
                <w:rFonts w:ascii="Times New Roman" w:eastAsia="Times New Roman" w:hAnsi="Times New Roman" w:cs="Times New Roman"/>
                <w:i/>
                <w:iCs/>
                <w:color w:val="3E3E3E"/>
                <w:sz w:val="20"/>
                <w:szCs w:val="20"/>
              </w:rPr>
              <w:t>x</w:t>
            </w:r>
            <w:r w:rsidRPr="005F1D2A">
              <w:rPr>
                <w:rFonts w:ascii="Times New Roman" w:eastAsia="Times New Roman" w:hAnsi="Times New Roman" w:cs="Times New Roman"/>
                <w:color w:val="3E3E3E"/>
                <w:sz w:val="20"/>
                <w:szCs w:val="20"/>
              </w:rPr>
              <w:t>)</w:t>
            </w:r>
          </w:p>
        </w:tc>
        <w:tc>
          <w:tcPr>
            <w:tcW w:w="836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International taxation</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General Anti Avoidance Rules (GAAR)</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such provisions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Empower tax authorities to declare an arrangement impermissible under certain conditions.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These can lead to harassment and hardship for taxpayers.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Treaty override proposal</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Treaty or the Act, whichever is more beneficial, to prevail</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Treaty or the Act, whichever is more beneficial, is to prevail subject to some caveats.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Can impact foreign business dealings adversely</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Branch profit tax</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such provisions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Additional branch profit tax @15% on all foreign companies having any form of PE in India.</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This can have dampening effect on foreign trade transactions and volumes</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Residential status of foreign companies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Resident in India only if controlled and managed wholly in India</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In DTC-I, rules were broadened. A company was deemed to be resident in India even if a part of management was in India. In DTC-II Rules relaxed –Focus shifted to place of effective management.</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May create difficulties in implementation as </w:t>
            </w:r>
            <w:proofErr w:type="spellStart"/>
            <w:r w:rsidRPr="005F1D2A">
              <w:rPr>
                <w:rFonts w:ascii="Times New Roman" w:eastAsia="Times New Roman" w:hAnsi="Times New Roman" w:cs="Times New Roman"/>
                <w:color w:val="3E3E3E"/>
                <w:sz w:val="20"/>
                <w:szCs w:val="20"/>
              </w:rPr>
              <w:t>their</w:t>
            </w:r>
            <w:proofErr w:type="spellEnd"/>
            <w:r w:rsidRPr="005F1D2A">
              <w:rPr>
                <w:rFonts w:ascii="Times New Roman" w:eastAsia="Times New Roman" w:hAnsi="Times New Roman" w:cs="Times New Roman"/>
                <w:color w:val="3E3E3E"/>
                <w:sz w:val="20"/>
                <w:szCs w:val="20"/>
              </w:rPr>
              <w:t xml:space="preserve"> could be difference of opinion in regard to where is placed effective management</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Indirect transfer of capital asset</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specific provisions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Under DTC-I, income from indirect transfer of capital asset (situated in India) specifically covered).</w:t>
            </w:r>
          </w:p>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Provision retained with relaxation – transfer of shares of a foreign company taxable in India; if FMV of assets in India exceeds 50% of FMV of total assets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Being a new provision, its impact will have to be watched</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Royalties and Fees for Technical services</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Currently, royalty and FTS are taxable @ 10% on gross income for foreign companies</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Royalty and FTS proposed to be taxed @ 20% on gross income for foreign companies</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 xml:space="preserve">Rate of tax on </w:t>
            </w:r>
            <w:proofErr w:type="gramStart"/>
            <w:r w:rsidRPr="005F1D2A">
              <w:rPr>
                <w:rFonts w:ascii="Times New Roman" w:eastAsia="Times New Roman" w:hAnsi="Times New Roman" w:cs="Times New Roman"/>
                <w:color w:val="3E3E3E"/>
                <w:sz w:val="20"/>
                <w:szCs w:val="20"/>
              </w:rPr>
              <w:t>these income</w:t>
            </w:r>
            <w:proofErr w:type="gramEnd"/>
            <w:r w:rsidRPr="005F1D2A">
              <w:rPr>
                <w:rFonts w:ascii="Times New Roman" w:eastAsia="Times New Roman" w:hAnsi="Times New Roman" w:cs="Times New Roman"/>
                <w:color w:val="3E3E3E"/>
                <w:sz w:val="20"/>
                <w:szCs w:val="20"/>
              </w:rPr>
              <w:t xml:space="preserve"> is proposed to be doubled. Can adversely affect import of technology in the country.</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Controlled foreign companies (CFC)</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There are no rules concerning CFCs in the current legislation.</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CFC provisions have been introduced to tax passive income earned by a foreign company (controlled directly or indirectly by a resident in India)</w:t>
            </w:r>
          </w:p>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Under proposed CFC rules, even income of such foreign companies not distributed to shareholders would be deemed to be distributed and consequently taxable in India in the hands of resident shareholders as dividend received from the foreign company.</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 proposal can affect outbound investments. There is no provision for getting credit for taxes paid abroad. This can result in double taxation.</w:t>
            </w:r>
          </w:p>
        </w:tc>
      </w:tr>
      <w:tr w:rsidR="005F1D2A" w:rsidRPr="005F1D2A" w:rsidTr="005F1D2A">
        <w:trPr>
          <w:jc w:val="center"/>
        </w:trPr>
        <w:tc>
          <w:tcPr>
            <w:tcW w:w="42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b/>
                <w:bCs/>
                <w:color w:val="3E3E3E"/>
                <w:sz w:val="20"/>
                <w:szCs w:val="20"/>
              </w:rPr>
              <w:t>Income from transfer outside India on shares of interest outside India.</w:t>
            </w:r>
          </w:p>
        </w:tc>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No such provision in the existing law</w:t>
            </w:r>
          </w:p>
        </w:tc>
        <w:tc>
          <w:tcPr>
            <w:tcW w:w="1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8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There is considerable litigation at present regarding the taxability of such interest in foreign countries. It started with Bombay High Court’s decision in the case of </w:t>
            </w:r>
            <w:r w:rsidRPr="005F1D2A">
              <w:rPr>
                <w:rFonts w:ascii="Times New Roman" w:eastAsia="Times New Roman" w:hAnsi="Times New Roman" w:cs="Times New Roman"/>
                <w:i/>
                <w:iCs/>
                <w:color w:val="3E3E3E"/>
                <w:sz w:val="20"/>
                <w:szCs w:val="20"/>
              </w:rPr>
              <w:t>Vodafone International Holding BV </w:t>
            </w:r>
            <w:proofErr w:type="spellStart"/>
            <w:r w:rsidRPr="005F1D2A">
              <w:rPr>
                <w:rFonts w:ascii="Times New Roman" w:eastAsia="Times New Roman" w:hAnsi="Times New Roman" w:cs="Times New Roman"/>
                <w:color w:val="3E3E3E"/>
                <w:sz w:val="20"/>
                <w:szCs w:val="20"/>
              </w:rPr>
              <w:t>v.</w:t>
            </w:r>
            <w:r w:rsidRPr="005F1D2A">
              <w:rPr>
                <w:rFonts w:ascii="Times New Roman" w:eastAsia="Times New Roman" w:hAnsi="Times New Roman" w:cs="Times New Roman"/>
                <w:i/>
                <w:iCs/>
                <w:color w:val="3E3E3E"/>
                <w:sz w:val="20"/>
                <w:szCs w:val="20"/>
              </w:rPr>
              <w:t>Union</w:t>
            </w:r>
            <w:proofErr w:type="spellEnd"/>
            <w:r w:rsidRPr="005F1D2A">
              <w:rPr>
                <w:rFonts w:ascii="Times New Roman" w:eastAsia="Times New Roman" w:hAnsi="Times New Roman" w:cs="Times New Roman"/>
                <w:i/>
                <w:iCs/>
                <w:color w:val="3E3E3E"/>
                <w:sz w:val="20"/>
                <w:szCs w:val="20"/>
              </w:rPr>
              <w:t xml:space="preserve"> of India</w:t>
            </w:r>
            <w:r w:rsidRPr="005F1D2A">
              <w:rPr>
                <w:rFonts w:ascii="Times New Roman" w:eastAsia="Times New Roman" w:hAnsi="Times New Roman" w:cs="Times New Roman"/>
                <w:color w:val="3E3E3E"/>
                <w:sz w:val="20"/>
                <w:szCs w:val="20"/>
              </w:rPr>
              <w:t>[2008] 175 Taxman 399. The practice is affecting Indian taxation through indirect transfer relating to Indian business. The amendment is intended to ensure clarity.</w:t>
            </w:r>
          </w:p>
        </w:tc>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1D2A" w:rsidRPr="005F1D2A" w:rsidRDefault="005F1D2A" w:rsidP="005F1D2A">
            <w:pPr>
              <w:spacing w:after="0" w:line="240" w:lineRule="atLeast"/>
              <w:jc w:val="both"/>
              <w:rPr>
                <w:rFonts w:ascii="Arial" w:eastAsia="Times New Roman" w:hAnsi="Arial" w:cs="Arial"/>
                <w:color w:val="282828"/>
                <w:sz w:val="24"/>
                <w:szCs w:val="24"/>
              </w:rPr>
            </w:pPr>
            <w:r w:rsidRPr="005F1D2A">
              <w:rPr>
                <w:rFonts w:ascii="Times New Roman" w:eastAsia="Times New Roman" w:hAnsi="Times New Roman" w:cs="Times New Roman"/>
                <w:color w:val="3E3E3E"/>
                <w:sz w:val="20"/>
                <w:szCs w:val="20"/>
              </w:rPr>
              <w:t>This will check cross-border transactions involving transfer of shares or interest in foreign company taxable in India if at any time preceding 12 months, fair value of assets in India owned directly or indirectly represent at least 50% of fair value of all assets owned by foreign company</w:t>
            </w:r>
          </w:p>
        </w:tc>
      </w:tr>
    </w:tbl>
    <w:p w:rsidR="005F1D2A" w:rsidRPr="005F1D2A" w:rsidRDefault="005F1D2A" w:rsidP="005F1D2A">
      <w:pPr>
        <w:spacing w:after="0" w:line="240" w:lineRule="auto"/>
        <w:rPr>
          <w:rFonts w:ascii="Arial" w:eastAsia="Times New Roman" w:hAnsi="Arial" w:cs="Arial"/>
          <w:color w:val="000000"/>
          <w:sz w:val="24"/>
          <w:szCs w:val="24"/>
        </w:rPr>
      </w:pPr>
      <w:r w:rsidRPr="005F1D2A">
        <w:rPr>
          <w:rFonts w:ascii="Arial" w:eastAsia="Times New Roman" w:hAnsi="Arial" w:cs="Arial"/>
          <w:color w:val="000000"/>
          <w:sz w:val="24"/>
          <w:szCs w:val="24"/>
        </w:rPr>
        <w:br/>
      </w:r>
    </w:p>
    <w:sectPr w:rsidR="005F1D2A" w:rsidRPr="005F1D2A" w:rsidSect="006027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1D2A"/>
    <w:rsid w:val="005F1D2A"/>
    <w:rsid w:val="006027D6"/>
    <w:rsid w:val="00B42ED4"/>
    <w:rsid w:val="00BB0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1D2A"/>
    <w:rPr>
      <w:color w:val="0033FF"/>
      <w:u w:val="single"/>
    </w:rPr>
  </w:style>
  <w:style w:type="character" w:customStyle="1" w:styleId="apple-style-span">
    <w:name w:val="apple-style-span"/>
    <w:basedOn w:val="DefaultParagraphFont"/>
    <w:rsid w:val="005F1D2A"/>
  </w:style>
  <w:style w:type="character" w:customStyle="1" w:styleId="ilad1">
    <w:name w:val="il_ad1"/>
    <w:basedOn w:val="DefaultParagraphFont"/>
    <w:rsid w:val="005F1D2A"/>
    <w:rPr>
      <w:vanish w:val="0"/>
      <w:webHidden w:val="0"/>
      <w:color w:val="0000FF"/>
      <w:u w:val="single"/>
      <w:specVanish w:val="0"/>
    </w:rPr>
  </w:style>
  <w:style w:type="character" w:customStyle="1" w:styleId="ilad2">
    <w:name w:val="il_ad2"/>
    <w:basedOn w:val="DefaultParagraphFont"/>
    <w:rsid w:val="005F1D2A"/>
    <w:rPr>
      <w:vanish w:val="0"/>
      <w:webHidden w:val="0"/>
      <w:color w:val="0000FF"/>
      <w:u w:val="single"/>
      <w:specVanish w:val="0"/>
    </w:rPr>
  </w:style>
  <w:style w:type="character" w:customStyle="1" w:styleId="ilad3">
    <w:name w:val="il_ad3"/>
    <w:basedOn w:val="DefaultParagraphFont"/>
    <w:rsid w:val="005F1D2A"/>
    <w:rPr>
      <w:vanish w:val="0"/>
      <w:webHidden w:val="0"/>
      <w:color w:val="0000FF"/>
      <w:u w:val="single"/>
      <w:specVanish w:val="0"/>
    </w:rPr>
  </w:style>
</w:styles>
</file>

<file path=word/webSettings.xml><?xml version="1.0" encoding="utf-8"?>
<w:webSettings xmlns:r="http://schemas.openxmlformats.org/officeDocument/2006/relationships" xmlns:w="http://schemas.openxmlformats.org/wordprocessingml/2006/main">
  <w:divs>
    <w:div w:id="1982611407">
      <w:bodyDiv w:val="1"/>
      <w:marLeft w:val="0"/>
      <w:marRight w:val="0"/>
      <w:marTop w:val="0"/>
      <w:marBottom w:val="0"/>
      <w:divBdr>
        <w:top w:val="none" w:sz="0" w:space="0" w:color="auto"/>
        <w:left w:val="none" w:sz="0" w:space="0" w:color="auto"/>
        <w:bottom w:val="none" w:sz="0" w:space="0" w:color="auto"/>
        <w:right w:val="none" w:sz="0" w:space="0" w:color="auto"/>
      </w:divBdr>
      <w:divsChild>
        <w:div w:id="2007855242">
          <w:marLeft w:val="0"/>
          <w:marRight w:val="0"/>
          <w:marTop w:val="0"/>
          <w:marBottom w:val="0"/>
          <w:divBdr>
            <w:top w:val="none" w:sz="0" w:space="0" w:color="auto"/>
            <w:left w:val="none" w:sz="0" w:space="0" w:color="auto"/>
            <w:bottom w:val="none" w:sz="0" w:space="0" w:color="auto"/>
            <w:right w:val="none" w:sz="0" w:space="0" w:color="auto"/>
          </w:divBdr>
          <w:divsChild>
            <w:div w:id="889999148">
              <w:marLeft w:val="0"/>
              <w:marRight w:val="0"/>
              <w:marTop w:val="0"/>
              <w:marBottom w:val="120"/>
              <w:divBdr>
                <w:top w:val="none" w:sz="0" w:space="0" w:color="auto"/>
                <w:left w:val="none" w:sz="0" w:space="0" w:color="auto"/>
                <w:bottom w:val="none" w:sz="0" w:space="0" w:color="auto"/>
                <w:right w:val="none" w:sz="0" w:space="0" w:color="auto"/>
              </w:divBdr>
            </w:div>
            <w:div w:id="391777906">
              <w:marLeft w:val="0"/>
              <w:marRight w:val="0"/>
              <w:marTop w:val="0"/>
              <w:marBottom w:val="80"/>
              <w:divBdr>
                <w:top w:val="none" w:sz="0" w:space="0" w:color="auto"/>
                <w:left w:val="none" w:sz="0" w:space="0" w:color="auto"/>
                <w:bottom w:val="none" w:sz="0" w:space="0" w:color="auto"/>
                <w:right w:val="none" w:sz="0" w:space="0" w:color="auto"/>
              </w:divBdr>
            </w:div>
            <w:div w:id="693582386">
              <w:marLeft w:val="0"/>
              <w:marRight w:val="0"/>
              <w:marTop w:val="0"/>
              <w:marBottom w:val="80"/>
              <w:divBdr>
                <w:top w:val="none" w:sz="0" w:space="0" w:color="auto"/>
                <w:left w:val="none" w:sz="0" w:space="0" w:color="auto"/>
                <w:bottom w:val="none" w:sz="0" w:space="0" w:color="auto"/>
                <w:right w:val="none" w:sz="0" w:space="0" w:color="auto"/>
              </w:divBdr>
            </w:div>
            <w:div w:id="692920647">
              <w:marLeft w:val="0"/>
              <w:marRight w:val="0"/>
              <w:marTop w:val="0"/>
              <w:marBottom w:val="80"/>
              <w:divBdr>
                <w:top w:val="none" w:sz="0" w:space="0" w:color="auto"/>
                <w:left w:val="none" w:sz="0" w:space="0" w:color="auto"/>
                <w:bottom w:val="none" w:sz="0" w:space="0" w:color="auto"/>
                <w:right w:val="none" w:sz="0" w:space="0" w:color="auto"/>
              </w:divBdr>
            </w:div>
            <w:div w:id="717238888">
              <w:marLeft w:val="0"/>
              <w:marRight w:val="0"/>
              <w:marTop w:val="0"/>
              <w:marBottom w:val="120"/>
              <w:divBdr>
                <w:top w:val="none" w:sz="0" w:space="0" w:color="auto"/>
                <w:left w:val="none" w:sz="0" w:space="0" w:color="auto"/>
                <w:bottom w:val="none" w:sz="0" w:space="0" w:color="auto"/>
                <w:right w:val="none" w:sz="0" w:space="0" w:color="auto"/>
              </w:divBdr>
            </w:div>
            <w:div w:id="1437825521">
              <w:marLeft w:val="0"/>
              <w:marRight w:val="0"/>
              <w:marTop w:val="0"/>
              <w:marBottom w:val="120"/>
              <w:divBdr>
                <w:top w:val="none" w:sz="0" w:space="0" w:color="auto"/>
                <w:left w:val="none" w:sz="0" w:space="0" w:color="auto"/>
                <w:bottom w:val="none" w:sz="0" w:space="0" w:color="auto"/>
                <w:right w:val="none" w:sz="0" w:space="0" w:color="auto"/>
              </w:divBdr>
            </w:div>
            <w:div w:id="1017464317">
              <w:marLeft w:val="0"/>
              <w:marRight w:val="0"/>
              <w:marTop w:val="0"/>
              <w:marBottom w:val="80"/>
              <w:divBdr>
                <w:top w:val="none" w:sz="0" w:space="0" w:color="auto"/>
                <w:left w:val="none" w:sz="0" w:space="0" w:color="auto"/>
                <w:bottom w:val="none" w:sz="0" w:space="0" w:color="auto"/>
                <w:right w:val="none" w:sz="0" w:space="0" w:color="auto"/>
              </w:divBdr>
            </w:div>
            <w:div w:id="137262200">
              <w:marLeft w:val="0"/>
              <w:marRight w:val="0"/>
              <w:marTop w:val="0"/>
              <w:marBottom w:val="80"/>
              <w:divBdr>
                <w:top w:val="none" w:sz="0" w:space="0" w:color="auto"/>
                <w:left w:val="none" w:sz="0" w:space="0" w:color="auto"/>
                <w:bottom w:val="none" w:sz="0" w:space="0" w:color="auto"/>
                <w:right w:val="none" w:sz="0" w:space="0" w:color="auto"/>
              </w:divBdr>
            </w:div>
            <w:div w:id="969476969">
              <w:marLeft w:val="0"/>
              <w:marRight w:val="0"/>
              <w:marTop w:val="0"/>
              <w:marBottom w:val="80"/>
              <w:divBdr>
                <w:top w:val="none" w:sz="0" w:space="0" w:color="auto"/>
                <w:left w:val="none" w:sz="0" w:space="0" w:color="auto"/>
                <w:bottom w:val="none" w:sz="0" w:space="0" w:color="auto"/>
                <w:right w:val="none" w:sz="0" w:space="0" w:color="auto"/>
              </w:divBdr>
            </w:div>
            <w:div w:id="1080445534">
              <w:marLeft w:val="0"/>
              <w:marRight w:val="0"/>
              <w:marTop w:val="0"/>
              <w:marBottom w:val="120"/>
              <w:divBdr>
                <w:top w:val="none" w:sz="0" w:space="0" w:color="auto"/>
                <w:left w:val="none" w:sz="0" w:space="0" w:color="auto"/>
                <w:bottom w:val="none" w:sz="0" w:space="0" w:color="auto"/>
                <w:right w:val="none" w:sz="0" w:space="0" w:color="auto"/>
              </w:divBdr>
            </w:div>
            <w:div w:id="367338734">
              <w:marLeft w:val="0"/>
              <w:marRight w:val="0"/>
              <w:marTop w:val="0"/>
              <w:marBottom w:val="120"/>
              <w:divBdr>
                <w:top w:val="none" w:sz="0" w:space="0" w:color="auto"/>
                <w:left w:val="none" w:sz="0" w:space="0" w:color="auto"/>
                <w:bottom w:val="none" w:sz="0" w:space="0" w:color="auto"/>
                <w:right w:val="none" w:sz="0" w:space="0" w:color="auto"/>
              </w:divBdr>
            </w:div>
            <w:div w:id="2018724238">
              <w:marLeft w:val="0"/>
              <w:marRight w:val="0"/>
              <w:marTop w:val="0"/>
              <w:marBottom w:val="80"/>
              <w:divBdr>
                <w:top w:val="none" w:sz="0" w:space="0" w:color="auto"/>
                <w:left w:val="none" w:sz="0" w:space="0" w:color="auto"/>
                <w:bottom w:val="none" w:sz="0" w:space="0" w:color="auto"/>
                <w:right w:val="none" w:sz="0" w:space="0" w:color="auto"/>
              </w:divBdr>
            </w:div>
            <w:div w:id="1963269288">
              <w:marLeft w:val="0"/>
              <w:marRight w:val="0"/>
              <w:marTop w:val="0"/>
              <w:marBottom w:val="80"/>
              <w:divBdr>
                <w:top w:val="none" w:sz="0" w:space="0" w:color="auto"/>
                <w:left w:val="none" w:sz="0" w:space="0" w:color="auto"/>
                <w:bottom w:val="none" w:sz="0" w:space="0" w:color="auto"/>
                <w:right w:val="none" w:sz="0" w:space="0" w:color="auto"/>
              </w:divBdr>
            </w:div>
            <w:div w:id="1585870422">
              <w:marLeft w:val="0"/>
              <w:marRight w:val="0"/>
              <w:marTop w:val="0"/>
              <w:marBottom w:val="80"/>
              <w:divBdr>
                <w:top w:val="none" w:sz="0" w:space="0" w:color="auto"/>
                <w:left w:val="none" w:sz="0" w:space="0" w:color="auto"/>
                <w:bottom w:val="none" w:sz="0" w:space="0" w:color="auto"/>
                <w:right w:val="none" w:sz="0" w:space="0" w:color="auto"/>
              </w:divBdr>
            </w:div>
            <w:div w:id="1814829769">
              <w:marLeft w:val="0"/>
              <w:marRight w:val="0"/>
              <w:marTop w:val="0"/>
              <w:marBottom w:val="80"/>
              <w:divBdr>
                <w:top w:val="none" w:sz="0" w:space="0" w:color="auto"/>
                <w:left w:val="none" w:sz="0" w:space="0" w:color="auto"/>
                <w:bottom w:val="none" w:sz="0" w:space="0" w:color="auto"/>
                <w:right w:val="none" w:sz="0" w:space="0" w:color="auto"/>
              </w:divBdr>
            </w:div>
            <w:div w:id="561674988">
              <w:marLeft w:val="0"/>
              <w:marRight w:val="0"/>
              <w:marTop w:val="0"/>
              <w:marBottom w:val="80"/>
              <w:divBdr>
                <w:top w:val="none" w:sz="0" w:space="0" w:color="auto"/>
                <w:left w:val="none" w:sz="0" w:space="0" w:color="auto"/>
                <w:bottom w:val="none" w:sz="0" w:space="0" w:color="auto"/>
                <w:right w:val="none" w:sz="0" w:space="0" w:color="auto"/>
              </w:divBdr>
            </w:div>
            <w:div w:id="1619944924">
              <w:marLeft w:val="0"/>
              <w:marRight w:val="0"/>
              <w:marTop w:val="0"/>
              <w:marBottom w:val="80"/>
              <w:divBdr>
                <w:top w:val="none" w:sz="0" w:space="0" w:color="auto"/>
                <w:left w:val="none" w:sz="0" w:space="0" w:color="auto"/>
                <w:bottom w:val="none" w:sz="0" w:space="0" w:color="auto"/>
                <w:right w:val="none" w:sz="0" w:space="0" w:color="auto"/>
              </w:divBdr>
            </w:div>
            <w:div w:id="1176766868">
              <w:marLeft w:val="0"/>
              <w:marRight w:val="0"/>
              <w:marTop w:val="0"/>
              <w:marBottom w:val="80"/>
              <w:divBdr>
                <w:top w:val="none" w:sz="0" w:space="0" w:color="auto"/>
                <w:left w:val="none" w:sz="0" w:space="0" w:color="auto"/>
                <w:bottom w:val="none" w:sz="0" w:space="0" w:color="auto"/>
                <w:right w:val="none" w:sz="0" w:space="0" w:color="auto"/>
              </w:divBdr>
            </w:div>
            <w:div w:id="2106068181">
              <w:marLeft w:val="0"/>
              <w:marRight w:val="0"/>
              <w:marTop w:val="0"/>
              <w:marBottom w:val="80"/>
              <w:divBdr>
                <w:top w:val="none" w:sz="0" w:space="0" w:color="auto"/>
                <w:left w:val="none" w:sz="0" w:space="0" w:color="auto"/>
                <w:bottom w:val="none" w:sz="0" w:space="0" w:color="auto"/>
                <w:right w:val="none" w:sz="0" w:space="0" w:color="auto"/>
              </w:divBdr>
            </w:div>
            <w:div w:id="1259362328">
              <w:marLeft w:val="0"/>
              <w:marRight w:val="0"/>
              <w:marTop w:val="0"/>
              <w:marBottom w:val="80"/>
              <w:divBdr>
                <w:top w:val="none" w:sz="0" w:space="0" w:color="auto"/>
                <w:left w:val="none" w:sz="0" w:space="0" w:color="auto"/>
                <w:bottom w:val="none" w:sz="0" w:space="0" w:color="auto"/>
                <w:right w:val="none" w:sz="0" w:space="0" w:color="auto"/>
              </w:divBdr>
            </w:div>
            <w:div w:id="687173075">
              <w:marLeft w:val="0"/>
              <w:marRight w:val="0"/>
              <w:marTop w:val="0"/>
              <w:marBottom w:val="80"/>
              <w:divBdr>
                <w:top w:val="none" w:sz="0" w:space="0" w:color="auto"/>
                <w:left w:val="none" w:sz="0" w:space="0" w:color="auto"/>
                <w:bottom w:val="none" w:sz="0" w:space="0" w:color="auto"/>
                <w:right w:val="none" w:sz="0" w:space="0" w:color="auto"/>
              </w:divBdr>
            </w:div>
            <w:div w:id="1831554398">
              <w:marLeft w:val="0"/>
              <w:marRight w:val="0"/>
              <w:marTop w:val="0"/>
              <w:marBottom w:val="80"/>
              <w:divBdr>
                <w:top w:val="none" w:sz="0" w:space="0" w:color="auto"/>
                <w:left w:val="none" w:sz="0" w:space="0" w:color="auto"/>
                <w:bottom w:val="none" w:sz="0" w:space="0" w:color="auto"/>
                <w:right w:val="none" w:sz="0" w:space="0" w:color="auto"/>
              </w:divBdr>
            </w:div>
            <w:div w:id="842402368">
              <w:marLeft w:val="0"/>
              <w:marRight w:val="0"/>
              <w:marTop w:val="0"/>
              <w:marBottom w:val="80"/>
              <w:divBdr>
                <w:top w:val="none" w:sz="0" w:space="0" w:color="auto"/>
                <w:left w:val="none" w:sz="0" w:space="0" w:color="auto"/>
                <w:bottom w:val="none" w:sz="0" w:space="0" w:color="auto"/>
                <w:right w:val="none" w:sz="0" w:space="0" w:color="auto"/>
              </w:divBdr>
            </w:div>
            <w:div w:id="1121924377">
              <w:marLeft w:val="0"/>
              <w:marRight w:val="0"/>
              <w:marTop w:val="0"/>
              <w:marBottom w:val="80"/>
              <w:divBdr>
                <w:top w:val="none" w:sz="0" w:space="0" w:color="auto"/>
                <w:left w:val="none" w:sz="0" w:space="0" w:color="auto"/>
                <w:bottom w:val="none" w:sz="0" w:space="0" w:color="auto"/>
                <w:right w:val="none" w:sz="0" w:space="0" w:color="auto"/>
              </w:divBdr>
            </w:div>
            <w:div w:id="691953233">
              <w:marLeft w:val="0"/>
              <w:marRight w:val="0"/>
              <w:marTop w:val="0"/>
              <w:marBottom w:val="80"/>
              <w:divBdr>
                <w:top w:val="none" w:sz="0" w:space="0" w:color="auto"/>
                <w:left w:val="none" w:sz="0" w:space="0" w:color="auto"/>
                <w:bottom w:val="none" w:sz="0" w:space="0" w:color="auto"/>
                <w:right w:val="none" w:sz="0" w:space="0" w:color="auto"/>
              </w:divBdr>
            </w:div>
            <w:div w:id="1640308232">
              <w:marLeft w:val="0"/>
              <w:marRight w:val="0"/>
              <w:marTop w:val="0"/>
              <w:marBottom w:val="80"/>
              <w:divBdr>
                <w:top w:val="none" w:sz="0" w:space="0" w:color="auto"/>
                <w:left w:val="none" w:sz="0" w:space="0" w:color="auto"/>
                <w:bottom w:val="none" w:sz="0" w:space="0" w:color="auto"/>
                <w:right w:val="none" w:sz="0" w:space="0" w:color="auto"/>
              </w:divBdr>
            </w:div>
            <w:div w:id="922909993">
              <w:marLeft w:val="0"/>
              <w:marRight w:val="0"/>
              <w:marTop w:val="0"/>
              <w:marBottom w:val="80"/>
              <w:divBdr>
                <w:top w:val="none" w:sz="0" w:space="0" w:color="auto"/>
                <w:left w:val="none" w:sz="0" w:space="0" w:color="auto"/>
                <w:bottom w:val="none" w:sz="0" w:space="0" w:color="auto"/>
                <w:right w:val="none" w:sz="0" w:space="0" w:color="auto"/>
              </w:divBdr>
            </w:div>
            <w:div w:id="959458564">
              <w:marLeft w:val="0"/>
              <w:marRight w:val="0"/>
              <w:marTop w:val="0"/>
              <w:marBottom w:val="80"/>
              <w:divBdr>
                <w:top w:val="none" w:sz="0" w:space="0" w:color="auto"/>
                <w:left w:val="none" w:sz="0" w:space="0" w:color="auto"/>
                <w:bottom w:val="none" w:sz="0" w:space="0" w:color="auto"/>
                <w:right w:val="none" w:sz="0" w:space="0" w:color="auto"/>
              </w:divBdr>
            </w:div>
            <w:div w:id="43990865">
              <w:marLeft w:val="0"/>
              <w:marRight w:val="0"/>
              <w:marTop w:val="0"/>
              <w:marBottom w:val="80"/>
              <w:divBdr>
                <w:top w:val="none" w:sz="0" w:space="0" w:color="auto"/>
                <w:left w:val="none" w:sz="0" w:space="0" w:color="auto"/>
                <w:bottom w:val="none" w:sz="0" w:space="0" w:color="auto"/>
                <w:right w:val="none" w:sz="0" w:space="0" w:color="auto"/>
              </w:divBdr>
            </w:div>
            <w:div w:id="624894641">
              <w:marLeft w:val="0"/>
              <w:marRight w:val="0"/>
              <w:marTop w:val="0"/>
              <w:marBottom w:val="80"/>
              <w:divBdr>
                <w:top w:val="none" w:sz="0" w:space="0" w:color="auto"/>
                <w:left w:val="none" w:sz="0" w:space="0" w:color="auto"/>
                <w:bottom w:val="none" w:sz="0" w:space="0" w:color="auto"/>
                <w:right w:val="none" w:sz="0" w:space="0" w:color="auto"/>
              </w:divBdr>
            </w:div>
            <w:div w:id="2097551112">
              <w:marLeft w:val="0"/>
              <w:marRight w:val="0"/>
              <w:marTop w:val="0"/>
              <w:marBottom w:val="80"/>
              <w:divBdr>
                <w:top w:val="none" w:sz="0" w:space="0" w:color="auto"/>
                <w:left w:val="none" w:sz="0" w:space="0" w:color="auto"/>
                <w:bottom w:val="none" w:sz="0" w:space="0" w:color="auto"/>
                <w:right w:val="none" w:sz="0" w:space="0" w:color="auto"/>
              </w:divBdr>
            </w:div>
            <w:div w:id="282538459">
              <w:marLeft w:val="0"/>
              <w:marRight w:val="0"/>
              <w:marTop w:val="0"/>
              <w:marBottom w:val="80"/>
              <w:divBdr>
                <w:top w:val="none" w:sz="0" w:space="0" w:color="auto"/>
                <w:left w:val="none" w:sz="0" w:space="0" w:color="auto"/>
                <w:bottom w:val="none" w:sz="0" w:space="0" w:color="auto"/>
                <w:right w:val="none" w:sz="0" w:space="0" w:color="auto"/>
              </w:divBdr>
            </w:div>
            <w:div w:id="1125195889">
              <w:marLeft w:val="0"/>
              <w:marRight w:val="0"/>
              <w:marTop w:val="0"/>
              <w:marBottom w:val="80"/>
              <w:divBdr>
                <w:top w:val="none" w:sz="0" w:space="0" w:color="auto"/>
                <w:left w:val="none" w:sz="0" w:space="0" w:color="auto"/>
                <w:bottom w:val="none" w:sz="0" w:space="0" w:color="auto"/>
                <w:right w:val="none" w:sz="0" w:space="0" w:color="auto"/>
              </w:divBdr>
            </w:div>
            <w:div w:id="827863471">
              <w:marLeft w:val="0"/>
              <w:marRight w:val="0"/>
              <w:marTop w:val="0"/>
              <w:marBottom w:val="80"/>
              <w:divBdr>
                <w:top w:val="none" w:sz="0" w:space="0" w:color="auto"/>
                <w:left w:val="none" w:sz="0" w:space="0" w:color="auto"/>
                <w:bottom w:val="none" w:sz="0" w:space="0" w:color="auto"/>
                <w:right w:val="none" w:sz="0" w:space="0" w:color="auto"/>
              </w:divBdr>
            </w:div>
            <w:div w:id="540214894">
              <w:marLeft w:val="0"/>
              <w:marRight w:val="0"/>
              <w:marTop w:val="0"/>
              <w:marBottom w:val="80"/>
              <w:divBdr>
                <w:top w:val="none" w:sz="0" w:space="0" w:color="auto"/>
                <w:left w:val="none" w:sz="0" w:space="0" w:color="auto"/>
                <w:bottom w:val="none" w:sz="0" w:space="0" w:color="auto"/>
                <w:right w:val="none" w:sz="0" w:space="0" w:color="auto"/>
              </w:divBdr>
            </w:div>
            <w:div w:id="580716304">
              <w:marLeft w:val="0"/>
              <w:marRight w:val="0"/>
              <w:marTop w:val="0"/>
              <w:marBottom w:val="80"/>
              <w:divBdr>
                <w:top w:val="none" w:sz="0" w:space="0" w:color="auto"/>
                <w:left w:val="none" w:sz="0" w:space="0" w:color="auto"/>
                <w:bottom w:val="none" w:sz="0" w:space="0" w:color="auto"/>
                <w:right w:val="none" w:sz="0" w:space="0" w:color="auto"/>
              </w:divBdr>
            </w:div>
            <w:div w:id="1853376179">
              <w:marLeft w:val="0"/>
              <w:marRight w:val="0"/>
              <w:marTop w:val="0"/>
              <w:marBottom w:val="80"/>
              <w:divBdr>
                <w:top w:val="none" w:sz="0" w:space="0" w:color="auto"/>
                <w:left w:val="none" w:sz="0" w:space="0" w:color="auto"/>
                <w:bottom w:val="none" w:sz="0" w:space="0" w:color="auto"/>
                <w:right w:val="none" w:sz="0" w:space="0" w:color="auto"/>
              </w:divBdr>
            </w:div>
            <w:div w:id="1458335605">
              <w:marLeft w:val="0"/>
              <w:marRight w:val="0"/>
              <w:marTop w:val="0"/>
              <w:marBottom w:val="80"/>
              <w:divBdr>
                <w:top w:val="none" w:sz="0" w:space="0" w:color="auto"/>
                <w:left w:val="none" w:sz="0" w:space="0" w:color="auto"/>
                <w:bottom w:val="none" w:sz="0" w:space="0" w:color="auto"/>
                <w:right w:val="none" w:sz="0" w:space="0" w:color="auto"/>
              </w:divBdr>
            </w:div>
            <w:div w:id="1909801434">
              <w:marLeft w:val="0"/>
              <w:marRight w:val="0"/>
              <w:marTop w:val="0"/>
              <w:marBottom w:val="80"/>
              <w:divBdr>
                <w:top w:val="none" w:sz="0" w:space="0" w:color="auto"/>
                <w:left w:val="none" w:sz="0" w:space="0" w:color="auto"/>
                <w:bottom w:val="none" w:sz="0" w:space="0" w:color="auto"/>
                <w:right w:val="none" w:sz="0" w:space="0" w:color="auto"/>
              </w:divBdr>
            </w:div>
            <w:div w:id="1988632126">
              <w:marLeft w:val="0"/>
              <w:marRight w:val="0"/>
              <w:marTop w:val="0"/>
              <w:marBottom w:val="80"/>
              <w:divBdr>
                <w:top w:val="none" w:sz="0" w:space="0" w:color="auto"/>
                <w:left w:val="none" w:sz="0" w:space="0" w:color="auto"/>
                <w:bottom w:val="none" w:sz="0" w:space="0" w:color="auto"/>
                <w:right w:val="none" w:sz="0" w:space="0" w:color="auto"/>
              </w:divBdr>
            </w:div>
            <w:div w:id="993950701">
              <w:marLeft w:val="0"/>
              <w:marRight w:val="0"/>
              <w:marTop w:val="0"/>
              <w:marBottom w:val="80"/>
              <w:divBdr>
                <w:top w:val="none" w:sz="0" w:space="0" w:color="auto"/>
                <w:left w:val="none" w:sz="0" w:space="0" w:color="auto"/>
                <w:bottom w:val="none" w:sz="0" w:space="0" w:color="auto"/>
                <w:right w:val="none" w:sz="0" w:space="0" w:color="auto"/>
              </w:divBdr>
            </w:div>
            <w:div w:id="1458332549">
              <w:marLeft w:val="0"/>
              <w:marRight w:val="0"/>
              <w:marTop w:val="0"/>
              <w:marBottom w:val="80"/>
              <w:divBdr>
                <w:top w:val="none" w:sz="0" w:space="0" w:color="auto"/>
                <w:left w:val="none" w:sz="0" w:space="0" w:color="auto"/>
                <w:bottom w:val="none" w:sz="0" w:space="0" w:color="auto"/>
                <w:right w:val="none" w:sz="0" w:space="0" w:color="auto"/>
              </w:divBdr>
            </w:div>
            <w:div w:id="498498358">
              <w:marLeft w:val="0"/>
              <w:marRight w:val="0"/>
              <w:marTop w:val="0"/>
              <w:marBottom w:val="80"/>
              <w:divBdr>
                <w:top w:val="none" w:sz="0" w:space="0" w:color="auto"/>
                <w:left w:val="none" w:sz="0" w:space="0" w:color="auto"/>
                <w:bottom w:val="none" w:sz="0" w:space="0" w:color="auto"/>
                <w:right w:val="none" w:sz="0" w:space="0" w:color="auto"/>
              </w:divBdr>
            </w:div>
            <w:div w:id="1667049709">
              <w:marLeft w:val="0"/>
              <w:marRight w:val="0"/>
              <w:marTop w:val="0"/>
              <w:marBottom w:val="80"/>
              <w:divBdr>
                <w:top w:val="none" w:sz="0" w:space="0" w:color="auto"/>
                <w:left w:val="none" w:sz="0" w:space="0" w:color="auto"/>
                <w:bottom w:val="none" w:sz="0" w:space="0" w:color="auto"/>
                <w:right w:val="none" w:sz="0" w:space="0" w:color="auto"/>
              </w:divBdr>
            </w:div>
            <w:div w:id="269247042">
              <w:marLeft w:val="0"/>
              <w:marRight w:val="0"/>
              <w:marTop w:val="0"/>
              <w:marBottom w:val="80"/>
              <w:divBdr>
                <w:top w:val="none" w:sz="0" w:space="0" w:color="auto"/>
                <w:left w:val="none" w:sz="0" w:space="0" w:color="auto"/>
                <w:bottom w:val="none" w:sz="0" w:space="0" w:color="auto"/>
                <w:right w:val="none" w:sz="0" w:space="0" w:color="auto"/>
              </w:divBdr>
            </w:div>
            <w:div w:id="642778538">
              <w:marLeft w:val="0"/>
              <w:marRight w:val="0"/>
              <w:marTop w:val="0"/>
              <w:marBottom w:val="80"/>
              <w:divBdr>
                <w:top w:val="none" w:sz="0" w:space="0" w:color="auto"/>
                <w:left w:val="none" w:sz="0" w:space="0" w:color="auto"/>
                <w:bottom w:val="none" w:sz="0" w:space="0" w:color="auto"/>
                <w:right w:val="none" w:sz="0" w:space="0" w:color="auto"/>
              </w:divBdr>
            </w:div>
            <w:div w:id="1681227721">
              <w:marLeft w:val="0"/>
              <w:marRight w:val="0"/>
              <w:marTop w:val="0"/>
              <w:marBottom w:val="80"/>
              <w:divBdr>
                <w:top w:val="none" w:sz="0" w:space="0" w:color="auto"/>
                <w:left w:val="none" w:sz="0" w:space="0" w:color="auto"/>
                <w:bottom w:val="none" w:sz="0" w:space="0" w:color="auto"/>
                <w:right w:val="none" w:sz="0" w:space="0" w:color="auto"/>
              </w:divBdr>
            </w:div>
            <w:div w:id="1870028705">
              <w:marLeft w:val="0"/>
              <w:marRight w:val="0"/>
              <w:marTop w:val="0"/>
              <w:marBottom w:val="80"/>
              <w:divBdr>
                <w:top w:val="none" w:sz="0" w:space="0" w:color="auto"/>
                <w:left w:val="none" w:sz="0" w:space="0" w:color="auto"/>
                <w:bottom w:val="none" w:sz="0" w:space="0" w:color="auto"/>
                <w:right w:val="none" w:sz="0" w:space="0" w:color="auto"/>
              </w:divBdr>
            </w:div>
            <w:div w:id="1049568421">
              <w:marLeft w:val="0"/>
              <w:marRight w:val="0"/>
              <w:marTop w:val="0"/>
              <w:marBottom w:val="80"/>
              <w:divBdr>
                <w:top w:val="none" w:sz="0" w:space="0" w:color="auto"/>
                <w:left w:val="none" w:sz="0" w:space="0" w:color="auto"/>
                <w:bottom w:val="none" w:sz="0" w:space="0" w:color="auto"/>
                <w:right w:val="none" w:sz="0" w:space="0" w:color="auto"/>
              </w:divBdr>
            </w:div>
            <w:div w:id="1767267367">
              <w:marLeft w:val="0"/>
              <w:marRight w:val="0"/>
              <w:marTop w:val="0"/>
              <w:marBottom w:val="80"/>
              <w:divBdr>
                <w:top w:val="none" w:sz="0" w:space="0" w:color="auto"/>
                <w:left w:val="none" w:sz="0" w:space="0" w:color="auto"/>
                <w:bottom w:val="none" w:sz="0" w:space="0" w:color="auto"/>
                <w:right w:val="none" w:sz="0" w:space="0" w:color="auto"/>
              </w:divBdr>
            </w:div>
            <w:div w:id="1544100740">
              <w:marLeft w:val="0"/>
              <w:marRight w:val="0"/>
              <w:marTop w:val="0"/>
              <w:marBottom w:val="80"/>
              <w:divBdr>
                <w:top w:val="none" w:sz="0" w:space="0" w:color="auto"/>
                <w:left w:val="none" w:sz="0" w:space="0" w:color="auto"/>
                <w:bottom w:val="none" w:sz="0" w:space="0" w:color="auto"/>
                <w:right w:val="none" w:sz="0" w:space="0" w:color="auto"/>
              </w:divBdr>
            </w:div>
            <w:div w:id="926305082">
              <w:marLeft w:val="0"/>
              <w:marRight w:val="0"/>
              <w:marTop w:val="0"/>
              <w:marBottom w:val="80"/>
              <w:divBdr>
                <w:top w:val="none" w:sz="0" w:space="0" w:color="auto"/>
                <w:left w:val="none" w:sz="0" w:space="0" w:color="auto"/>
                <w:bottom w:val="none" w:sz="0" w:space="0" w:color="auto"/>
                <w:right w:val="none" w:sz="0" w:space="0" w:color="auto"/>
              </w:divBdr>
            </w:div>
            <w:div w:id="45835497">
              <w:marLeft w:val="0"/>
              <w:marRight w:val="0"/>
              <w:marTop w:val="0"/>
              <w:marBottom w:val="80"/>
              <w:divBdr>
                <w:top w:val="none" w:sz="0" w:space="0" w:color="auto"/>
                <w:left w:val="none" w:sz="0" w:space="0" w:color="auto"/>
                <w:bottom w:val="none" w:sz="0" w:space="0" w:color="auto"/>
                <w:right w:val="none" w:sz="0" w:space="0" w:color="auto"/>
              </w:divBdr>
            </w:div>
            <w:div w:id="1893615355">
              <w:marLeft w:val="0"/>
              <w:marRight w:val="0"/>
              <w:marTop w:val="0"/>
              <w:marBottom w:val="80"/>
              <w:divBdr>
                <w:top w:val="none" w:sz="0" w:space="0" w:color="auto"/>
                <w:left w:val="none" w:sz="0" w:space="0" w:color="auto"/>
                <w:bottom w:val="none" w:sz="0" w:space="0" w:color="auto"/>
                <w:right w:val="none" w:sz="0" w:space="0" w:color="auto"/>
              </w:divBdr>
            </w:div>
            <w:div w:id="874001093">
              <w:marLeft w:val="0"/>
              <w:marRight w:val="0"/>
              <w:marTop w:val="0"/>
              <w:marBottom w:val="80"/>
              <w:divBdr>
                <w:top w:val="none" w:sz="0" w:space="0" w:color="auto"/>
                <w:left w:val="none" w:sz="0" w:space="0" w:color="auto"/>
                <w:bottom w:val="none" w:sz="0" w:space="0" w:color="auto"/>
                <w:right w:val="none" w:sz="0" w:space="0" w:color="auto"/>
              </w:divBdr>
            </w:div>
            <w:div w:id="1294755643">
              <w:marLeft w:val="0"/>
              <w:marRight w:val="0"/>
              <w:marTop w:val="0"/>
              <w:marBottom w:val="80"/>
              <w:divBdr>
                <w:top w:val="none" w:sz="0" w:space="0" w:color="auto"/>
                <w:left w:val="none" w:sz="0" w:space="0" w:color="auto"/>
                <w:bottom w:val="none" w:sz="0" w:space="0" w:color="auto"/>
                <w:right w:val="none" w:sz="0" w:space="0" w:color="auto"/>
              </w:divBdr>
            </w:div>
            <w:div w:id="1824926696">
              <w:marLeft w:val="0"/>
              <w:marRight w:val="0"/>
              <w:marTop w:val="0"/>
              <w:marBottom w:val="80"/>
              <w:divBdr>
                <w:top w:val="none" w:sz="0" w:space="0" w:color="auto"/>
                <w:left w:val="none" w:sz="0" w:space="0" w:color="auto"/>
                <w:bottom w:val="none" w:sz="0" w:space="0" w:color="auto"/>
                <w:right w:val="none" w:sz="0" w:space="0" w:color="auto"/>
              </w:divBdr>
            </w:div>
            <w:div w:id="117380746">
              <w:marLeft w:val="0"/>
              <w:marRight w:val="0"/>
              <w:marTop w:val="0"/>
              <w:marBottom w:val="80"/>
              <w:divBdr>
                <w:top w:val="none" w:sz="0" w:space="0" w:color="auto"/>
                <w:left w:val="none" w:sz="0" w:space="0" w:color="auto"/>
                <w:bottom w:val="none" w:sz="0" w:space="0" w:color="auto"/>
                <w:right w:val="none" w:sz="0" w:space="0" w:color="auto"/>
              </w:divBdr>
            </w:div>
            <w:div w:id="1082990909">
              <w:marLeft w:val="0"/>
              <w:marRight w:val="0"/>
              <w:marTop w:val="0"/>
              <w:marBottom w:val="80"/>
              <w:divBdr>
                <w:top w:val="none" w:sz="0" w:space="0" w:color="auto"/>
                <w:left w:val="none" w:sz="0" w:space="0" w:color="auto"/>
                <w:bottom w:val="none" w:sz="0" w:space="0" w:color="auto"/>
                <w:right w:val="none" w:sz="0" w:space="0" w:color="auto"/>
              </w:divBdr>
            </w:div>
            <w:div w:id="971440403">
              <w:marLeft w:val="0"/>
              <w:marRight w:val="0"/>
              <w:marTop w:val="0"/>
              <w:marBottom w:val="80"/>
              <w:divBdr>
                <w:top w:val="none" w:sz="0" w:space="0" w:color="auto"/>
                <w:left w:val="none" w:sz="0" w:space="0" w:color="auto"/>
                <w:bottom w:val="none" w:sz="0" w:space="0" w:color="auto"/>
                <w:right w:val="none" w:sz="0" w:space="0" w:color="auto"/>
              </w:divBdr>
            </w:div>
            <w:div w:id="1240091737">
              <w:marLeft w:val="0"/>
              <w:marRight w:val="0"/>
              <w:marTop w:val="0"/>
              <w:marBottom w:val="80"/>
              <w:divBdr>
                <w:top w:val="none" w:sz="0" w:space="0" w:color="auto"/>
                <w:left w:val="none" w:sz="0" w:space="0" w:color="auto"/>
                <w:bottom w:val="none" w:sz="0" w:space="0" w:color="auto"/>
                <w:right w:val="none" w:sz="0" w:space="0" w:color="auto"/>
              </w:divBdr>
            </w:div>
            <w:div w:id="468206701">
              <w:marLeft w:val="0"/>
              <w:marRight w:val="0"/>
              <w:marTop w:val="0"/>
              <w:marBottom w:val="80"/>
              <w:divBdr>
                <w:top w:val="none" w:sz="0" w:space="0" w:color="auto"/>
                <w:left w:val="none" w:sz="0" w:space="0" w:color="auto"/>
                <w:bottom w:val="none" w:sz="0" w:space="0" w:color="auto"/>
                <w:right w:val="none" w:sz="0" w:space="0" w:color="auto"/>
              </w:divBdr>
            </w:div>
            <w:div w:id="449663499">
              <w:marLeft w:val="0"/>
              <w:marRight w:val="0"/>
              <w:marTop w:val="0"/>
              <w:marBottom w:val="80"/>
              <w:divBdr>
                <w:top w:val="none" w:sz="0" w:space="0" w:color="auto"/>
                <w:left w:val="none" w:sz="0" w:space="0" w:color="auto"/>
                <w:bottom w:val="none" w:sz="0" w:space="0" w:color="auto"/>
                <w:right w:val="none" w:sz="0" w:space="0" w:color="auto"/>
              </w:divBdr>
            </w:div>
            <w:div w:id="448428481">
              <w:marLeft w:val="0"/>
              <w:marRight w:val="0"/>
              <w:marTop w:val="0"/>
              <w:marBottom w:val="80"/>
              <w:divBdr>
                <w:top w:val="none" w:sz="0" w:space="0" w:color="auto"/>
                <w:left w:val="none" w:sz="0" w:space="0" w:color="auto"/>
                <w:bottom w:val="none" w:sz="0" w:space="0" w:color="auto"/>
                <w:right w:val="none" w:sz="0" w:space="0" w:color="auto"/>
              </w:divBdr>
            </w:div>
            <w:div w:id="419447800">
              <w:marLeft w:val="0"/>
              <w:marRight w:val="0"/>
              <w:marTop w:val="0"/>
              <w:marBottom w:val="80"/>
              <w:divBdr>
                <w:top w:val="none" w:sz="0" w:space="0" w:color="auto"/>
                <w:left w:val="none" w:sz="0" w:space="0" w:color="auto"/>
                <w:bottom w:val="none" w:sz="0" w:space="0" w:color="auto"/>
                <w:right w:val="none" w:sz="0" w:space="0" w:color="auto"/>
              </w:divBdr>
            </w:div>
            <w:div w:id="501051342">
              <w:marLeft w:val="0"/>
              <w:marRight w:val="0"/>
              <w:marTop w:val="0"/>
              <w:marBottom w:val="80"/>
              <w:divBdr>
                <w:top w:val="none" w:sz="0" w:space="0" w:color="auto"/>
                <w:left w:val="none" w:sz="0" w:space="0" w:color="auto"/>
                <w:bottom w:val="none" w:sz="0" w:space="0" w:color="auto"/>
                <w:right w:val="none" w:sz="0" w:space="0" w:color="auto"/>
              </w:divBdr>
            </w:div>
            <w:div w:id="1453549168">
              <w:marLeft w:val="0"/>
              <w:marRight w:val="0"/>
              <w:marTop w:val="0"/>
              <w:marBottom w:val="80"/>
              <w:divBdr>
                <w:top w:val="none" w:sz="0" w:space="0" w:color="auto"/>
                <w:left w:val="none" w:sz="0" w:space="0" w:color="auto"/>
                <w:bottom w:val="none" w:sz="0" w:space="0" w:color="auto"/>
                <w:right w:val="none" w:sz="0" w:space="0" w:color="auto"/>
              </w:divBdr>
            </w:div>
            <w:div w:id="1879929636">
              <w:marLeft w:val="0"/>
              <w:marRight w:val="0"/>
              <w:marTop w:val="0"/>
              <w:marBottom w:val="80"/>
              <w:divBdr>
                <w:top w:val="none" w:sz="0" w:space="0" w:color="auto"/>
                <w:left w:val="none" w:sz="0" w:space="0" w:color="auto"/>
                <w:bottom w:val="none" w:sz="0" w:space="0" w:color="auto"/>
                <w:right w:val="none" w:sz="0" w:space="0" w:color="auto"/>
              </w:divBdr>
            </w:div>
            <w:div w:id="1493715376">
              <w:marLeft w:val="0"/>
              <w:marRight w:val="0"/>
              <w:marTop w:val="0"/>
              <w:marBottom w:val="80"/>
              <w:divBdr>
                <w:top w:val="none" w:sz="0" w:space="0" w:color="auto"/>
                <w:left w:val="none" w:sz="0" w:space="0" w:color="auto"/>
                <w:bottom w:val="none" w:sz="0" w:space="0" w:color="auto"/>
                <w:right w:val="none" w:sz="0" w:space="0" w:color="auto"/>
              </w:divBdr>
            </w:div>
            <w:div w:id="2072652492">
              <w:marLeft w:val="0"/>
              <w:marRight w:val="0"/>
              <w:marTop w:val="0"/>
              <w:marBottom w:val="80"/>
              <w:divBdr>
                <w:top w:val="none" w:sz="0" w:space="0" w:color="auto"/>
                <w:left w:val="none" w:sz="0" w:space="0" w:color="auto"/>
                <w:bottom w:val="none" w:sz="0" w:space="0" w:color="auto"/>
                <w:right w:val="none" w:sz="0" w:space="0" w:color="auto"/>
              </w:divBdr>
            </w:div>
            <w:div w:id="1619988795">
              <w:marLeft w:val="0"/>
              <w:marRight w:val="0"/>
              <w:marTop w:val="0"/>
              <w:marBottom w:val="80"/>
              <w:divBdr>
                <w:top w:val="none" w:sz="0" w:space="0" w:color="auto"/>
                <w:left w:val="none" w:sz="0" w:space="0" w:color="auto"/>
                <w:bottom w:val="none" w:sz="0" w:space="0" w:color="auto"/>
                <w:right w:val="none" w:sz="0" w:space="0" w:color="auto"/>
              </w:divBdr>
            </w:div>
            <w:div w:id="253636949">
              <w:marLeft w:val="0"/>
              <w:marRight w:val="0"/>
              <w:marTop w:val="0"/>
              <w:marBottom w:val="80"/>
              <w:divBdr>
                <w:top w:val="none" w:sz="0" w:space="0" w:color="auto"/>
                <w:left w:val="none" w:sz="0" w:space="0" w:color="auto"/>
                <w:bottom w:val="none" w:sz="0" w:space="0" w:color="auto"/>
                <w:right w:val="none" w:sz="0" w:space="0" w:color="auto"/>
              </w:divBdr>
            </w:div>
            <w:div w:id="392003542">
              <w:marLeft w:val="0"/>
              <w:marRight w:val="0"/>
              <w:marTop w:val="0"/>
              <w:marBottom w:val="80"/>
              <w:divBdr>
                <w:top w:val="none" w:sz="0" w:space="0" w:color="auto"/>
                <w:left w:val="none" w:sz="0" w:space="0" w:color="auto"/>
                <w:bottom w:val="none" w:sz="0" w:space="0" w:color="auto"/>
                <w:right w:val="none" w:sz="0" w:space="0" w:color="auto"/>
              </w:divBdr>
            </w:div>
            <w:div w:id="1547715287">
              <w:marLeft w:val="0"/>
              <w:marRight w:val="0"/>
              <w:marTop w:val="0"/>
              <w:marBottom w:val="80"/>
              <w:divBdr>
                <w:top w:val="none" w:sz="0" w:space="0" w:color="auto"/>
                <w:left w:val="none" w:sz="0" w:space="0" w:color="auto"/>
                <w:bottom w:val="none" w:sz="0" w:space="0" w:color="auto"/>
                <w:right w:val="none" w:sz="0" w:space="0" w:color="auto"/>
              </w:divBdr>
            </w:div>
            <w:div w:id="1307397280">
              <w:marLeft w:val="0"/>
              <w:marRight w:val="0"/>
              <w:marTop w:val="0"/>
              <w:marBottom w:val="80"/>
              <w:divBdr>
                <w:top w:val="none" w:sz="0" w:space="0" w:color="auto"/>
                <w:left w:val="none" w:sz="0" w:space="0" w:color="auto"/>
                <w:bottom w:val="none" w:sz="0" w:space="0" w:color="auto"/>
                <w:right w:val="none" w:sz="0" w:space="0" w:color="auto"/>
              </w:divBdr>
            </w:div>
            <w:div w:id="571354049">
              <w:marLeft w:val="0"/>
              <w:marRight w:val="0"/>
              <w:marTop w:val="0"/>
              <w:marBottom w:val="80"/>
              <w:divBdr>
                <w:top w:val="none" w:sz="0" w:space="0" w:color="auto"/>
                <w:left w:val="none" w:sz="0" w:space="0" w:color="auto"/>
                <w:bottom w:val="none" w:sz="0" w:space="0" w:color="auto"/>
                <w:right w:val="none" w:sz="0" w:space="0" w:color="auto"/>
              </w:divBdr>
            </w:div>
            <w:div w:id="468595770">
              <w:marLeft w:val="0"/>
              <w:marRight w:val="0"/>
              <w:marTop w:val="0"/>
              <w:marBottom w:val="80"/>
              <w:divBdr>
                <w:top w:val="none" w:sz="0" w:space="0" w:color="auto"/>
                <w:left w:val="none" w:sz="0" w:space="0" w:color="auto"/>
                <w:bottom w:val="none" w:sz="0" w:space="0" w:color="auto"/>
                <w:right w:val="none" w:sz="0" w:space="0" w:color="auto"/>
              </w:divBdr>
            </w:div>
            <w:div w:id="915898100">
              <w:marLeft w:val="0"/>
              <w:marRight w:val="0"/>
              <w:marTop w:val="0"/>
              <w:marBottom w:val="80"/>
              <w:divBdr>
                <w:top w:val="none" w:sz="0" w:space="0" w:color="auto"/>
                <w:left w:val="none" w:sz="0" w:space="0" w:color="auto"/>
                <w:bottom w:val="none" w:sz="0" w:space="0" w:color="auto"/>
                <w:right w:val="none" w:sz="0" w:space="0" w:color="auto"/>
              </w:divBdr>
            </w:div>
            <w:div w:id="2115128278">
              <w:marLeft w:val="0"/>
              <w:marRight w:val="0"/>
              <w:marTop w:val="0"/>
              <w:marBottom w:val="80"/>
              <w:divBdr>
                <w:top w:val="none" w:sz="0" w:space="0" w:color="auto"/>
                <w:left w:val="none" w:sz="0" w:space="0" w:color="auto"/>
                <w:bottom w:val="none" w:sz="0" w:space="0" w:color="auto"/>
                <w:right w:val="none" w:sz="0" w:space="0" w:color="auto"/>
              </w:divBdr>
            </w:div>
            <w:div w:id="1665695316">
              <w:marLeft w:val="0"/>
              <w:marRight w:val="0"/>
              <w:marTop w:val="0"/>
              <w:marBottom w:val="80"/>
              <w:divBdr>
                <w:top w:val="none" w:sz="0" w:space="0" w:color="auto"/>
                <w:left w:val="none" w:sz="0" w:space="0" w:color="auto"/>
                <w:bottom w:val="none" w:sz="0" w:space="0" w:color="auto"/>
                <w:right w:val="none" w:sz="0" w:space="0" w:color="auto"/>
              </w:divBdr>
            </w:div>
            <w:div w:id="2019772316">
              <w:marLeft w:val="0"/>
              <w:marRight w:val="0"/>
              <w:marTop w:val="0"/>
              <w:marBottom w:val="80"/>
              <w:divBdr>
                <w:top w:val="none" w:sz="0" w:space="0" w:color="auto"/>
                <w:left w:val="none" w:sz="0" w:space="0" w:color="auto"/>
                <w:bottom w:val="none" w:sz="0" w:space="0" w:color="auto"/>
                <w:right w:val="none" w:sz="0" w:space="0" w:color="auto"/>
              </w:divBdr>
            </w:div>
            <w:div w:id="1243105800">
              <w:marLeft w:val="0"/>
              <w:marRight w:val="0"/>
              <w:marTop w:val="0"/>
              <w:marBottom w:val="80"/>
              <w:divBdr>
                <w:top w:val="none" w:sz="0" w:space="0" w:color="auto"/>
                <w:left w:val="none" w:sz="0" w:space="0" w:color="auto"/>
                <w:bottom w:val="none" w:sz="0" w:space="0" w:color="auto"/>
                <w:right w:val="none" w:sz="0" w:space="0" w:color="auto"/>
              </w:divBdr>
            </w:div>
            <w:div w:id="1111899038">
              <w:marLeft w:val="0"/>
              <w:marRight w:val="0"/>
              <w:marTop w:val="0"/>
              <w:marBottom w:val="80"/>
              <w:divBdr>
                <w:top w:val="none" w:sz="0" w:space="0" w:color="auto"/>
                <w:left w:val="none" w:sz="0" w:space="0" w:color="auto"/>
                <w:bottom w:val="none" w:sz="0" w:space="0" w:color="auto"/>
                <w:right w:val="none" w:sz="0" w:space="0" w:color="auto"/>
              </w:divBdr>
            </w:div>
            <w:div w:id="975335914">
              <w:marLeft w:val="0"/>
              <w:marRight w:val="0"/>
              <w:marTop w:val="0"/>
              <w:marBottom w:val="80"/>
              <w:divBdr>
                <w:top w:val="none" w:sz="0" w:space="0" w:color="auto"/>
                <w:left w:val="none" w:sz="0" w:space="0" w:color="auto"/>
                <w:bottom w:val="none" w:sz="0" w:space="0" w:color="auto"/>
                <w:right w:val="none" w:sz="0" w:space="0" w:color="auto"/>
              </w:divBdr>
            </w:div>
            <w:div w:id="1022584882">
              <w:marLeft w:val="0"/>
              <w:marRight w:val="0"/>
              <w:marTop w:val="0"/>
              <w:marBottom w:val="80"/>
              <w:divBdr>
                <w:top w:val="none" w:sz="0" w:space="0" w:color="auto"/>
                <w:left w:val="none" w:sz="0" w:space="0" w:color="auto"/>
                <w:bottom w:val="none" w:sz="0" w:space="0" w:color="auto"/>
                <w:right w:val="none" w:sz="0" w:space="0" w:color="auto"/>
              </w:divBdr>
            </w:div>
            <w:div w:id="1948194209">
              <w:marLeft w:val="0"/>
              <w:marRight w:val="0"/>
              <w:marTop w:val="0"/>
              <w:marBottom w:val="80"/>
              <w:divBdr>
                <w:top w:val="none" w:sz="0" w:space="0" w:color="auto"/>
                <w:left w:val="none" w:sz="0" w:space="0" w:color="auto"/>
                <w:bottom w:val="none" w:sz="0" w:space="0" w:color="auto"/>
                <w:right w:val="none" w:sz="0" w:space="0" w:color="auto"/>
              </w:divBdr>
            </w:div>
            <w:div w:id="1360617852">
              <w:marLeft w:val="0"/>
              <w:marRight w:val="0"/>
              <w:marTop w:val="0"/>
              <w:marBottom w:val="80"/>
              <w:divBdr>
                <w:top w:val="none" w:sz="0" w:space="0" w:color="auto"/>
                <w:left w:val="none" w:sz="0" w:space="0" w:color="auto"/>
                <w:bottom w:val="none" w:sz="0" w:space="0" w:color="auto"/>
                <w:right w:val="none" w:sz="0" w:space="0" w:color="auto"/>
              </w:divBdr>
            </w:div>
            <w:div w:id="80296907">
              <w:marLeft w:val="0"/>
              <w:marRight w:val="0"/>
              <w:marTop w:val="0"/>
              <w:marBottom w:val="80"/>
              <w:divBdr>
                <w:top w:val="none" w:sz="0" w:space="0" w:color="auto"/>
                <w:left w:val="none" w:sz="0" w:space="0" w:color="auto"/>
                <w:bottom w:val="none" w:sz="0" w:space="0" w:color="auto"/>
                <w:right w:val="none" w:sz="0" w:space="0" w:color="auto"/>
              </w:divBdr>
            </w:div>
            <w:div w:id="2014794736">
              <w:marLeft w:val="0"/>
              <w:marRight w:val="0"/>
              <w:marTop w:val="0"/>
              <w:marBottom w:val="80"/>
              <w:divBdr>
                <w:top w:val="none" w:sz="0" w:space="0" w:color="auto"/>
                <w:left w:val="none" w:sz="0" w:space="0" w:color="auto"/>
                <w:bottom w:val="none" w:sz="0" w:space="0" w:color="auto"/>
                <w:right w:val="none" w:sz="0" w:space="0" w:color="auto"/>
              </w:divBdr>
            </w:div>
            <w:div w:id="1352879400">
              <w:marLeft w:val="0"/>
              <w:marRight w:val="0"/>
              <w:marTop w:val="0"/>
              <w:marBottom w:val="80"/>
              <w:divBdr>
                <w:top w:val="none" w:sz="0" w:space="0" w:color="auto"/>
                <w:left w:val="none" w:sz="0" w:space="0" w:color="auto"/>
                <w:bottom w:val="none" w:sz="0" w:space="0" w:color="auto"/>
                <w:right w:val="none" w:sz="0" w:space="0" w:color="auto"/>
              </w:divBdr>
            </w:div>
            <w:div w:id="647242929">
              <w:marLeft w:val="0"/>
              <w:marRight w:val="0"/>
              <w:marTop w:val="0"/>
              <w:marBottom w:val="80"/>
              <w:divBdr>
                <w:top w:val="none" w:sz="0" w:space="0" w:color="auto"/>
                <w:left w:val="none" w:sz="0" w:space="0" w:color="auto"/>
                <w:bottom w:val="none" w:sz="0" w:space="0" w:color="auto"/>
                <w:right w:val="none" w:sz="0" w:space="0" w:color="auto"/>
              </w:divBdr>
            </w:div>
            <w:div w:id="488786311">
              <w:marLeft w:val="0"/>
              <w:marRight w:val="0"/>
              <w:marTop w:val="0"/>
              <w:marBottom w:val="80"/>
              <w:divBdr>
                <w:top w:val="none" w:sz="0" w:space="0" w:color="auto"/>
                <w:left w:val="none" w:sz="0" w:space="0" w:color="auto"/>
                <w:bottom w:val="none" w:sz="0" w:space="0" w:color="auto"/>
                <w:right w:val="none" w:sz="0" w:space="0" w:color="auto"/>
              </w:divBdr>
            </w:div>
            <w:div w:id="1330907128">
              <w:marLeft w:val="0"/>
              <w:marRight w:val="0"/>
              <w:marTop w:val="0"/>
              <w:marBottom w:val="80"/>
              <w:divBdr>
                <w:top w:val="none" w:sz="0" w:space="0" w:color="auto"/>
                <w:left w:val="none" w:sz="0" w:space="0" w:color="auto"/>
                <w:bottom w:val="none" w:sz="0" w:space="0" w:color="auto"/>
                <w:right w:val="none" w:sz="0" w:space="0" w:color="auto"/>
              </w:divBdr>
            </w:div>
            <w:div w:id="1323967123">
              <w:marLeft w:val="0"/>
              <w:marRight w:val="0"/>
              <w:marTop w:val="0"/>
              <w:marBottom w:val="80"/>
              <w:divBdr>
                <w:top w:val="none" w:sz="0" w:space="0" w:color="auto"/>
                <w:left w:val="none" w:sz="0" w:space="0" w:color="auto"/>
                <w:bottom w:val="none" w:sz="0" w:space="0" w:color="auto"/>
                <w:right w:val="none" w:sz="0" w:space="0" w:color="auto"/>
              </w:divBdr>
            </w:div>
            <w:div w:id="1983998399">
              <w:marLeft w:val="0"/>
              <w:marRight w:val="0"/>
              <w:marTop w:val="0"/>
              <w:marBottom w:val="80"/>
              <w:divBdr>
                <w:top w:val="none" w:sz="0" w:space="0" w:color="auto"/>
                <w:left w:val="none" w:sz="0" w:space="0" w:color="auto"/>
                <w:bottom w:val="none" w:sz="0" w:space="0" w:color="auto"/>
                <w:right w:val="none" w:sz="0" w:space="0" w:color="auto"/>
              </w:divBdr>
            </w:div>
            <w:div w:id="1742144004">
              <w:marLeft w:val="0"/>
              <w:marRight w:val="0"/>
              <w:marTop w:val="0"/>
              <w:marBottom w:val="80"/>
              <w:divBdr>
                <w:top w:val="none" w:sz="0" w:space="0" w:color="auto"/>
                <w:left w:val="none" w:sz="0" w:space="0" w:color="auto"/>
                <w:bottom w:val="none" w:sz="0" w:space="0" w:color="auto"/>
                <w:right w:val="none" w:sz="0" w:space="0" w:color="auto"/>
              </w:divBdr>
            </w:div>
            <w:div w:id="1496064808">
              <w:marLeft w:val="0"/>
              <w:marRight w:val="0"/>
              <w:marTop w:val="0"/>
              <w:marBottom w:val="80"/>
              <w:divBdr>
                <w:top w:val="none" w:sz="0" w:space="0" w:color="auto"/>
                <w:left w:val="none" w:sz="0" w:space="0" w:color="auto"/>
                <w:bottom w:val="none" w:sz="0" w:space="0" w:color="auto"/>
                <w:right w:val="none" w:sz="0" w:space="0" w:color="auto"/>
              </w:divBdr>
            </w:div>
            <w:div w:id="903417529">
              <w:marLeft w:val="0"/>
              <w:marRight w:val="0"/>
              <w:marTop w:val="0"/>
              <w:marBottom w:val="80"/>
              <w:divBdr>
                <w:top w:val="none" w:sz="0" w:space="0" w:color="auto"/>
                <w:left w:val="none" w:sz="0" w:space="0" w:color="auto"/>
                <w:bottom w:val="none" w:sz="0" w:space="0" w:color="auto"/>
                <w:right w:val="none" w:sz="0" w:space="0" w:color="auto"/>
              </w:divBdr>
            </w:div>
            <w:div w:id="1710254510">
              <w:marLeft w:val="0"/>
              <w:marRight w:val="0"/>
              <w:marTop w:val="0"/>
              <w:marBottom w:val="80"/>
              <w:divBdr>
                <w:top w:val="none" w:sz="0" w:space="0" w:color="auto"/>
                <w:left w:val="none" w:sz="0" w:space="0" w:color="auto"/>
                <w:bottom w:val="none" w:sz="0" w:space="0" w:color="auto"/>
                <w:right w:val="none" w:sz="0" w:space="0" w:color="auto"/>
              </w:divBdr>
            </w:div>
            <w:div w:id="1531454328">
              <w:marLeft w:val="0"/>
              <w:marRight w:val="0"/>
              <w:marTop w:val="0"/>
              <w:marBottom w:val="80"/>
              <w:divBdr>
                <w:top w:val="none" w:sz="0" w:space="0" w:color="auto"/>
                <w:left w:val="none" w:sz="0" w:space="0" w:color="auto"/>
                <w:bottom w:val="none" w:sz="0" w:space="0" w:color="auto"/>
                <w:right w:val="none" w:sz="0" w:space="0" w:color="auto"/>
              </w:divBdr>
            </w:div>
            <w:div w:id="1394768137">
              <w:marLeft w:val="0"/>
              <w:marRight w:val="0"/>
              <w:marTop w:val="0"/>
              <w:marBottom w:val="80"/>
              <w:divBdr>
                <w:top w:val="none" w:sz="0" w:space="0" w:color="auto"/>
                <w:left w:val="none" w:sz="0" w:space="0" w:color="auto"/>
                <w:bottom w:val="none" w:sz="0" w:space="0" w:color="auto"/>
                <w:right w:val="none" w:sz="0" w:space="0" w:color="auto"/>
              </w:divBdr>
            </w:div>
            <w:div w:id="1822457739">
              <w:marLeft w:val="0"/>
              <w:marRight w:val="0"/>
              <w:marTop w:val="0"/>
              <w:marBottom w:val="80"/>
              <w:divBdr>
                <w:top w:val="none" w:sz="0" w:space="0" w:color="auto"/>
                <w:left w:val="none" w:sz="0" w:space="0" w:color="auto"/>
                <w:bottom w:val="none" w:sz="0" w:space="0" w:color="auto"/>
                <w:right w:val="none" w:sz="0" w:space="0" w:color="auto"/>
              </w:divBdr>
            </w:div>
            <w:div w:id="929120638">
              <w:marLeft w:val="0"/>
              <w:marRight w:val="0"/>
              <w:marTop w:val="0"/>
              <w:marBottom w:val="80"/>
              <w:divBdr>
                <w:top w:val="none" w:sz="0" w:space="0" w:color="auto"/>
                <w:left w:val="none" w:sz="0" w:space="0" w:color="auto"/>
                <w:bottom w:val="none" w:sz="0" w:space="0" w:color="auto"/>
                <w:right w:val="none" w:sz="0" w:space="0" w:color="auto"/>
              </w:divBdr>
            </w:div>
            <w:div w:id="217327957">
              <w:marLeft w:val="0"/>
              <w:marRight w:val="0"/>
              <w:marTop w:val="0"/>
              <w:marBottom w:val="80"/>
              <w:divBdr>
                <w:top w:val="none" w:sz="0" w:space="0" w:color="auto"/>
                <w:left w:val="none" w:sz="0" w:space="0" w:color="auto"/>
                <w:bottom w:val="none" w:sz="0" w:space="0" w:color="auto"/>
                <w:right w:val="none" w:sz="0" w:space="0" w:color="auto"/>
              </w:divBdr>
            </w:div>
            <w:div w:id="622539083">
              <w:marLeft w:val="0"/>
              <w:marRight w:val="0"/>
              <w:marTop w:val="0"/>
              <w:marBottom w:val="80"/>
              <w:divBdr>
                <w:top w:val="none" w:sz="0" w:space="0" w:color="auto"/>
                <w:left w:val="none" w:sz="0" w:space="0" w:color="auto"/>
                <w:bottom w:val="none" w:sz="0" w:space="0" w:color="auto"/>
                <w:right w:val="none" w:sz="0" w:space="0" w:color="auto"/>
              </w:divBdr>
            </w:div>
            <w:div w:id="747314845">
              <w:marLeft w:val="0"/>
              <w:marRight w:val="0"/>
              <w:marTop w:val="0"/>
              <w:marBottom w:val="80"/>
              <w:divBdr>
                <w:top w:val="none" w:sz="0" w:space="0" w:color="auto"/>
                <w:left w:val="none" w:sz="0" w:space="0" w:color="auto"/>
                <w:bottom w:val="none" w:sz="0" w:space="0" w:color="auto"/>
                <w:right w:val="none" w:sz="0" w:space="0" w:color="auto"/>
              </w:divBdr>
            </w:div>
            <w:div w:id="276572238">
              <w:marLeft w:val="0"/>
              <w:marRight w:val="0"/>
              <w:marTop w:val="0"/>
              <w:marBottom w:val="80"/>
              <w:divBdr>
                <w:top w:val="none" w:sz="0" w:space="0" w:color="auto"/>
                <w:left w:val="none" w:sz="0" w:space="0" w:color="auto"/>
                <w:bottom w:val="none" w:sz="0" w:space="0" w:color="auto"/>
                <w:right w:val="none" w:sz="0" w:space="0" w:color="auto"/>
              </w:divBdr>
            </w:div>
            <w:div w:id="1584947423">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2011-04-25T08:33:00Z</dcterms:created>
  <dcterms:modified xsi:type="dcterms:W3CDTF">2011-04-25T08:39:00Z</dcterms:modified>
</cp:coreProperties>
</file>