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989" w:rsidRPr="00014989" w:rsidRDefault="002305C0" w:rsidP="007F45E9">
      <w:pPr>
        <w:rPr>
          <w:rFonts w:ascii="Times New Roman" w:eastAsia="Times New Roman" w:hAnsi="Times New Roman" w:cs="Times New Roman"/>
          <w:sz w:val="24"/>
          <w:szCs w:val="24"/>
        </w:rPr>
      </w:pPr>
      <w:r>
        <w:rPr>
          <w:rFonts w:ascii="Verdana" w:hAnsi="Verdana"/>
          <w:b/>
          <w:bCs/>
        </w:rPr>
        <w:t xml:space="preserve">                  </w:t>
      </w:r>
    </w:p>
    <w:p w:rsidR="00014989" w:rsidRPr="00014989" w:rsidRDefault="00014989" w:rsidP="00014989">
      <w:pPr>
        <w:spacing w:after="0"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  </w:t>
      </w:r>
    </w:p>
    <w:p w:rsidR="00014989" w:rsidRPr="00014989" w:rsidRDefault="00014989" w:rsidP="00014989">
      <w:pPr>
        <w:spacing w:after="24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b/>
          <w:bCs/>
          <w:sz w:val="24"/>
          <w:szCs w:val="24"/>
        </w:rPr>
        <w:t>TAX OBLIGATIONS UNDER THE WEALTH TAX ACT</w:t>
      </w:r>
      <w:r w:rsidRPr="00014989">
        <w:rPr>
          <w:rFonts w:ascii="Times New Roman" w:eastAsia="Times New Roman" w:hAnsi="Times New Roman" w:cs="Times New Roman"/>
          <w:sz w:val="24"/>
          <w:szCs w:val="24"/>
        </w:rPr>
        <w:t xml:space="preserve"> </w:t>
      </w:r>
    </w:p>
    <w:tbl>
      <w:tblPr>
        <w:tblW w:w="3750" w:type="pct"/>
        <w:jc w:val="center"/>
        <w:tblCellSpacing w:w="0" w:type="dxa"/>
        <w:shd w:val="clear" w:color="auto" w:fill="EEEEEE"/>
        <w:tblCellMar>
          <w:left w:w="0" w:type="dxa"/>
          <w:right w:w="0" w:type="dxa"/>
        </w:tblCellMar>
        <w:tblLook w:val="04A0"/>
      </w:tblPr>
      <w:tblGrid>
        <w:gridCol w:w="421"/>
        <w:gridCol w:w="6599"/>
      </w:tblGrid>
      <w:tr w:rsidR="00014989" w:rsidRPr="00014989" w:rsidTr="00014989">
        <w:trPr>
          <w:trHeight w:val="330"/>
          <w:tblCellSpacing w:w="0" w:type="dxa"/>
          <w:jc w:val="center"/>
        </w:trPr>
        <w:tc>
          <w:tcPr>
            <w:tcW w:w="0" w:type="auto"/>
            <w:gridSpan w:val="2"/>
            <w:shd w:val="clear" w:color="auto" w:fill="EEEEEE"/>
            <w:vAlign w:val="center"/>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Arial" w:eastAsia="Times New Roman" w:hAnsi="Arial" w:cs="Arial"/>
                <w:b/>
                <w:bCs/>
                <w:color w:val="333333"/>
                <w:sz w:val="20"/>
                <w:szCs w:val="20"/>
              </w:rPr>
              <w:t>Contents</w:t>
            </w:r>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1</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5" w:anchor="WealthTax" w:history="1">
              <w:r w:rsidRPr="00014989">
                <w:rPr>
                  <w:rFonts w:ascii="Verdana" w:eastAsia="Times New Roman" w:hAnsi="Verdana" w:cs="Times New Roman"/>
                  <w:color w:val="000000"/>
                  <w:sz w:val="20"/>
                  <w:u w:val="single"/>
                </w:rPr>
                <w:t>Wealth Tax</w:t>
              </w:r>
            </w:hyperlink>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2</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6" w:anchor="IncidenceofWealthTax" w:history="1">
              <w:r w:rsidRPr="00014989">
                <w:rPr>
                  <w:rFonts w:ascii="Verdana" w:eastAsia="Times New Roman" w:hAnsi="Verdana" w:cs="Times New Roman"/>
                  <w:color w:val="000000"/>
                  <w:sz w:val="20"/>
                  <w:u w:val="single"/>
                </w:rPr>
                <w:t>Incidence of Wealth Tax</w:t>
              </w:r>
            </w:hyperlink>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3</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7" w:anchor="Assets" w:history="1">
              <w:r w:rsidRPr="00014989">
                <w:rPr>
                  <w:rFonts w:ascii="Verdana" w:eastAsia="Times New Roman" w:hAnsi="Verdana" w:cs="Times New Roman"/>
                  <w:color w:val="000000"/>
                  <w:sz w:val="20"/>
                  <w:u w:val="single"/>
                </w:rPr>
                <w:t>Assets</w:t>
              </w:r>
            </w:hyperlink>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4</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8" w:anchor="DeemedAssets" w:history="1">
              <w:r w:rsidRPr="00014989">
                <w:rPr>
                  <w:rFonts w:ascii="Verdana" w:eastAsia="Times New Roman" w:hAnsi="Verdana" w:cs="Times New Roman"/>
                  <w:color w:val="000000"/>
                  <w:sz w:val="20"/>
                  <w:u w:val="single"/>
                </w:rPr>
                <w:t>Deemed Assets</w:t>
              </w:r>
            </w:hyperlink>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5</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9" w:anchor="ExemptAssets" w:history="1">
              <w:r w:rsidRPr="00014989">
                <w:rPr>
                  <w:rFonts w:ascii="Verdana" w:eastAsia="Times New Roman" w:hAnsi="Verdana" w:cs="Times New Roman"/>
                  <w:color w:val="000000"/>
                  <w:sz w:val="20"/>
                  <w:u w:val="single"/>
                </w:rPr>
                <w:t>Exempt Assets</w:t>
              </w:r>
            </w:hyperlink>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6</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10" w:anchor="DebtsOwned" w:history="1">
              <w:r w:rsidRPr="00014989">
                <w:rPr>
                  <w:rFonts w:ascii="Verdana" w:eastAsia="Times New Roman" w:hAnsi="Verdana" w:cs="Times New Roman"/>
                  <w:color w:val="000000"/>
                  <w:sz w:val="20"/>
                  <w:u w:val="single"/>
                </w:rPr>
                <w:t>Debts Owned</w:t>
              </w:r>
            </w:hyperlink>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7</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11" w:anchor="WealthTaxLiabilityWhetheraDebtOwed" w:history="1">
              <w:r w:rsidRPr="00014989">
                <w:rPr>
                  <w:rFonts w:ascii="Verdana" w:eastAsia="Times New Roman" w:hAnsi="Verdana" w:cs="Times New Roman"/>
                  <w:color w:val="000000"/>
                  <w:sz w:val="20"/>
                  <w:u w:val="single"/>
                </w:rPr>
                <w:t>Wealth Tax Liability—Whether a Debt Owed?</w:t>
              </w:r>
            </w:hyperlink>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8</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12" w:anchor="ValuationofAssets" w:history="1">
              <w:r w:rsidRPr="00014989">
                <w:rPr>
                  <w:rFonts w:ascii="Verdana" w:eastAsia="Times New Roman" w:hAnsi="Verdana" w:cs="Times New Roman"/>
                  <w:color w:val="000000"/>
                  <w:sz w:val="20"/>
                  <w:u w:val="single"/>
                </w:rPr>
                <w:t>Valuation of Assets</w:t>
              </w:r>
            </w:hyperlink>
          </w:p>
        </w:tc>
      </w:tr>
      <w:tr w:rsidR="00014989" w:rsidRPr="00014989" w:rsidTr="00014989">
        <w:trPr>
          <w:trHeight w:val="345"/>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9</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13" w:anchor="ReturnofWealthTax" w:history="1">
              <w:r w:rsidRPr="00014989">
                <w:rPr>
                  <w:rFonts w:ascii="Verdana" w:eastAsia="Times New Roman" w:hAnsi="Verdana" w:cs="Times New Roman"/>
                  <w:color w:val="000000"/>
                  <w:sz w:val="20"/>
                  <w:u w:val="single"/>
                </w:rPr>
                <w:t>Return of Wealth Tax</w:t>
              </w:r>
            </w:hyperlink>
          </w:p>
        </w:tc>
      </w:tr>
      <w:tr w:rsidR="00014989" w:rsidRPr="00014989" w:rsidTr="00014989">
        <w:trPr>
          <w:trHeight w:val="330"/>
          <w:tblCellSpacing w:w="0" w:type="dxa"/>
          <w:jc w:val="center"/>
        </w:trPr>
        <w:tc>
          <w:tcPr>
            <w:tcW w:w="300" w:type="pct"/>
            <w:shd w:val="clear" w:color="auto" w:fill="E5E5EA"/>
            <w:hideMark/>
          </w:tcPr>
          <w:p w:rsidR="00014989" w:rsidRPr="00014989" w:rsidRDefault="00014989" w:rsidP="00014989">
            <w:pPr>
              <w:spacing w:after="0" w:line="240" w:lineRule="auto"/>
              <w:jc w:val="center"/>
              <w:rPr>
                <w:rFonts w:ascii="Times New Roman" w:eastAsia="Times New Roman" w:hAnsi="Times New Roman" w:cs="Times New Roman"/>
                <w:sz w:val="24"/>
                <w:szCs w:val="24"/>
              </w:rPr>
            </w:pPr>
            <w:r w:rsidRPr="00014989">
              <w:rPr>
                <w:rFonts w:ascii="Verdana" w:eastAsia="Times New Roman" w:hAnsi="Verdana" w:cs="Times New Roman"/>
                <w:sz w:val="20"/>
                <w:szCs w:val="20"/>
              </w:rPr>
              <w:t>10</w:t>
            </w:r>
          </w:p>
        </w:tc>
        <w:tc>
          <w:tcPr>
            <w:tcW w:w="0" w:type="auto"/>
            <w:shd w:val="clear" w:color="auto" w:fill="E5E5EA"/>
            <w:hideMark/>
          </w:tcPr>
          <w:p w:rsidR="00014989" w:rsidRPr="00014989" w:rsidRDefault="00014989" w:rsidP="00014989">
            <w:pPr>
              <w:spacing w:after="0" w:line="240" w:lineRule="auto"/>
              <w:rPr>
                <w:rFonts w:ascii="Times New Roman" w:eastAsia="Times New Roman" w:hAnsi="Times New Roman" w:cs="Times New Roman"/>
                <w:sz w:val="24"/>
                <w:szCs w:val="24"/>
              </w:rPr>
            </w:pPr>
            <w:hyperlink r:id="rId14" w:anchor="AnIllustration" w:history="1">
              <w:r w:rsidRPr="00014989">
                <w:rPr>
                  <w:rFonts w:ascii="Verdana" w:eastAsia="Times New Roman" w:hAnsi="Verdana" w:cs="Times New Roman"/>
                  <w:color w:val="000000"/>
                  <w:sz w:val="20"/>
                  <w:u w:val="single"/>
                </w:rPr>
                <w:t>An Illustration</w:t>
              </w:r>
            </w:hyperlink>
          </w:p>
        </w:tc>
      </w:tr>
    </w:tbl>
    <w:p w:rsidR="00014989" w:rsidRPr="00014989" w:rsidRDefault="00014989" w:rsidP="00014989">
      <w:pPr>
        <w:spacing w:after="240" w:line="240" w:lineRule="auto"/>
        <w:jc w:val="center"/>
        <w:rPr>
          <w:rFonts w:ascii="Times New Roman" w:eastAsia="Times New Roman" w:hAnsi="Times New Roman" w:cs="Times New Roman"/>
          <w:sz w:val="24"/>
          <w:szCs w:val="24"/>
        </w:rPr>
      </w:pP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Besides Income-tax, there is </w:t>
      </w:r>
      <w:proofErr w:type="spellStart"/>
      <w:r w:rsidRPr="00014989">
        <w:rPr>
          <w:rFonts w:ascii="Times New Roman" w:eastAsia="Times New Roman" w:hAnsi="Times New Roman" w:cs="Times New Roman"/>
          <w:sz w:val="24"/>
          <w:szCs w:val="24"/>
        </w:rPr>
        <w:t>an other</w:t>
      </w:r>
      <w:proofErr w:type="spellEnd"/>
      <w:r w:rsidRPr="00014989">
        <w:rPr>
          <w:rFonts w:ascii="Times New Roman" w:eastAsia="Times New Roman" w:hAnsi="Times New Roman" w:cs="Times New Roman"/>
          <w:sz w:val="24"/>
          <w:szCs w:val="24"/>
        </w:rPr>
        <w:t xml:space="preserve"> direct tax act namely Wealth Tax Act, 1957 which imposes tax, inter alia, on individuals coming within its purview. Pensioners, retired persons or senior citizens have not been accorded any special benefits under this Act. Wealth tax is an annual tax like income tax. The important provisions concerning the Act are mentioned hereinafter.</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color w:val="FFFFFF" w:themeColor="background1"/>
          <w:sz w:val="24"/>
          <w:szCs w:val="24"/>
        </w:rPr>
      </w:pPr>
      <w:bookmarkStart w:id="0" w:name="WealthTax"/>
      <w:bookmarkEnd w:id="0"/>
      <w:r w:rsidRPr="00014989">
        <w:rPr>
          <w:rFonts w:ascii="Times New Roman" w:eastAsia="Times New Roman" w:hAnsi="Times New Roman" w:cs="Times New Roman"/>
          <w:b/>
          <w:bCs/>
          <w:color w:val="FFFFFF" w:themeColor="background1"/>
          <w:sz w:val="24"/>
          <w:szCs w:val="24"/>
          <w:highlight w:val="black"/>
        </w:rPr>
        <w:t>1.   Wealth Tax</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Wealth tax is charged for every assessment year in respect of net wealth of corresponding valuation date, inter alia, on every individual Hindu Undivided Family and company at the rate of one per cent of the amount by which net wealth exceeds Rs. 15 </w:t>
      </w:r>
      <w:proofErr w:type="spellStart"/>
      <w:r w:rsidRPr="00014989">
        <w:rPr>
          <w:rFonts w:ascii="Times New Roman" w:eastAsia="Times New Roman" w:hAnsi="Times New Roman" w:cs="Times New Roman"/>
          <w:sz w:val="24"/>
          <w:szCs w:val="24"/>
        </w:rPr>
        <w:t>lakhs</w:t>
      </w:r>
      <w:proofErr w:type="spellEnd"/>
      <w:r w:rsidRPr="00014989">
        <w:rPr>
          <w:rFonts w:ascii="Times New Roman" w:eastAsia="Times New Roman" w:hAnsi="Times New Roman" w:cs="Times New Roman"/>
          <w:sz w:val="24"/>
          <w:szCs w:val="24"/>
        </w:rPr>
        <w:t>. "Valuation Date" is 31</w:t>
      </w:r>
      <w:r w:rsidRPr="00014989">
        <w:rPr>
          <w:rFonts w:ascii="Times New Roman" w:eastAsia="Times New Roman" w:hAnsi="Times New Roman" w:cs="Times New Roman"/>
          <w:sz w:val="24"/>
          <w:szCs w:val="24"/>
          <w:vertAlign w:val="superscript"/>
        </w:rPr>
        <w:t>st</w:t>
      </w:r>
      <w:r w:rsidRPr="00014989">
        <w:rPr>
          <w:rFonts w:ascii="Times New Roman" w:eastAsia="Times New Roman" w:hAnsi="Times New Roman" w:cs="Times New Roman"/>
          <w:sz w:val="24"/>
          <w:szCs w:val="24"/>
        </w:rPr>
        <w:t xml:space="preserve"> March immediately preceding the assessment year [S.2(a)], Assessment year, as under the Income-tax Act, means a period of 12 months commencing from 1</w:t>
      </w:r>
      <w:r w:rsidRPr="00014989">
        <w:rPr>
          <w:rFonts w:ascii="Times New Roman" w:eastAsia="Times New Roman" w:hAnsi="Times New Roman" w:cs="Times New Roman"/>
          <w:sz w:val="24"/>
          <w:szCs w:val="24"/>
          <w:vertAlign w:val="superscript"/>
        </w:rPr>
        <w:t>st</w:t>
      </w:r>
      <w:r w:rsidRPr="00014989">
        <w:rPr>
          <w:rFonts w:ascii="Times New Roman" w:eastAsia="Times New Roman" w:hAnsi="Times New Roman" w:cs="Times New Roman"/>
          <w:sz w:val="24"/>
          <w:szCs w:val="24"/>
        </w:rPr>
        <w:t xml:space="preserve"> day of April every year falling immediately after the valuation date [S.2(d)]. Net wealth means taxable wealth. It means the amount by which the aggregate value of all assets (excluding exempted assets) belonging to the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on the valuation date including assets required to be included in the net wealth, is in excess of the aggregate value of all debts owed by the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on the valuation date which have been incurred in relation to the taxable assets.</w:t>
      </w:r>
    </w:p>
    <w:tbl>
      <w:tblPr>
        <w:tblW w:w="5000" w:type="pct"/>
        <w:tblCellSpacing w:w="0" w:type="dxa"/>
        <w:shd w:val="clear" w:color="auto" w:fill="EEEEEE"/>
        <w:tblCellMar>
          <w:left w:w="0" w:type="dxa"/>
          <w:right w:w="0" w:type="dxa"/>
        </w:tblCellMar>
        <w:tblLook w:val="04A0"/>
      </w:tblPr>
      <w:tblGrid>
        <w:gridCol w:w="9360"/>
      </w:tblGrid>
      <w:tr w:rsidR="00014989" w:rsidRPr="00014989" w:rsidTr="00014989">
        <w:trPr>
          <w:trHeight w:val="15"/>
          <w:tblCellSpacing w:w="0" w:type="dxa"/>
        </w:trPr>
        <w:tc>
          <w:tcPr>
            <w:tcW w:w="0" w:type="auto"/>
            <w:shd w:val="clear" w:color="auto" w:fill="CCCCCC"/>
            <w:vAlign w:val="center"/>
            <w:hideMark/>
          </w:tcPr>
          <w:p w:rsidR="00014989" w:rsidRPr="00014989" w:rsidRDefault="00014989" w:rsidP="00014989">
            <w:pPr>
              <w:spacing w:after="0" w:line="15" w:lineRule="atLeast"/>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7pt;height:.7pt"/>
              </w:pict>
            </w:r>
          </w:p>
        </w:tc>
      </w:tr>
    </w:tbl>
    <w:p w:rsidR="00014989" w:rsidRPr="00014989" w:rsidRDefault="00014989" w:rsidP="00014989">
      <w:pPr>
        <w:spacing w:before="100" w:beforeAutospacing="1" w:after="100" w:afterAutospacing="1" w:line="240" w:lineRule="auto"/>
        <w:rPr>
          <w:rFonts w:ascii="Times New Roman" w:eastAsia="Times New Roman" w:hAnsi="Times New Roman" w:cs="Times New Roman"/>
          <w:color w:val="FFFFFF" w:themeColor="background1"/>
          <w:sz w:val="24"/>
          <w:szCs w:val="24"/>
        </w:rPr>
      </w:pPr>
      <w:bookmarkStart w:id="1" w:name="IncidenceofWealthTax"/>
      <w:bookmarkEnd w:id="1"/>
      <w:r w:rsidRPr="00014989">
        <w:rPr>
          <w:rFonts w:ascii="Times New Roman" w:eastAsia="Times New Roman" w:hAnsi="Times New Roman" w:cs="Times New Roman"/>
          <w:b/>
          <w:bCs/>
          <w:color w:val="FFFFFF" w:themeColor="background1"/>
          <w:sz w:val="24"/>
          <w:szCs w:val="24"/>
          <w:highlight w:val="black"/>
        </w:rPr>
        <w:t>2.   Incidence of Wealth Tax</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Incidence of tax in the case of an individual depends upon his residential status and nationality. Residential status is decided as per the provisions of the Income-tax Act (Chapter I Supra).</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The scope of liability to wealth tax is as </w:t>
      </w:r>
      <w:proofErr w:type="gramStart"/>
      <w:r w:rsidRPr="00014989">
        <w:rPr>
          <w:rFonts w:ascii="Times New Roman" w:eastAsia="Times New Roman" w:hAnsi="Times New Roman" w:cs="Times New Roman"/>
          <w:sz w:val="24"/>
          <w:szCs w:val="24"/>
        </w:rPr>
        <w:t>follows :</w:t>
      </w:r>
      <w:proofErr w:type="gramEnd"/>
    </w:p>
    <w:p w:rsidR="00014989" w:rsidRPr="00014989" w:rsidRDefault="00014989" w:rsidP="0001498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lastRenderedPageBreak/>
        <w:t>In the case of an individual who is a citizen of India and resident in India, a resident—HUF and company resident in India;</w:t>
      </w:r>
      <w:r w:rsidRPr="00014989">
        <w:rPr>
          <w:rFonts w:ascii="Times New Roman" w:eastAsia="Times New Roman" w:hAnsi="Times New Roman" w:cs="Times New Roman"/>
          <w:sz w:val="24"/>
          <w:szCs w:val="24"/>
        </w:rPr>
        <w:br/>
        <w:t xml:space="preserve">Wealth tax is chargeable on net wealth comprising of </w:t>
      </w:r>
    </w:p>
    <w:p w:rsidR="00014989" w:rsidRPr="00014989" w:rsidRDefault="00014989" w:rsidP="0001498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All assets in India and outside India;</w:t>
      </w:r>
    </w:p>
    <w:p w:rsidR="00014989" w:rsidRPr="00014989" w:rsidRDefault="00014989" w:rsidP="00014989">
      <w:pPr>
        <w:numPr>
          <w:ilvl w:val="1"/>
          <w:numId w:val="2"/>
        </w:numPr>
        <w:spacing w:before="100" w:beforeAutospacing="1" w:after="240"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All debts in India and outside India are deductible in computing the net wealth. </w:t>
      </w:r>
    </w:p>
    <w:p w:rsidR="00014989" w:rsidRPr="00014989" w:rsidRDefault="00014989" w:rsidP="0001498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In the case of an individual who is a citizen of India but non-resident in India or not ordinarily resident in India, HUF, non-resident or not ordinarily resident in India and a company non-resident in India; </w:t>
      </w:r>
    </w:p>
    <w:p w:rsidR="00014989" w:rsidRPr="00014989" w:rsidRDefault="00014989" w:rsidP="0001498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All assets in India except loan and debts interest whereon is exempt from income-tax under section 10 of the Income-tax Act are chargeable to tax.</w:t>
      </w:r>
    </w:p>
    <w:p w:rsidR="00014989" w:rsidRPr="00014989" w:rsidRDefault="00014989" w:rsidP="0001498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All debts in India are deductible in computing the net wealth.</w:t>
      </w:r>
    </w:p>
    <w:p w:rsidR="00014989" w:rsidRPr="00014989" w:rsidRDefault="00014989" w:rsidP="00014989">
      <w:pPr>
        <w:numPr>
          <w:ilvl w:val="1"/>
          <w:numId w:val="2"/>
        </w:numPr>
        <w:spacing w:before="100" w:beforeAutospacing="1" w:after="240"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All assets and debts outside India are out of the scope of Wealth Tax Act.</w:t>
      </w:r>
    </w:p>
    <w:p w:rsidR="00014989" w:rsidRPr="00014989" w:rsidRDefault="00014989" w:rsidP="0001498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In the case of an individual who is not a citizen of India whether resident, non-resident or not ordinarily resident in India:</w:t>
      </w:r>
      <w:r w:rsidRPr="00014989">
        <w:rPr>
          <w:rFonts w:ascii="Times New Roman" w:eastAsia="Times New Roman" w:hAnsi="Times New Roman" w:cs="Times New Roman"/>
          <w:sz w:val="24"/>
          <w:szCs w:val="24"/>
        </w:rPr>
        <w:br/>
        <w:t>Same as in (b):</w:t>
      </w:r>
    </w:p>
    <w:p w:rsidR="00014989" w:rsidRPr="00014989" w:rsidRDefault="00014989" w:rsidP="00014989">
      <w:pPr>
        <w:spacing w:before="100" w:beforeAutospacing="1" w:after="100" w:afterAutospacing="1" w:line="240" w:lineRule="auto"/>
        <w:jc w:val="center"/>
        <w:rPr>
          <w:rFonts w:ascii="Times New Roman" w:eastAsia="Times New Roman" w:hAnsi="Times New Roman" w:cs="Times New Roman"/>
          <w:sz w:val="24"/>
          <w:szCs w:val="24"/>
        </w:rPr>
      </w:pPr>
      <w:r w:rsidRPr="00014989">
        <w:rPr>
          <w:rFonts w:ascii="Times New Roman" w:eastAsia="Times New Roman" w:hAnsi="Times New Roman" w:cs="Times New Roman"/>
          <w:b/>
          <w:bCs/>
          <w:color w:val="006699"/>
          <w:sz w:val="24"/>
          <w:szCs w:val="24"/>
        </w:rPr>
        <w:t>Explanation</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The credit balance in a Non-resident (External) Account is exempt from wealth tax provided the depositor is a person resident outside India as defined in the Foreign Exchange Regulation Act, 1973.</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b/>
          <w:bCs/>
          <w:color w:val="006699"/>
          <w:sz w:val="24"/>
          <w:szCs w:val="24"/>
        </w:rPr>
        <w:t>Valuation Date</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Wealth Tax is levied on the net wealth of a person as on a particular date. This date is known as valuation date. According to section 2(Q) the valuation date is the last day of the previous year relevant to the assessment year. Hence, valuation date is March 31, immediately </w:t>
      </w:r>
      <w:proofErr w:type="spellStart"/>
      <w:r w:rsidRPr="00014989">
        <w:rPr>
          <w:rFonts w:ascii="Times New Roman" w:eastAsia="Times New Roman" w:hAnsi="Times New Roman" w:cs="Times New Roman"/>
          <w:sz w:val="24"/>
          <w:szCs w:val="24"/>
        </w:rPr>
        <w:t>proceeding</w:t>
      </w:r>
      <w:proofErr w:type="spellEnd"/>
      <w:r w:rsidRPr="00014989">
        <w:rPr>
          <w:rFonts w:ascii="Times New Roman" w:eastAsia="Times New Roman" w:hAnsi="Times New Roman" w:cs="Times New Roman"/>
          <w:sz w:val="24"/>
          <w:szCs w:val="24"/>
        </w:rPr>
        <w:t xml:space="preserve"> the assessment year.</w:t>
      </w:r>
    </w:p>
    <w:tbl>
      <w:tblPr>
        <w:tblW w:w="5000" w:type="pct"/>
        <w:tblCellSpacing w:w="0" w:type="dxa"/>
        <w:shd w:val="clear" w:color="auto" w:fill="EEEEEE"/>
        <w:tblCellMar>
          <w:left w:w="0" w:type="dxa"/>
          <w:right w:w="0" w:type="dxa"/>
        </w:tblCellMar>
        <w:tblLook w:val="04A0"/>
      </w:tblPr>
      <w:tblGrid>
        <w:gridCol w:w="9360"/>
      </w:tblGrid>
      <w:tr w:rsidR="00014989" w:rsidRPr="00014989" w:rsidTr="00014989">
        <w:trPr>
          <w:trHeight w:val="15"/>
          <w:tblCellSpacing w:w="0" w:type="dxa"/>
        </w:trPr>
        <w:tc>
          <w:tcPr>
            <w:tcW w:w="0" w:type="auto"/>
            <w:shd w:val="clear" w:color="auto" w:fill="CCCCCC"/>
            <w:vAlign w:val="center"/>
            <w:hideMark/>
          </w:tcPr>
          <w:p w:rsidR="00014989" w:rsidRPr="00014989" w:rsidRDefault="00014989" w:rsidP="00014989">
            <w:pPr>
              <w:spacing w:after="0" w:line="15" w:lineRule="atLeast"/>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pict>
                <v:shape id="_x0000_i1026" type="#_x0000_t75" alt="" style="width:74.7pt;height:.7pt"/>
              </w:pict>
            </w:r>
          </w:p>
        </w:tc>
      </w:tr>
    </w:tbl>
    <w:p w:rsidR="00014989" w:rsidRPr="00014989" w:rsidRDefault="00014989" w:rsidP="00014989">
      <w:pPr>
        <w:spacing w:before="100" w:beforeAutospacing="1" w:after="100" w:afterAutospacing="1" w:line="240" w:lineRule="auto"/>
        <w:rPr>
          <w:rFonts w:ascii="Times New Roman" w:eastAsia="Times New Roman" w:hAnsi="Times New Roman" w:cs="Times New Roman"/>
          <w:color w:val="FFFFFF" w:themeColor="background1"/>
          <w:sz w:val="24"/>
          <w:szCs w:val="24"/>
        </w:rPr>
      </w:pPr>
      <w:bookmarkStart w:id="2" w:name="Assets"/>
      <w:bookmarkEnd w:id="2"/>
      <w:r w:rsidRPr="00014989">
        <w:rPr>
          <w:rFonts w:ascii="Times New Roman" w:eastAsia="Times New Roman" w:hAnsi="Times New Roman" w:cs="Times New Roman"/>
          <w:b/>
          <w:bCs/>
          <w:color w:val="FFFFFF" w:themeColor="background1"/>
          <w:sz w:val="24"/>
          <w:szCs w:val="24"/>
          <w:highlight w:val="black"/>
        </w:rPr>
        <w:t>3. Assets</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The assets liable to wealth tax as per the definition given in section 2(ea) of the Wealth Tax Act are as </w:t>
      </w:r>
      <w:proofErr w:type="gramStart"/>
      <w:r w:rsidRPr="00014989">
        <w:rPr>
          <w:rFonts w:ascii="Times New Roman" w:eastAsia="Times New Roman" w:hAnsi="Times New Roman" w:cs="Times New Roman"/>
          <w:sz w:val="24"/>
          <w:szCs w:val="24"/>
        </w:rPr>
        <w:t>under :</w:t>
      </w:r>
      <w:proofErr w:type="gramEnd"/>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(1) Any building or land appurtenant thereto which shall </w:t>
      </w:r>
      <w:proofErr w:type="gramStart"/>
      <w:r w:rsidRPr="00014989">
        <w:rPr>
          <w:rFonts w:ascii="Times New Roman" w:eastAsia="Times New Roman" w:hAnsi="Times New Roman" w:cs="Times New Roman"/>
          <w:sz w:val="24"/>
          <w:szCs w:val="24"/>
        </w:rPr>
        <w:t>include :</w:t>
      </w:r>
      <w:proofErr w:type="gramEnd"/>
    </w:p>
    <w:p w:rsidR="00014989" w:rsidRPr="00014989" w:rsidRDefault="00014989" w:rsidP="0001498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commercial buildings; </w:t>
      </w:r>
    </w:p>
    <w:p w:rsidR="00014989" w:rsidRPr="00014989" w:rsidRDefault="00014989" w:rsidP="0001498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residential buildings; </w:t>
      </w:r>
    </w:p>
    <w:p w:rsidR="00014989" w:rsidRPr="00014989" w:rsidRDefault="00014989" w:rsidP="0001498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any guest house; </w:t>
      </w:r>
    </w:p>
    <w:p w:rsidR="00014989" w:rsidRPr="00014989" w:rsidRDefault="00014989" w:rsidP="0001498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014989">
        <w:rPr>
          <w:rFonts w:ascii="Times New Roman" w:eastAsia="Times New Roman" w:hAnsi="Times New Roman" w:cs="Times New Roman"/>
          <w:sz w:val="24"/>
          <w:szCs w:val="24"/>
        </w:rPr>
        <w:t>a</w:t>
      </w:r>
      <w:proofErr w:type="gramEnd"/>
      <w:r w:rsidRPr="00014989">
        <w:rPr>
          <w:rFonts w:ascii="Times New Roman" w:eastAsia="Times New Roman" w:hAnsi="Times New Roman" w:cs="Times New Roman"/>
          <w:sz w:val="24"/>
          <w:szCs w:val="24"/>
        </w:rPr>
        <w:t xml:space="preserve"> farm house situated within 25 </w:t>
      </w:r>
      <w:proofErr w:type="spellStart"/>
      <w:r w:rsidRPr="00014989">
        <w:rPr>
          <w:rFonts w:ascii="Times New Roman" w:eastAsia="Times New Roman" w:hAnsi="Times New Roman" w:cs="Times New Roman"/>
          <w:sz w:val="24"/>
          <w:szCs w:val="24"/>
        </w:rPr>
        <w:t>kilometres</w:t>
      </w:r>
      <w:proofErr w:type="spellEnd"/>
      <w:r w:rsidRPr="00014989">
        <w:rPr>
          <w:rFonts w:ascii="Times New Roman" w:eastAsia="Times New Roman" w:hAnsi="Times New Roman" w:cs="Times New Roman"/>
          <w:sz w:val="24"/>
          <w:szCs w:val="24"/>
        </w:rPr>
        <w:t xml:space="preserve"> from the local limits of any municipality (whether known as Municipality, Municipal Corporation or by any other name) or a Cantonment Board. </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However, the following buildings will not be included to assets:</w:t>
      </w:r>
    </w:p>
    <w:p w:rsidR="00014989" w:rsidRPr="00014989" w:rsidRDefault="00014989" w:rsidP="0001498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lastRenderedPageBreak/>
        <w:t>a house meant for residential purposes which is allotted by a company to an employee or an officer or a director who is in whole time employment, having a gross annual salary of less than Rs. 5,00,000/-.</w:t>
      </w:r>
    </w:p>
    <w:p w:rsidR="00014989" w:rsidRPr="00014989" w:rsidRDefault="00014989" w:rsidP="0001498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any house for residential or commercial purposes which forms part of stock-in-trade;</w:t>
      </w:r>
    </w:p>
    <w:p w:rsidR="00014989" w:rsidRPr="00014989" w:rsidRDefault="00014989" w:rsidP="00014989">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014989">
        <w:rPr>
          <w:rFonts w:ascii="Times New Roman" w:eastAsia="Times New Roman" w:hAnsi="Times New Roman" w:cs="Times New Roman"/>
          <w:sz w:val="24"/>
          <w:szCs w:val="24"/>
        </w:rPr>
        <w:t>any</w:t>
      </w:r>
      <w:proofErr w:type="gramEnd"/>
      <w:r w:rsidRPr="00014989">
        <w:rPr>
          <w:rFonts w:ascii="Times New Roman" w:eastAsia="Times New Roman" w:hAnsi="Times New Roman" w:cs="Times New Roman"/>
          <w:sz w:val="24"/>
          <w:szCs w:val="24"/>
        </w:rPr>
        <w:t xml:space="preserve"> house which the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may occupy for the purposes of any business of profession carried on by him.</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The following buildings shall also not be an asset </w:t>
      </w:r>
      <w:proofErr w:type="spellStart"/>
      <w:r w:rsidRPr="00014989">
        <w:rPr>
          <w:rFonts w:ascii="Times New Roman" w:eastAsia="Times New Roman" w:hAnsi="Times New Roman" w:cs="Times New Roman"/>
          <w:sz w:val="24"/>
          <w:szCs w:val="24"/>
        </w:rPr>
        <w:t>w.e.f</w:t>
      </w:r>
      <w:proofErr w:type="spellEnd"/>
      <w:r w:rsidRPr="00014989">
        <w:rPr>
          <w:rFonts w:ascii="Times New Roman" w:eastAsia="Times New Roman" w:hAnsi="Times New Roman" w:cs="Times New Roman"/>
          <w:sz w:val="24"/>
          <w:szCs w:val="24"/>
        </w:rPr>
        <w:t>. A.Y. 1999-2000:</w:t>
      </w:r>
    </w:p>
    <w:p w:rsidR="00014989" w:rsidRPr="00014989" w:rsidRDefault="00014989" w:rsidP="00014989">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014989">
        <w:rPr>
          <w:rFonts w:ascii="Times New Roman" w:eastAsia="Times New Roman" w:hAnsi="Times New Roman" w:cs="Times New Roman"/>
          <w:sz w:val="24"/>
          <w:szCs w:val="24"/>
        </w:rPr>
        <w:t>any</w:t>
      </w:r>
      <w:proofErr w:type="gramEnd"/>
      <w:r w:rsidRPr="00014989">
        <w:rPr>
          <w:rFonts w:ascii="Times New Roman" w:eastAsia="Times New Roman" w:hAnsi="Times New Roman" w:cs="Times New Roman"/>
          <w:sz w:val="24"/>
          <w:szCs w:val="24"/>
        </w:rPr>
        <w:t xml:space="preserve"> residential property that has been let out for a minimum period of 300 days in the previous year.</w:t>
      </w:r>
    </w:p>
    <w:p w:rsidR="00014989" w:rsidRPr="00014989" w:rsidRDefault="00014989" w:rsidP="00014989">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014989">
        <w:rPr>
          <w:rFonts w:ascii="Times New Roman" w:eastAsia="Times New Roman" w:hAnsi="Times New Roman" w:cs="Times New Roman"/>
          <w:sz w:val="24"/>
          <w:szCs w:val="24"/>
        </w:rPr>
        <w:t>any</w:t>
      </w:r>
      <w:proofErr w:type="gramEnd"/>
      <w:r w:rsidRPr="00014989">
        <w:rPr>
          <w:rFonts w:ascii="Times New Roman" w:eastAsia="Times New Roman" w:hAnsi="Times New Roman" w:cs="Times New Roman"/>
          <w:sz w:val="24"/>
          <w:szCs w:val="24"/>
        </w:rPr>
        <w:t xml:space="preserve">   property   in   the   nature   of  </w:t>
      </w:r>
      <w:r w:rsidR="001E7E48" w:rsidRPr="00014989">
        <w:rPr>
          <w:rFonts w:ascii="Times New Roman" w:eastAsia="Times New Roman" w:hAnsi="Times New Roman" w:cs="Times New Roman"/>
          <w:sz w:val="24"/>
          <w:szCs w:val="24"/>
        </w:rPr>
        <w:t>commercial establishments</w:t>
      </w:r>
      <w:r w:rsidRPr="00014989">
        <w:rPr>
          <w:rFonts w:ascii="Times New Roman" w:eastAsia="Times New Roman" w:hAnsi="Times New Roman" w:cs="Times New Roman"/>
          <w:sz w:val="24"/>
          <w:szCs w:val="24"/>
        </w:rPr>
        <w:t xml:space="preserve"> or complexes.</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(2)  Motor Cars (excluding those used by the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in the business of running them on hire or as stock-in-trade).</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(3)   </w:t>
      </w:r>
      <w:proofErr w:type="spellStart"/>
      <w:r w:rsidRPr="00014989">
        <w:rPr>
          <w:rFonts w:ascii="Times New Roman" w:eastAsia="Times New Roman" w:hAnsi="Times New Roman" w:cs="Times New Roman"/>
          <w:sz w:val="24"/>
          <w:szCs w:val="24"/>
        </w:rPr>
        <w:t>Jewellery</w:t>
      </w:r>
      <w:proofErr w:type="spellEnd"/>
      <w:r w:rsidRPr="00014989">
        <w:rPr>
          <w:rFonts w:ascii="Times New Roman" w:eastAsia="Times New Roman" w:hAnsi="Times New Roman" w:cs="Times New Roman"/>
          <w:sz w:val="24"/>
          <w:szCs w:val="24"/>
        </w:rPr>
        <w:t xml:space="preserve">, bullion, furniture, utensils or any other, article made wholly or partly of gold, silver, platinum or any other previous metal or any alloy containing one or more of such precious metals (excluding those held as stock-in-trade by the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w:t>
      </w:r>
      <w:proofErr w:type="spellStart"/>
      <w:r w:rsidRPr="00014989">
        <w:rPr>
          <w:rFonts w:ascii="Times New Roman" w:eastAsia="Times New Roman" w:hAnsi="Times New Roman" w:cs="Times New Roman"/>
          <w:sz w:val="24"/>
          <w:szCs w:val="24"/>
        </w:rPr>
        <w:t>Jewellery</w:t>
      </w:r>
      <w:proofErr w:type="spellEnd"/>
      <w:r w:rsidRPr="00014989">
        <w:rPr>
          <w:rFonts w:ascii="Times New Roman" w:eastAsia="Times New Roman" w:hAnsi="Times New Roman" w:cs="Times New Roman"/>
          <w:sz w:val="24"/>
          <w:szCs w:val="24"/>
        </w:rPr>
        <w:t xml:space="preserve"> includes:</w:t>
      </w:r>
    </w:p>
    <w:p w:rsidR="00014989" w:rsidRPr="00014989" w:rsidRDefault="00014989" w:rsidP="0001498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ornaments made of gold, silver, platinum or any other precious metal of any alloy containing one or more of such precious metals, whether or not" containing any precious or semi-precious stones, and whether or not set in any furniture, utensils or other article or worked or sewn </w:t>
      </w:r>
      <w:proofErr w:type="spellStart"/>
      <w:r w:rsidRPr="00014989">
        <w:rPr>
          <w:rFonts w:ascii="Times New Roman" w:eastAsia="Times New Roman" w:hAnsi="Times New Roman" w:cs="Times New Roman"/>
          <w:sz w:val="24"/>
          <w:szCs w:val="24"/>
        </w:rPr>
        <w:t>into~any</w:t>
      </w:r>
      <w:proofErr w:type="spellEnd"/>
      <w:r w:rsidRPr="00014989">
        <w:rPr>
          <w:rFonts w:ascii="Times New Roman" w:eastAsia="Times New Roman" w:hAnsi="Times New Roman" w:cs="Times New Roman"/>
          <w:sz w:val="24"/>
          <w:szCs w:val="24"/>
        </w:rPr>
        <w:t xml:space="preserve"> wearing apparel;</w:t>
      </w:r>
    </w:p>
    <w:p w:rsidR="00014989" w:rsidRPr="00014989" w:rsidRDefault="00014989" w:rsidP="00014989">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014989">
        <w:rPr>
          <w:rFonts w:ascii="Times New Roman" w:eastAsia="Times New Roman" w:hAnsi="Times New Roman" w:cs="Times New Roman"/>
          <w:sz w:val="24"/>
          <w:szCs w:val="24"/>
        </w:rPr>
        <w:t>precious</w:t>
      </w:r>
      <w:proofErr w:type="gramEnd"/>
      <w:r w:rsidRPr="00014989">
        <w:rPr>
          <w:rFonts w:ascii="Times New Roman" w:eastAsia="Times New Roman" w:hAnsi="Times New Roman" w:cs="Times New Roman"/>
          <w:sz w:val="24"/>
          <w:szCs w:val="24"/>
        </w:rPr>
        <w:t xml:space="preserve"> or semi-precious stones, whether or not set in any furniture, utensils or other articles or worked or sewn into any wearing apparel.</w:t>
      </w:r>
    </w:p>
    <w:p w:rsidR="00014989" w:rsidRPr="00014989" w:rsidRDefault="00014989" w:rsidP="00014989">
      <w:pPr>
        <w:spacing w:before="100" w:beforeAutospacing="1" w:after="100" w:afterAutospacing="1" w:line="240" w:lineRule="auto"/>
        <w:jc w:val="center"/>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For the removal of doubts it has been clarified by explanation 2 to section 2(ea) that the term </w:t>
      </w:r>
      <w:proofErr w:type="spellStart"/>
      <w:r w:rsidRPr="00014989">
        <w:rPr>
          <w:rFonts w:ascii="Times New Roman" w:eastAsia="Times New Roman" w:hAnsi="Times New Roman" w:cs="Times New Roman"/>
          <w:sz w:val="24"/>
          <w:szCs w:val="24"/>
        </w:rPr>
        <w:t>jewellery</w:t>
      </w:r>
      <w:proofErr w:type="spellEnd"/>
      <w:r w:rsidRPr="00014989">
        <w:rPr>
          <w:rFonts w:ascii="Times New Roman" w:eastAsia="Times New Roman" w:hAnsi="Times New Roman" w:cs="Times New Roman"/>
          <w:sz w:val="24"/>
          <w:szCs w:val="24"/>
        </w:rPr>
        <w:t xml:space="preserve"> does not include the Gold Deposit Bonds issued under the Gold Deposit Scheme, 1999 notified by the Central Government.</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(4)  Yachts, boats and aircrafts (excluding those used by the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for commercial purposes).</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(5)   Urban land; "Urban Land" means land </w:t>
      </w:r>
      <w:proofErr w:type="gramStart"/>
      <w:r w:rsidRPr="00014989">
        <w:rPr>
          <w:rFonts w:ascii="Times New Roman" w:eastAsia="Times New Roman" w:hAnsi="Times New Roman" w:cs="Times New Roman"/>
          <w:sz w:val="24"/>
          <w:szCs w:val="24"/>
        </w:rPr>
        <w:t>situated :</w:t>
      </w:r>
      <w:proofErr w:type="gramEnd"/>
    </w:p>
    <w:p w:rsidR="00014989" w:rsidRPr="00014989" w:rsidRDefault="00014989" w:rsidP="000149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in any area which is comprised within the jurisdiction of a local authority and which has a population of not less than ten thousand according to the last proceeding census of which the relevant figures have been published before the valuation date; or</w:t>
      </w:r>
    </w:p>
    <w:p w:rsidR="00014989" w:rsidRPr="00014989" w:rsidRDefault="00014989" w:rsidP="000149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any area within such distance, not being more than eight </w:t>
      </w:r>
      <w:proofErr w:type="spellStart"/>
      <w:r w:rsidRPr="00014989">
        <w:rPr>
          <w:rFonts w:ascii="Times New Roman" w:eastAsia="Times New Roman" w:hAnsi="Times New Roman" w:cs="Times New Roman"/>
          <w:sz w:val="24"/>
          <w:szCs w:val="24"/>
        </w:rPr>
        <w:t>kilometres</w:t>
      </w:r>
      <w:proofErr w:type="spellEnd"/>
      <w:r w:rsidRPr="00014989">
        <w:rPr>
          <w:rFonts w:ascii="Times New Roman" w:eastAsia="Times New Roman" w:hAnsi="Times New Roman" w:cs="Times New Roman"/>
          <w:sz w:val="24"/>
          <w:szCs w:val="24"/>
        </w:rPr>
        <w:t xml:space="preserve"> from the local limits of a local authority as the Central Government may, having regard to the extent, and scope for </w:t>
      </w:r>
      <w:proofErr w:type="spellStart"/>
      <w:r w:rsidRPr="00014989">
        <w:rPr>
          <w:rFonts w:ascii="Times New Roman" w:eastAsia="Times New Roman" w:hAnsi="Times New Roman" w:cs="Times New Roman"/>
          <w:sz w:val="24"/>
          <w:szCs w:val="24"/>
        </w:rPr>
        <w:t>urbanisation</w:t>
      </w:r>
      <w:proofErr w:type="spellEnd"/>
      <w:r w:rsidRPr="00014989">
        <w:rPr>
          <w:rFonts w:ascii="Times New Roman" w:eastAsia="Times New Roman" w:hAnsi="Times New Roman" w:cs="Times New Roman"/>
          <w:sz w:val="24"/>
          <w:szCs w:val="24"/>
        </w:rPr>
        <w:t xml:space="preserve"> of that may, and other relevant considerations, specify in this behalf by notification in the Official Gazette.</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However, the following urban land shall not be included in assets;</w:t>
      </w:r>
    </w:p>
    <w:p w:rsidR="00014989" w:rsidRPr="00014989" w:rsidRDefault="00014989" w:rsidP="0001498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lastRenderedPageBreak/>
        <w:t>land on which construction of a building is not permissible under any law for the time being in force in the area in which such land is situated;</w:t>
      </w:r>
    </w:p>
    <w:p w:rsidR="00014989" w:rsidRPr="00014989" w:rsidRDefault="00014989" w:rsidP="0001498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land occupied by any building which has been constructed with the approval of the appropriate authority;</w:t>
      </w:r>
    </w:p>
    <w:p w:rsidR="00014989" w:rsidRPr="00014989" w:rsidRDefault="001E7E48" w:rsidP="0001498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Any</w:t>
      </w:r>
      <w:r w:rsidR="00014989" w:rsidRPr="00014989">
        <w:rPr>
          <w:rFonts w:ascii="Times New Roman" w:eastAsia="Times New Roman" w:hAnsi="Times New Roman" w:cs="Times New Roman"/>
          <w:sz w:val="24"/>
          <w:szCs w:val="24"/>
        </w:rPr>
        <w:t xml:space="preserve"> unused land held by the </w:t>
      </w:r>
      <w:proofErr w:type="spellStart"/>
      <w:r w:rsidR="00014989" w:rsidRPr="00014989">
        <w:rPr>
          <w:rFonts w:ascii="Times New Roman" w:eastAsia="Times New Roman" w:hAnsi="Times New Roman" w:cs="Times New Roman"/>
          <w:sz w:val="24"/>
          <w:szCs w:val="24"/>
        </w:rPr>
        <w:t>assessee</w:t>
      </w:r>
      <w:proofErr w:type="spellEnd"/>
      <w:r w:rsidR="00014989" w:rsidRPr="00014989">
        <w:rPr>
          <w:rFonts w:ascii="Times New Roman" w:eastAsia="Times New Roman" w:hAnsi="Times New Roman" w:cs="Times New Roman"/>
          <w:sz w:val="24"/>
          <w:szCs w:val="24"/>
        </w:rPr>
        <w:t xml:space="preserve"> for industrial purposes for a period of two years from the date of its acquisition by him.</w:t>
      </w:r>
    </w:p>
    <w:p w:rsidR="00014989" w:rsidRPr="00014989" w:rsidRDefault="001E7E48" w:rsidP="0001498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Land</w:t>
      </w:r>
      <w:r w:rsidR="00014989" w:rsidRPr="00014989">
        <w:rPr>
          <w:rFonts w:ascii="Times New Roman" w:eastAsia="Times New Roman" w:hAnsi="Times New Roman" w:cs="Times New Roman"/>
          <w:sz w:val="24"/>
          <w:szCs w:val="24"/>
        </w:rPr>
        <w:t xml:space="preserve"> held by an </w:t>
      </w:r>
      <w:proofErr w:type="spellStart"/>
      <w:r w:rsidR="00014989" w:rsidRPr="00014989">
        <w:rPr>
          <w:rFonts w:ascii="Times New Roman" w:eastAsia="Times New Roman" w:hAnsi="Times New Roman" w:cs="Times New Roman"/>
          <w:sz w:val="24"/>
          <w:szCs w:val="24"/>
        </w:rPr>
        <w:t>assessee</w:t>
      </w:r>
      <w:proofErr w:type="spellEnd"/>
      <w:r w:rsidR="00014989" w:rsidRPr="00014989">
        <w:rPr>
          <w:rFonts w:ascii="Times New Roman" w:eastAsia="Times New Roman" w:hAnsi="Times New Roman" w:cs="Times New Roman"/>
          <w:sz w:val="24"/>
          <w:szCs w:val="24"/>
        </w:rPr>
        <w:t xml:space="preserve"> as stock-in-trade for a period of five years from the date of its acquisition by him. (Ten years </w:t>
      </w:r>
      <w:proofErr w:type="spellStart"/>
      <w:r w:rsidR="00014989" w:rsidRPr="00014989">
        <w:rPr>
          <w:rFonts w:ascii="Times New Roman" w:eastAsia="Times New Roman" w:hAnsi="Times New Roman" w:cs="Times New Roman"/>
          <w:sz w:val="24"/>
          <w:szCs w:val="24"/>
        </w:rPr>
        <w:t>w.e.f</w:t>
      </w:r>
      <w:proofErr w:type="spellEnd"/>
      <w:r w:rsidR="00014989" w:rsidRPr="00014989">
        <w:rPr>
          <w:rFonts w:ascii="Times New Roman" w:eastAsia="Times New Roman" w:hAnsi="Times New Roman" w:cs="Times New Roman"/>
          <w:sz w:val="24"/>
          <w:szCs w:val="24"/>
        </w:rPr>
        <w:t>. A.Y. 1999-2000).</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Note: Agricultural land situated in urban area is not liable to wealth-tax.</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(6)   Cash in hand;</w:t>
      </w:r>
    </w:p>
    <w:p w:rsidR="00014989" w:rsidRPr="00014989" w:rsidRDefault="00014989" w:rsidP="0001498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In case of an individual and HUF cash in hand in excess of Rs. 50,000/- shall be included in assets.</w:t>
      </w:r>
    </w:p>
    <w:p w:rsidR="00014989" w:rsidRPr="00014989" w:rsidRDefault="00014989" w:rsidP="0001498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In cash of any other person cash in hand not recorded in the books of account shall be included in assets.</w:t>
      </w:r>
    </w:p>
    <w:tbl>
      <w:tblPr>
        <w:tblW w:w="5000" w:type="pct"/>
        <w:tblCellSpacing w:w="0" w:type="dxa"/>
        <w:shd w:val="clear" w:color="auto" w:fill="EEEEEE"/>
        <w:tblCellMar>
          <w:left w:w="0" w:type="dxa"/>
          <w:right w:w="0" w:type="dxa"/>
        </w:tblCellMar>
        <w:tblLook w:val="04A0"/>
      </w:tblPr>
      <w:tblGrid>
        <w:gridCol w:w="9360"/>
      </w:tblGrid>
      <w:tr w:rsidR="00014989" w:rsidRPr="00014989" w:rsidTr="00014989">
        <w:trPr>
          <w:trHeight w:val="15"/>
          <w:tblCellSpacing w:w="0" w:type="dxa"/>
        </w:trPr>
        <w:tc>
          <w:tcPr>
            <w:tcW w:w="0" w:type="auto"/>
            <w:shd w:val="clear" w:color="auto" w:fill="CCCCCC"/>
            <w:vAlign w:val="center"/>
            <w:hideMark/>
          </w:tcPr>
          <w:p w:rsidR="00014989" w:rsidRPr="00014989" w:rsidRDefault="00014989" w:rsidP="00014989">
            <w:pPr>
              <w:spacing w:after="0" w:line="15" w:lineRule="atLeast"/>
              <w:rPr>
                <w:rFonts w:ascii="Times New Roman" w:eastAsia="Times New Roman" w:hAnsi="Times New Roman" w:cs="Times New Roman"/>
                <w:sz w:val="24"/>
                <w:szCs w:val="24"/>
              </w:rPr>
            </w:pPr>
          </w:p>
        </w:tc>
      </w:tr>
    </w:tbl>
    <w:p w:rsidR="00014989" w:rsidRPr="00014989" w:rsidRDefault="00014989" w:rsidP="00014989">
      <w:pPr>
        <w:spacing w:before="100" w:beforeAutospacing="1" w:after="100" w:afterAutospacing="1" w:line="240" w:lineRule="auto"/>
        <w:rPr>
          <w:rFonts w:ascii="Times New Roman" w:eastAsia="Times New Roman" w:hAnsi="Times New Roman" w:cs="Times New Roman"/>
          <w:color w:val="FFFFFF" w:themeColor="background1"/>
          <w:sz w:val="24"/>
          <w:szCs w:val="24"/>
        </w:rPr>
      </w:pPr>
      <w:bookmarkStart w:id="3" w:name="DeemedAssets"/>
      <w:bookmarkEnd w:id="3"/>
      <w:r w:rsidRPr="00014989">
        <w:rPr>
          <w:rFonts w:ascii="Times New Roman" w:eastAsia="Times New Roman" w:hAnsi="Times New Roman" w:cs="Times New Roman"/>
          <w:b/>
          <w:bCs/>
          <w:color w:val="FFFFFF" w:themeColor="background1"/>
          <w:sz w:val="24"/>
          <w:szCs w:val="24"/>
          <w:highlight w:val="black"/>
        </w:rPr>
        <w:t>4. Deemed Assets</w:t>
      </w:r>
    </w:p>
    <w:p w:rsidR="00014989" w:rsidRPr="00014989" w:rsidRDefault="00014989" w:rsidP="00014989">
      <w:p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 xml:space="preserve">In computing the net wealth of an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the following assets are included as belonging to the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by virtue of section 4(l</w:t>
      </w:r>
      <w:proofErr w:type="gramStart"/>
      <w:r w:rsidRPr="00014989">
        <w:rPr>
          <w:rFonts w:ascii="Times New Roman" w:eastAsia="Times New Roman" w:hAnsi="Times New Roman" w:cs="Times New Roman"/>
          <w:sz w:val="24"/>
          <w:szCs w:val="24"/>
        </w:rPr>
        <w:t>)(</w:t>
      </w:r>
      <w:proofErr w:type="gramEnd"/>
      <w:r w:rsidRPr="00014989">
        <w:rPr>
          <w:rFonts w:ascii="Times New Roman" w:eastAsia="Times New Roman" w:hAnsi="Times New Roman" w:cs="Times New Roman"/>
          <w:sz w:val="24"/>
          <w:szCs w:val="24"/>
        </w:rPr>
        <w:t>a) of the Wealth Tax Act, 1957.</w:t>
      </w:r>
    </w:p>
    <w:p w:rsidR="00014989" w:rsidRPr="00014989" w:rsidRDefault="00014989" w:rsidP="000149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Assets transferred by one spouse or another.</w:t>
      </w:r>
    </w:p>
    <w:p w:rsidR="00014989" w:rsidRPr="00014989" w:rsidRDefault="00014989" w:rsidP="000149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Assets held by minor children.</w:t>
      </w:r>
      <w:r w:rsidRPr="00014989">
        <w:rPr>
          <w:rFonts w:ascii="Times New Roman" w:eastAsia="Times New Roman" w:hAnsi="Times New Roman" w:cs="Times New Roman"/>
          <w:sz w:val="24"/>
          <w:szCs w:val="24"/>
        </w:rPr>
        <w:br/>
        <w:t xml:space="preserve">Whether the assets are held by a physically or mentally handicapped minor child (specified in section SOU of the Income Tax Act) such assets will not be clubbed with the net wealth of the parent. In such a case the net wealth of the handicapped minor child shall be determined separately and </w:t>
      </w:r>
      <w:proofErr w:type="spellStart"/>
      <w:r w:rsidRPr="00014989">
        <w:rPr>
          <w:rFonts w:ascii="Times New Roman" w:eastAsia="Times New Roman" w:hAnsi="Times New Roman" w:cs="Times New Roman"/>
          <w:sz w:val="24"/>
          <w:szCs w:val="24"/>
        </w:rPr>
        <w:t>assessee</w:t>
      </w:r>
      <w:proofErr w:type="spellEnd"/>
      <w:r w:rsidRPr="00014989">
        <w:rPr>
          <w:rFonts w:ascii="Times New Roman" w:eastAsia="Times New Roman" w:hAnsi="Times New Roman" w:cs="Times New Roman"/>
          <w:sz w:val="24"/>
          <w:szCs w:val="24"/>
        </w:rPr>
        <w:t xml:space="preserve"> in his hands.</w:t>
      </w:r>
    </w:p>
    <w:p w:rsidR="00014989" w:rsidRPr="00014989" w:rsidRDefault="00014989" w:rsidP="000149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Assets transferred to a person or an Association of Persons for immediate</w:t>
      </w:r>
      <w:proofErr w:type="gramStart"/>
      <w:r w:rsidRPr="00014989">
        <w:rPr>
          <w:rFonts w:ascii="Times New Roman" w:eastAsia="Times New Roman" w:hAnsi="Times New Roman" w:cs="Times New Roman"/>
          <w:sz w:val="24"/>
          <w:szCs w:val="24"/>
        </w:rPr>
        <w:t>  or</w:t>
      </w:r>
      <w:proofErr w:type="gramEnd"/>
      <w:r w:rsidRPr="00014989">
        <w:rPr>
          <w:rFonts w:ascii="Times New Roman" w:eastAsia="Times New Roman" w:hAnsi="Times New Roman" w:cs="Times New Roman"/>
          <w:sz w:val="24"/>
          <w:szCs w:val="24"/>
        </w:rPr>
        <w:t xml:space="preserve"> deferred benefit of the </w:t>
      </w:r>
      <w:proofErr w:type="spellStart"/>
      <w:r w:rsidRPr="00014989">
        <w:rPr>
          <w:rFonts w:ascii="Times New Roman" w:eastAsia="Times New Roman" w:hAnsi="Times New Roman" w:cs="Times New Roman"/>
          <w:sz w:val="24"/>
          <w:szCs w:val="24"/>
        </w:rPr>
        <w:t>transferrer</w:t>
      </w:r>
      <w:proofErr w:type="spellEnd"/>
      <w:r w:rsidRPr="00014989">
        <w:rPr>
          <w:rFonts w:ascii="Times New Roman" w:eastAsia="Times New Roman" w:hAnsi="Times New Roman" w:cs="Times New Roman"/>
          <w:sz w:val="24"/>
          <w:szCs w:val="24"/>
        </w:rPr>
        <w:t>,   his   or   her   spouse   without   adequate consideration.</w:t>
      </w:r>
    </w:p>
    <w:p w:rsidR="00014989" w:rsidRPr="00014989" w:rsidRDefault="00014989" w:rsidP="000149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Assets transferred under revocable transfer.</w:t>
      </w:r>
    </w:p>
    <w:p w:rsidR="00014989" w:rsidRPr="00014989" w:rsidRDefault="00014989" w:rsidP="0001498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14989">
        <w:rPr>
          <w:rFonts w:ascii="Times New Roman" w:eastAsia="Times New Roman" w:hAnsi="Times New Roman" w:cs="Times New Roman"/>
          <w:sz w:val="24"/>
          <w:szCs w:val="24"/>
        </w:rPr>
        <w:t>Assets transferred to son's wife.</w:t>
      </w:r>
      <w:r w:rsidRPr="00014989">
        <w:rPr>
          <w:rFonts w:ascii="Times New Roman" w:eastAsia="Times New Roman" w:hAnsi="Times New Roman" w:cs="Times New Roman"/>
          <w:sz w:val="24"/>
          <w:szCs w:val="24"/>
        </w:rPr>
        <w:br/>
        <w:t>Assets   transferred   to   a   person   or</w:t>
      </w:r>
      <w:proofErr w:type="gramStart"/>
      <w:r w:rsidRPr="00014989">
        <w:rPr>
          <w:rFonts w:ascii="Times New Roman" w:eastAsia="Times New Roman" w:hAnsi="Times New Roman" w:cs="Times New Roman"/>
          <w:sz w:val="24"/>
          <w:szCs w:val="24"/>
        </w:rPr>
        <w:t>  Association</w:t>
      </w:r>
      <w:proofErr w:type="gramEnd"/>
      <w:r w:rsidRPr="00014989">
        <w:rPr>
          <w:rFonts w:ascii="Times New Roman" w:eastAsia="Times New Roman" w:hAnsi="Times New Roman" w:cs="Times New Roman"/>
          <w:sz w:val="24"/>
          <w:szCs w:val="24"/>
        </w:rPr>
        <w:t>   of Persons for the benefit of son's wife.</w:t>
      </w:r>
    </w:p>
    <w:p w:rsidR="00014989" w:rsidRPr="00E14A66" w:rsidRDefault="00014989" w:rsidP="00014989">
      <w:pPr>
        <w:pStyle w:val="NormalWeb"/>
        <w:rPr>
          <w:color w:val="FFFFFF" w:themeColor="background1"/>
        </w:rPr>
      </w:pPr>
    </w:p>
    <w:p w:rsidR="000A050E" w:rsidRPr="000A050E" w:rsidRDefault="000A050E" w:rsidP="000A050E">
      <w:pPr>
        <w:spacing w:before="100" w:beforeAutospacing="1" w:after="100" w:afterAutospacing="1" w:line="240" w:lineRule="auto"/>
        <w:rPr>
          <w:rFonts w:ascii="Times New Roman" w:eastAsia="Times New Roman" w:hAnsi="Times New Roman" w:cs="Times New Roman"/>
          <w:color w:val="FFFFFF" w:themeColor="background1"/>
          <w:sz w:val="24"/>
          <w:szCs w:val="24"/>
        </w:rPr>
      </w:pPr>
      <w:r w:rsidRPr="000A050E">
        <w:rPr>
          <w:rFonts w:ascii="Times New Roman" w:eastAsia="Times New Roman" w:hAnsi="Times New Roman" w:cs="Times New Roman"/>
          <w:b/>
          <w:bCs/>
          <w:color w:val="FFFFFF" w:themeColor="background1"/>
          <w:sz w:val="24"/>
          <w:szCs w:val="24"/>
          <w:highlight w:val="black"/>
        </w:rPr>
        <w:t>5. Exempt Assets</w:t>
      </w:r>
    </w:p>
    <w:p w:rsidR="000A050E" w:rsidRPr="000A050E" w:rsidRDefault="000A050E" w:rsidP="000A050E">
      <w:p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The following assets are totally exempt from Wealth Tax (Section </w:t>
      </w:r>
      <w:r w:rsidRPr="000A050E">
        <w:rPr>
          <w:rFonts w:ascii="Times New Roman" w:eastAsia="Times New Roman" w:hAnsi="Times New Roman" w:cs="Times New Roman"/>
          <w:i/>
          <w:iCs/>
          <w:sz w:val="24"/>
          <w:szCs w:val="24"/>
        </w:rPr>
        <w:t>5).</w:t>
      </w:r>
    </w:p>
    <w:p w:rsidR="000A050E" w:rsidRPr="000A050E" w:rsidRDefault="000A050E" w:rsidP="000A050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Property held under a trust or other legal obligation for any public purpose of a charitable or religious nature  in India subject to the  satisfaction of the stipulated conditions;</w:t>
      </w:r>
    </w:p>
    <w:p w:rsidR="000A050E" w:rsidRPr="000A050E" w:rsidRDefault="000A050E" w:rsidP="000A050E">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spellStart"/>
      <w:r w:rsidRPr="000A050E">
        <w:rPr>
          <w:rFonts w:ascii="Times New Roman" w:eastAsia="Times New Roman" w:hAnsi="Times New Roman" w:cs="Times New Roman"/>
          <w:sz w:val="24"/>
          <w:szCs w:val="24"/>
        </w:rPr>
        <w:t>Coparcenary</w:t>
      </w:r>
      <w:proofErr w:type="spellEnd"/>
      <w:r w:rsidRPr="000A050E">
        <w:rPr>
          <w:rFonts w:ascii="Times New Roman" w:eastAsia="Times New Roman" w:hAnsi="Times New Roman" w:cs="Times New Roman"/>
          <w:sz w:val="24"/>
          <w:szCs w:val="24"/>
        </w:rPr>
        <w:t xml:space="preserve"> interest in a HUF property;</w:t>
      </w:r>
    </w:p>
    <w:p w:rsidR="000A050E" w:rsidRPr="000A050E" w:rsidRDefault="000A050E" w:rsidP="000A050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lastRenderedPageBreak/>
        <w:t>One residential building belonging to a former Ruler;</w:t>
      </w:r>
    </w:p>
    <w:p w:rsidR="000A050E" w:rsidRPr="000A050E" w:rsidRDefault="000A050E" w:rsidP="000A050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Former   Ruler's  </w:t>
      </w:r>
      <w:proofErr w:type="spellStart"/>
      <w:r w:rsidRPr="000A050E">
        <w:rPr>
          <w:rFonts w:ascii="Times New Roman" w:eastAsia="Times New Roman" w:hAnsi="Times New Roman" w:cs="Times New Roman"/>
          <w:sz w:val="24"/>
          <w:szCs w:val="24"/>
        </w:rPr>
        <w:t>jewellery</w:t>
      </w:r>
      <w:proofErr w:type="spellEnd"/>
      <w:r w:rsidRPr="000A050E">
        <w:rPr>
          <w:rFonts w:ascii="Times New Roman" w:eastAsia="Times New Roman" w:hAnsi="Times New Roman" w:cs="Times New Roman"/>
          <w:sz w:val="24"/>
          <w:szCs w:val="24"/>
        </w:rPr>
        <w:t xml:space="preserve">   (excluding   his   personal </w:t>
      </w:r>
      <w:proofErr w:type="spellStart"/>
      <w:r w:rsidRPr="000A050E">
        <w:rPr>
          <w:rFonts w:ascii="Times New Roman" w:eastAsia="Times New Roman" w:hAnsi="Times New Roman" w:cs="Times New Roman"/>
          <w:sz w:val="24"/>
          <w:szCs w:val="24"/>
        </w:rPr>
        <w:t>jewellery</w:t>
      </w:r>
      <w:proofErr w:type="spellEnd"/>
      <w:r w:rsidRPr="000A050E">
        <w:rPr>
          <w:rFonts w:ascii="Times New Roman" w:eastAsia="Times New Roman" w:hAnsi="Times New Roman" w:cs="Times New Roman"/>
          <w:sz w:val="24"/>
          <w:szCs w:val="24"/>
        </w:rPr>
        <w:t>) which has been recognized as a heirloom by the Central Government before 1.4.1957 or by the CBDT after that date;</w:t>
      </w:r>
    </w:p>
    <w:p w:rsidR="000A050E" w:rsidRPr="000A050E" w:rsidRDefault="000A050E" w:rsidP="000A050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Assets belonging to the Indian repatriates for 7 years on fulfillment of the conditions prescribed;</w:t>
      </w:r>
    </w:p>
    <w:p w:rsidR="000A050E" w:rsidRPr="000A050E" w:rsidRDefault="000A050E" w:rsidP="000A050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One</w:t>
      </w:r>
      <w:proofErr w:type="gramStart"/>
      <w:r w:rsidRPr="000A050E">
        <w:rPr>
          <w:rFonts w:ascii="Times New Roman" w:eastAsia="Times New Roman" w:hAnsi="Times New Roman" w:cs="Times New Roman"/>
          <w:sz w:val="24"/>
          <w:szCs w:val="24"/>
        </w:rPr>
        <w:t>  house</w:t>
      </w:r>
      <w:proofErr w:type="gramEnd"/>
      <w:r w:rsidRPr="000A050E">
        <w:rPr>
          <w:rFonts w:ascii="Times New Roman" w:eastAsia="Times New Roman" w:hAnsi="Times New Roman" w:cs="Times New Roman"/>
          <w:sz w:val="24"/>
          <w:szCs w:val="24"/>
        </w:rPr>
        <w:t>  or  part  of a  house   (with  effect  from 1.4.1999 one house or part of a house or a plot of land) belonging to an individual or HUF is exempt from Wealth Tax.</w:t>
      </w:r>
    </w:p>
    <w:p w:rsidR="00014989" w:rsidRDefault="00014989" w:rsidP="00014989">
      <w:pPr>
        <w:pStyle w:val="NormalWeb"/>
      </w:pPr>
    </w:p>
    <w:p w:rsidR="000A050E" w:rsidRPr="000A050E" w:rsidRDefault="000A050E" w:rsidP="000A050E">
      <w:pPr>
        <w:spacing w:before="100" w:beforeAutospacing="1" w:after="100" w:afterAutospacing="1" w:line="240" w:lineRule="auto"/>
        <w:rPr>
          <w:rFonts w:ascii="Times New Roman" w:eastAsia="Times New Roman" w:hAnsi="Times New Roman" w:cs="Times New Roman"/>
          <w:color w:val="FFFFFF" w:themeColor="background1"/>
          <w:sz w:val="24"/>
          <w:szCs w:val="24"/>
        </w:rPr>
      </w:pPr>
      <w:r w:rsidRPr="000A050E">
        <w:rPr>
          <w:rFonts w:ascii="Times New Roman" w:eastAsia="Times New Roman" w:hAnsi="Times New Roman" w:cs="Times New Roman"/>
          <w:b/>
          <w:bCs/>
          <w:color w:val="FFFFFF" w:themeColor="background1"/>
          <w:sz w:val="24"/>
          <w:szCs w:val="24"/>
          <w:highlight w:val="black"/>
        </w:rPr>
        <w:t>6.    Debts Owned</w:t>
      </w:r>
    </w:p>
    <w:p w:rsidR="000A050E" w:rsidRPr="000A050E" w:rsidRDefault="000A050E" w:rsidP="000A050E">
      <w:p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Wealth tax is levied on the 'net wealth' which means that from the aggregate of all assets (including deemed assets but excluding exempt assets) the value of debts owed on the valuation date shall be deducted subject to the satisfaction of the following two conditions viz.</w:t>
      </w:r>
    </w:p>
    <w:p w:rsidR="000A050E" w:rsidRPr="000A050E" w:rsidRDefault="000A050E" w:rsidP="000A050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Only debts which are 'owed' on the valuation date are deductible.</w:t>
      </w:r>
    </w:p>
    <w:p w:rsidR="000A050E" w:rsidRPr="000A050E" w:rsidRDefault="000A050E" w:rsidP="000A050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Debts should have been incurred in relation to those assets which are included in the net wealth of the </w:t>
      </w:r>
      <w:proofErr w:type="spellStart"/>
      <w:r w:rsidRPr="000A050E">
        <w:rPr>
          <w:rFonts w:ascii="Times New Roman" w:eastAsia="Times New Roman" w:hAnsi="Times New Roman" w:cs="Times New Roman"/>
          <w:sz w:val="24"/>
          <w:szCs w:val="24"/>
        </w:rPr>
        <w:t>assessee</w:t>
      </w:r>
      <w:proofErr w:type="spellEnd"/>
      <w:r w:rsidRPr="000A050E">
        <w:rPr>
          <w:rFonts w:ascii="Times New Roman" w:eastAsia="Times New Roman" w:hAnsi="Times New Roman" w:cs="Times New Roman"/>
          <w:sz w:val="24"/>
          <w:szCs w:val="24"/>
        </w:rPr>
        <w:t>.</w:t>
      </w:r>
    </w:p>
    <w:p w:rsidR="000A050E" w:rsidRPr="000A050E" w:rsidRDefault="000A050E" w:rsidP="000A050E">
      <w:p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Broadly, a debt could be defined as an obligation to pay a liquidated or certain sum of money. A sum which may or may not become due or the payment of which depends upon contingencies which may or may not happen is not a debt. (See </w:t>
      </w:r>
      <w:proofErr w:type="spellStart"/>
      <w:r w:rsidRPr="000A050E">
        <w:rPr>
          <w:rFonts w:ascii="Times New Roman" w:eastAsia="Times New Roman" w:hAnsi="Times New Roman" w:cs="Times New Roman"/>
          <w:sz w:val="24"/>
          <w:szCs w:val="24"/>
        </w:rPr>
        <w:t>Sardar</w:t>
      </w:r>
      <w:proofErr w:type="spellEnd"/>
      <w:r w:rsidRPr="000A050E">
        <w:rPr>
          <w:rFonts w:ascii="Times New Roman" w:eastAsia="Times New Roman" w:hAnsi="Times New Roman" w:cs="Times New Roman"/>
          <w:sz w:val="24"/>
          <w:szCs w:val="24"/>
        </w:rPr>
        <w:t xml:space="preserve"> C.S. </w:t>
      </w:r>
      <w:proofErr w:type="spellStart"/>
      <w:r w:rsidRPr="000A050E">
        <w:rPr>
          <w:rFonts w:ascii="Times New Roman" w:eastAsia="Times New Roman" w:hAnsi="Times New Roman" w:cs="Times New Roman"/>
          <w:sz w:val="24"/>
          <w:szCs w:val="24"/>
        </w:rPr>
        <w:t>Angre</w:t>
      </w:r>
      <w:proofErr w:type="spellEnd"/>
      <w:r w:rsidRPr="000A050E">
        <w:rPr>
          <w:rFonts w:ascii="Times New Roman" w:eastAsia="Times New Roman" w:hAnsi="Times New Roman" w:cs="Times New Roman"/>
          <w:sz w:val="24"/>
          <w:szCs w:val="24"/>
        </w:rPr>
        <w:t xml:space="preserve"> v. CWT (1968) 69 ITR 336 (MP).</w:t>
      </w:r>
    </w:p>
    <w:p w:rsidR="00014989" w:rsidRPr="00E14A66" w:rsidRDefault="00014989" w:rsidP="002305C0">
      <w:pPr>
        <w:rPr>
          <w:rFonts w:ascii="Verdana" w:eastAsia="Times New Roman" w:hAnsi="Verdana" w:cs="Times New Roman"/>
          <w:color w:val="FFFFFF" w:themeColor="background1"/>
          <w:sz w:val="20"/>
          <w:szCs w:val="20"/>
        </w:rPr>
      </w:pPr>
    </w:p>
    <w:p w:rsidR="000A050E" w:rsidRPr="00E14A66" w:rsidRDefault="000A050E" w:rsidP="000A050E">
      <w:pPr>
        <w:pStyle w:val="NormalWeb"/>
        <w:rPr>
          <w:color w:val="FFFFFF" w:themeColor="background1"/>
        </w:rPr>
      </w:pPr>
      <w:r w:rsidRPr="00E14A66">
        <w:rPr>
          <w:b/>
          <w:bCs/>
          <w:color w:val="FFFFFF" w:themeColor="background1"/>
          <w:highlight w:val="black"/>
        </w:rPr>
        <w:t>7.    Wealth Tax Liability—Whether a Debt Owed?</w:t>
      </w:r>
    </w:p>
    <w:p w:rsidR="000A050E" w:rsidRDefault="000A050E" w:rsidP="000A050E">
      <w:pPr>
        <w:pStyle w:val="NormalWeb"/>
      </w:pPr>
      <w:r>
        <w:t xml:space="preserve">Wealth tax liability is not deductible in computing the net wealth liable to tax. This position has been made clear by the amendment of section 2(m) with effect from the assessment year 1993-94. Liability under the Wealth-tax Act has been considered as a 'debt owed' by the </w:t>
      </w:r>
      <w:proofErr w:type="spellStart"/>
      <w:r>
        <w:t>assessee</w:t>
      </w:r>
      <w:proofErr w:type="spellEnd"/>
      <w:r>
        <w:t xml:space="preserve"> incurred in relation to the assets taxable under the Wealth-tax Act. Such a liability has been considered to be the personal liability of the </w:t>
      </w:r>
      <w:proofErr w:type="spellStart"/>
      <w:r>
        <w:t>assessee</w:t>
      </w:r>
      <w:proofErr w:type="spellEnd"/>
      <w:r>
        <w:t xml:space="preserve"> and is not a debt incurred but a debt created by statute. Hence is deduction is not permissible (See CBDT's circular No. 663 dated 28</w:t>
      </w:r>
      <w:r>
        <w:rPr>
          <w:vertAlign w:val="superscript"/>
        </w:rPr>
        <w:t xml:space="preserve">th </w:t>
      </w:r>
      <w:r>
        <w:t>September, 1993).</w:t>
      </w:r>
    </w:p>
    <w:p w:rsidR="000A050E" w:rsidRPr="00E14A66" w:rsidRDefault="000A050E" w:rsidP="000A050E">
      <w:pPr>
        <w:pStyle w:val="NormalWeb"/>
        <w:rPr>
          <w:color w:val="FFFFFF" w:themeColor="background1"/>
        </w:rPr>
      </w:pPr>
      <w:r w:rsidRPr="00E14A66">
        <w:rPr>
          <w:b/>
          <w:bCs/>
          <w:color w:val="FFFFFF" w:themeColor="background1"/>
          <w:highlight w:val="black"/>
        </w:rPr>
        <w:t>8.    Valuation of Assets</w:t>
      </w:r>
    </w:p>
    <w:p w:rsidR="000A050E" w:rsidRDefault="000A050E" w:rsidP="000A050E">
      <w:pPr>
        <w:pStyle w:val="NormalWeb"/>
      </w:pPr>
      <w:r>
        <w:t>For the purpose of Wealth-tax the value of any asset (other than cash) shall be its value as on the valuation date determined in the manner laid down in Section 7(2) and in Schedule III to the Wealth Tax Act.</w:t>
      </w:r>
    </w:p>
    <w:p w:rsidR="00E14A66" w:rsidRDefault="00E14A66" w:rsidP="000A050E">
      <w:pPr>
        <w:pStyle w:val="NormalWeb"/>
        <w:rPr>
          <w:b/>
          <w:bCs/>
          <w:color w:val="CC9900"/>
        </w:rPr>
      </w:pPr>
    </w:p>
    <w:p w:rsidR="000A050E" w:rsidRPr="00E14A66" w:rsidRDefault="000A050E" w:rsidP="000A050E">
      <w:pPr>
        <w:pStyle w:val="NormalWeb"/>
        <w:rPr>
          <w:color w:val="FFFFFF" w:themeColor="background1"/>
        </w:rPr>
      </w:pPr>
      <w:r w:rsidRPr="00E14A66">
        <w:rPr>
          <w:b/>
          <w:bCs/>
          <w:color w:val="FFFFFF" w:themeColor="background1"/>
          <w:highlight w:val="black"/>
        </w:rPr>
        <w:lastRenderedPageBreak/>
        <w:t>9.    Return of Wealth Tax</w:t>
      </w:r>
    </w:p>
    <w:p w:rsidR="000A050E" w:rsidRDefault="000A050E" w:rsidP="000A050E">
      <w:pPr>
        <w:pStyle w:val="NormalWeb"/>
      </w:pPr>
      <w:r>
        <w:t xml:space="preserve">Every person is </w:t>
      </w:r>
      <w:r w:rsidR="001E7E48">
        <w:t>required</w:t>
      </w:r>
      <w:r>
        <w:t xml:space="preserve"> to file a return of net wealth in Form 'A' if his net wealth or net wealth of any other person in respect of which he is assessable under the Act on the valuation date is such an amount as to render ' him liable to wealth tax. The dates of filing the return are the same as under the Income-tax Act for filing returns. Where wealth tax is payable on the basis of return to be furnished, the </w:t>
      </w:r>
      <w:proofErr w:type="spellStart"/>
      <w:r>
        <w:t>assessee</w:t>
      </w:r>
      <w:proofErr w:type="spellEnd"/>
      <w:r>
        <w:t xml:space="preserve"> is required to pay the tax before filing of the return and such return is to be accompanied by the proof of payment.</w:t>
      </w:r>
    </w:p>
    <w:p w:rsidR="00014989" w:rsidRDefault="00014989" w:rsidP="002305C0">
      <w:pPr>
        <w:rPr>
          <w:rFonts w:ascii="Verdana" w:eastAsia="Times New Roman" w:hAnsi="Verdana" w:cs="Times New Roman"/>
          <w:sz w:val="20"/>
          <w:szCs w:val="20"/>
        </w:rPr>
      </w:pPr>
    </w:p>
    <w:p w:rsidR="000A050E" w:rsidRPr="000A050E" w:rsidRDefault="000A050E" w:rsidP="000A050E">
      <w:pPr>
        <w:spacing w:before="100" w:beforeAutospacing="1" w:after="100" w:afterAutospacing="1" w:line="240" w:lineRule="auto"/>
        <w:rPr>
          <w:rFonts w:ascii="Times New Roman" w:eastAsia="Times New Roman" w:hAnsi="Times New Roman" w:cs="Times New Roman"/>
          <w:color w:val="FFFFFF" w:themeColor="background1"/>
          <w:sz w:val="24"/>
          <w:szCs w:val="24"/>
        </w:rPr>
      </w:pPr>
      <w:r w:rsidRPr="000A050E">
        <w:rPr>
          <w:rFonts w:ascii="Times New Roman" w:eastAsia="Times New Roman" w:hAnsi="Times New Roman" w:cs="Times New Roman"/>
          <w:b/>
          <w:bCs/>
          <w:color w:val="FFFFFF" w:themeColor="background1"/>
          <w:sz w:val="24"/>
          <w:szCs w:val="24"/>
          <w:highlight w:val="black"/>
        </w:rPr>
        <w:t>10. An Illustration</w:t>
      </w:r>
    </w:p>
    <w:p w:rsidR="000A050E" w:rsidRPr="000A050E" w:rsidRDefault="000A050E" w:rsidP="000A050E">
      <w:p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For the assessment year 2001-2002, 'R' an Indian National and resident and ordinary resident in India furnishes the following particulars regarding his assets and liabilities.</w:t>
      </w:r>
    </w:p>
    <w:tbl>
      <w:tblPr>
        <w:tblW w:w="4000" w:type="pct"/>
        <w:jc w:val="center"/>
        <w:tblCellSpacing w:w="0" w:type="dxa"/>
        <w:tblCellMar>
          <w:left w:w="0" w:type="dxa"/>
          <w:right w:w="0" w:type="dxa"/>
        </w:tblCellMar>
        <w:tblLook w:val="04A0"/>
      </w:tblPr>
      <w:tblGrid>
        <w:gridCol w:w="340"/>
        <w:gridCol w:w="2269"/>
        <w:gridCol w:w="2496"/>
        <w:gridCol w:w="2383"/>
      </w:tblGrid>
      <w:tr w:rsidR="000A050E" w:rsidRPr="000A050E" w:rsidTr="000A050E">
        <w:trPr>
          <w:tblCellSpacing w:w="0" w:type="dxa"/>
          <w:jc w:val="center"/>
        </w:trPr>
        <w:tc>
          <w:tcPr>
            <w:tcW w:w="150" w:type="pct"/>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1</w:t>
            </w:r>
          </w:p>
        </w:tc>
        <w:tc>
          <w:tcPr>
            <w:tcW w:w="0" w:type="auto"/>
            <w:gridSpan w:val="2"/>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Residential House outside India                     </w:t>
            </w:r>
          </w:p>
        </w:tc>
        <w:tc>
          <w:tcPr>
            <w:tcW w:w="1050" w:type="pct"/>
            <w:vAlign w:val="bottom"/>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50,00,000</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2</w:t>
            </w:r>
          </w:p>
        </w:tc>
        <w:tc>
          <w:tcPr>
            <w:tcW w:w="0" w:type="auto"/>
            <w:gridSpan w:val="2"/>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roofErr w:type="spellStart"/>
            <w:r w:rsidRPr="000A050E">
              <w:rPr>
                <w:rFonts w:ascii="Times New Roman" w:eastAsia="Times New Roman" w:hAnsi="Times New Roman" w:cs="Times New Roman"/>
                <w:sz w:val="24"/>
                <w:szCs w:val="24"/>
              </w:rPr>
              <w:t>Jewellery</w:t>
            </w:r>
            <w:proofErr w:type="spellEnd"/>
            <w:r w:rsidRPr="000A050E">
              <w:rPr>
                <w:rFonts w:ascii="Times New Roman" w:eastAsia="Times New Roman" w:hAnsi="Times New Roman" w:cs="Times New Roman"/>
                <w:sz w:val="24"/>
                <w:szCs w:val="24"/>
              </w:rPr>
              <w:t xml:space="preserve"> in India</w:t>
            </w:r>
          </w:p>
        </w:tc>
        <w:tc>
          <w:tcPr>
            <w:tcW w:w="105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50,00,000</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3</w:t>
            </w:r>
          </w:p>
        </w:tc>
        <w:tc>
          <w:tcPr>
            <w:tcW w:w="100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Loans taken:</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0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roofErr w:type="spellStart"/>
            <w:r w:rsidRPr="000A050E">
              <w:rPr>
                <w:rFonts w:ascii="Times New Roman" w:eastAsia="Times New Roman" w:hAnsi="Times New Roman" w:cs="Times New Roman"/>
                <w:sz w:val="24"/>
                <w:szCs w:val="24"/>
              </w:rPr>
              <w:t>i</w:t>
            </w:r>
            <w:proofErr w:type="spellEnd"/>
            <w:r w:rsidRPr="000A050E">
              <w:rPr>
                <w:rFonts w:ascii="Times New Roman" w:eastAsia="Times New Roman" w:hAnsi="Times New Roman" w:cs="Times New Roman"/>
                <w:sz w:val="24"/>
                <w:szCs w:val="24"/>
              </w:rPr>
              <w:t>) For residential house outside India</w:t>
            </w:r>
          </w:p>
        </w:tc>
        <w:tc>
          <w:tcPr>
            <w:tcW w:w="1050" w:type="pct"/>
            <w:vAlign w:val="bottom"/>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10,00,000</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0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ii) For   acquiring </w:t>
            </w:r>
            <w:proofErr w:type="spellStart"/>
            <w:r w:rsidRPr="000A050E">
              <w:rPr>
                <w:rFonts w:ascii="Times New Roman" w:eastAsia="Times New Roman" w:hAnsi="Times New Roman" w:cs="Times New Roman"/>
                <w:sz w:val="24"/>
                <w:szCs w:val="24"/>
              </w:rPr>
              <w:t>jewellery</w:t>
            </w:r>
            <w:proofErr w:type="spellEnd"/>
            <w:r w:rsidRPr="000A050E">
              <w:rPr>
                <w:rFonts w:ascii="Times New Roman" w:eastAsia="Times New Roman" w:hAnsi="Times New Roman" w:cs="Times New Roman"/>
                <w:sz w:val="24"/>
                <w:szCs w:val="24"/>
              </w:rPr>
              <w:t> </w:t>
            </w:r>
          </w:p>
        </w:tc>
        <w:tc>
          <w:tcPr>
            <w:tcW w:w="105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5,00,000</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0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gridSpan w:val="2"/>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b/>
                <w:bCs/>
                <w:sz w:val="24"/>
                <w:szCs w:val="24"/>
              </w:rPr>
              <w:t>Computation of taxable wealth :</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0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1</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roofErr w:type="spellStart"/>
            <w:r w:rsidRPr="000A050E">
              <w:rPr>
                <w:rFonts w:ascii="Times New Roman" w:eastAsia="Times New Roman" w:hAnsi="Times New Roman" w:cs="Times New Roman"/>
                <w:sz w:val="24"/>
                <w:szCs w:val="24"/>
              </w:rPr>
              <w:t>Jewellery</w:t>
            </w:r>
            <w:proofErr w:type="spellEnd"/>
            <w:r w:rsidRPr="000A050E">
              <w:rPr>
                <w:rFonts w:ascii="Times New Roman" w:eastAsia="Times New Roman" w:hAnsi="Times New Roman" w:cs="Times New Roman"/>
                <w:sz w:val="24"/>
                <w:szCs w:val="24"/>
              </w:rPr>
              <w:t xml:space="preserve"> in India </w:t>
            </w:r>
          </w:p>
        </w:tc>
        <w:tc>
          <w:tcPr>
            <w:tcW w:w="110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50,00,000</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i/>
                <w:iCs/>
                <w:sz w:val="24"/>
                <w:szCs w:val="24"/>
              </w:rPr>
              <w:t>Less:</w:t>
            </w:r>
            <w:r w:rsidRPr="000A050E">
              <w:rPr>
                <w:rFonts w:ascii="Times New Roman" w:eastAsia="Times New Roman" w:hAnsi="Times New Roman" w:cs="Times New Roman"/>
                <w:sz w:val="24"/>
                <w:szCs w:val="24"/>
              </w:rPr>
              <w:t xml:space="preserve"> Debt owed concerning </w:t>
            </w:r>
            <w:proofErr w:type="spellStart"/>
            <w:r w:rsidRPr="000A050E">
              <w:rPr>
                <w:rFonts w:ascii="Times New Roman" w:eastAsia="Times New Roman" w:hAnsi="Times New Roman" w:cs="Times New Roman"/>
                <w:sz w:val="24"/>
                <w:szCs w:val="24"/>
              </w:rPr>
              <w:t>jewellery</w:t>
            </w:r>
            <w:proofErr w:type="spellEnd"/>
            <w:r w:rsidRPr="000A050E">
              <w:rPr>
                <w:rFonts w:ascii="Times New Roman" w:eastAsia="Times New Roman" w:hAnsi="Times New Roman" w:cs="Times New Roman"/>
                <w:sz w:val="24"/>
                <w:szCs w:val="24"/>
              </w:rPr>
              <w:t xml:space="preserve"> </w:t>
            </w:r>
          </w:p>
        </w:tc>
        <w:tc>
          <w:tcPr>
            <w:tcW w:w="1100" w:type="pct"/>
            <w:vAlign w:val="bottom"/>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5,00,000</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gridSpan w:val="2"/>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5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gridSpan w:val="2"/>
            <w:vAlign w:val="center"/>
            <w:hideMark/>
          </w:tcPr>
          <w:p w:rsidR="000A050E" w:rsidRPr="000A050E" w:rsidRDefault="000A050E" w:rsidP="000A050E">
            <w:p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     Net value of </w:t>
            </w:r>
            <w:proofErr w:type="spellStart"/>
            <w:r w:rsidRPr="000A050E">
              <w:rPr>
                <w:rFonts w:ascii="Times New Roman" w:eastAsia="Times New Roman" w:hAnsi="Times New Roman" w:cs="Times New Roman"/>
                <w:sz w:val="24"/>
                <w:szCs w:val="24"/>
              </w:rPr>
              <w:t>jewellery</w:t>
            </w:r>
            <w:proofErr w:type="spellEnd"/>
          </w:p>
        </w:tc>
        <w:tc>
          <w:tcPr>
            <w:tcW w:w="105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45,00,000</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0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2</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Property outside India </w:t>
            </w:r>
          </w:p>
        </w:tc>
        <w:tc>
          <w:tcPr>
            <w:tcW w:w="110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50,00,000</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i/>
                <w:iCs/>
                <w:sz w:val="24"/>
                <w:szCs w:val="24"/>
              </w:rPr>
              <w:t>Less :</w:t>
            </w:r>
            <w:r w:rsidRPr="000A050E">
              <w:rPr>
                <w:rFonts w:ascii="Times New Roman" w:eastAsia="Times New Roman" w:hAnsi="Times New Roman" w:cs="Times New Roman"/>
                <w:sz w:val="24"/>
                <w:szCs w:val="24"/>
              </w:rPr>
              <w:t xml:space="preserve"> Debt owed </w:t>
            </w:r>
          </w:p>
        </w:tc>
        <w:tc>
          <w:tcPr>
            <w:tcW w:w="110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10,00,000</w:t>
            </w:r>
          </w:p>
        </w:tc>
        <w:tc>
          <w:tcPr>
            <w:tcW w:w="10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gridSpan w:val="2"/>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5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gridSpan w:val="2"/>
            <w:vAlign w:val="center"/>
            <w:hideMark/>
          </w:tcPr>
          <w:p w:rsidR="000A050E" w:rsidRPr="000A050E" w:rsidRDefault="000A050E" w:rsidP="000A050E">
            <w:p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Net value of property</w:t>
            </w:r>
          </w:p>
        </w:tc>
        <w:tc>
          <w:tcPr>
            <w:tcW w:w="105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40,00,000</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0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105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w:t>
            </w:r>
          </w:p>
        </w:tc>
      </w:tr>
      <w:tr w:rsidR="000A050E" w:rsidRPr="000A050E" w:rsidTr="000A050E">
        <w:trPr>
          <w:tblCellSpacing w:w="0" w:type="dxa"/>
          <w:jc w:val="center"/>
        </w:trPr>
        <w:tc>
          <w:tcPr>
            <w:tcW w:w="150" w:type="pct"/>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tc>
        <w:tc>
          <w:tcPr>
            <w:tcW w:w="0" w:type="auto"/>
            <w:gridSpan w:val="2"/>
            <w:vAlign w:val="center"/>
            <w:hideMark/>
          </w:tcPr>
          <w:p w:rsidR="000A050E" w:rsidRPr="000A050E" w:rsidRDefault="000A050E" w:rsidP="000A050E">
            <w:pPr>
              <w:spacing w:after="0"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b/>
                <w:bCs/>
                <w:color w:val="000000"/>
                <w:sz w:val="24"/>
                <w:szCs w:val="24"/>
              </w:rPr>
              <w:t>Total net wealth</w:t>
            </w:r>
          </w:p>
        </w:tc>
        <w:tc>
          <w:tcPr>
            <w:tcW w:w="1050" w:type="pct"/>
            <w:vAlign w:val="center"/>
            <w:hideMark/>
          </w:tcPr>
          <w:p w:rsidR="000A050E" w:rsidRPr="000A050E" w:rsidRDefault="000A050E" w:rsidP="000A050E">
            <w:pPr>
              <w:spacing w:after="0" w:line="240" w:lineRule="auto"/>
              <w:jc w:val="right"/>
              <w:rPr>
                <w:rFonts w:ascii="Times New Roman" w:eastAsia="Times New Roman" w:hAnsi="Times New Roman" w:cs="Times New Roman"/>
                <w:sz w:val="24"/>
                <w:szCs w:val="24"/>
              </w:rPr>
            </w:pPr>
            <w:r w:rsidRPr="000A050E">
              <w:rPr>
                <w:rFonts w:ascii="Times New Roman" w:eastAsia="Times New Roman" w:hAnsi="Times New Roman" w:cs="Times New Roman"/>
                <w:b/>
                <w:bCs/>
                <w:color w:val="000000"/>
                <w:sz w:val="24"/>
                <w:szCs w:val="24"/>
              </w:rPr>
              <w:t>85,00,000</w:t>
            </w:r>
          </w:p>
        </w:tc>
      </w:tr>
    </w:tbl>
    <w:p w:rsidR="000A050E" w:rsidRPr="000A050E" w:rsidRDefault="000A050E" w:rsidP="000A050E">
      <w:pPr>
        <w:spacing w:before="100" w:beforeAutospacing="1" w:after="100" w:afterAutospacing="1" w:line="240" w:lineRule="auto"/>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xml:space="preserve">In cases of non-resident or resident but not ordinarily resident or a foreign national who is a non-resident, no wealth tax would be </w:t>
      </w:r>
      <w:proofErr w:type="spellStart"/>
      <w:r w:rsidRPr="000A050E">
        <w:rPr>
          <w:rFonts w:ascii="Times New Roman" w:eastAsia="Times New Roman" w:hAnsi="Times New Roman" w:cs="Times New Roman"/>
          <w:sz w:val="24"/>
          <w:szCs w:val="24"/>
        </w:rPr>
        <w:t>leviable</w:t>
      </w:r>
      <w:proofErr w:type="spellEnd"/>
      <w:r w:rsidRPr="000A050E">
        <w:rPr>
          <w:rFonts w:ascii="Times New Roman" w:eastAsia="Times New Roman" w:hAnsi="Times New Roman" w:cs="Times New Roman"/>
          <w:sz w:val="24"/>
          <w:szCs w:val="24"/>
        </w:rPr>
        <w:t xml:space="preserve"> on property outside India. In their cases, wealth-tax would be </w:t>
      </w:r>
      <w:proofErr w:type="spellStart"/>
      <w:r w:rsidRPr="000A050E">
        <w:rPr>
          <w:rFonts w:ascii="Times New Roman" w:eastAsia="Times New Roman" w:hAnsi="Times New Roman" w:cs="Times New Roman"/>
          <w:sz w:val="24"/>
          <w:szCs w:val="24"/>
        </w:rPr>
        <w:t>leviable</w:t>
      </w:r>
      <w:proofErr w:type="spellEnd"/>
      <w:r w:rsidRPr="000A050E">
        <w:rPr>
          <w:rFonts w:ascii="Times New Roman" w:eastAsia="Times New Roman" w:hAnsi="Times New Roman" w:cs="Times New Roman"/>
          <w:sz w:val="24"/>
          <w:szCs w:val="24"/>
        </w:rPr>
        <w:t xml:space="preserve"> on a sum of Rs. 45</w:t>
      </w:r>
      <w:proofErr w:type="gramStart"/>
      <w:r w:rsidRPr="000A050E">
        <w:rPr>
          <w:rFonts w:ascii="Times New Roman" w:eastAsia="Times New Roman" w:hAnsi="Times New Roman" w:cs="Times New Roman"/>
          <w:sz w:val="24"/>
          <w:szCs w:val="24"/>
        </w:rPr>
        <w:t>,00,000</w:t>
      </w:r>
      <w:proofErr w:type="gramEnd"/>
      <w:r w:rsidRPr="000A050E">
        <w:rPr>
          <w:rFonts w:ascii="Times New Roman" w:eastAsia="Times New Roman" w:hAnsi="Times New Roman" w:cs="Times New Roman"/>
          <w:sz w:val="24"/>
          <w:szCs w:val="24"/>
        </w:rPr>
        <w:t xml:space="preserve"> </w:t>
      </w:r>
      <w:proofErr w:type="spellStart"/>
      <w:r w:rsidRPr="000A050E">
        <w:rPr>
          <w:rFonts w:ascii="Times New Roman" w:eastAsia="Times New Roman" w:hAnsi="Times New Roman" w:cs="Times New Roman"/>
          <w:sz w:val="24"/>
          <w:szCs w:val="24"/>
        </w:rPr>
        <w:t>lakhs</w:t>
      </w:r>
      <w:proofErr w:type="spellEnd"/>
      <w:r w:rsidRPr="000A050E">
        <w:rPr>
          <w:rFonts w:ascii="Times New Roman" w:eastAsia="Times New Roman" w:hAnsi="Times New Roman" w:cs="Times New Roman"/>
          <w:sz w:val="24"/>
          <w:szCs w:val="24"/>
        </w:rPr>
        <w:t xml:space="preserve"> only.</w:t>
      </w:r>
    </w:p>
    <w:p w:rsidR="000A050E" w:rsidRPr="000A050E" w:rsidRDefault="000A050E" w:rsidP="000A050E">
      <w:pPr>
        <w:spacing w:before="100" w:beforeAutospacing="1" w:after="100" w:afterAutospacing="1" w:line="240" w:lineRule="auto"/>
        <w:jc w:val="center"/>
        <w:rPr>
          <w:rFonts w:ascii="Times New Roman" w:eastAsia="Times New Roman" w:hAnsi="Times New Roman" w:cs="Times New Roman"/>
          <w:sz w:val="24"/>
          <w:szCs w:val="24"/>
        </w:rPr>
      </w:pPr>
      <w:r w:rsidRPr="000A050E">
        <w:rPr>
          <w:rFonts w:ascii="Times New Roman" w:eastAsia="Times New Roman" w:hAnsi="Times New Roman" w:cs="Times New Roman"/>
          <w:sz w:val="24"/>
          <w:szCs w:val="24"/>
        </w:rPr>
        <w:t> </w:t>
      </w:r>
    </w:p>
    <w:p w:rsidR="00014989" w:rsidRDefault="000A050E" w:rsidP="000A050E">
      <w:pPr>
        <w:rPr>
          <w:rFonts w:ascii="Verdana" w:eastAsia="Times New Roman" w:hAnsi="Verdana" w:cs="Times New Roman"/>
          <w:sz w:val="20"/>
          <w:szCs w:val="20"/>
        </w:rPr>
      </w:pPr>
      <w:r w:rsidRPr="000A050E">
        <w:rPr>
          <w:rFonts w:ascii="Times New Roman" w:eastAsia="Times New Roman" w:hAnsi="Times New Roman" w:cs="Times New Roman"/>
          <w:sz w:val="24"/>
          <w:szCs w:val="24"/>
        </w:rPr>
        <w:pict>
          <v:shape id="_x0000_i1027" type="#_x0000_t75" alt="" style="width:.7pt;height:6.1pt"/>
        </w:pict>
      </w:r>
    </w:p>
    <w:p w:rsidR="00014989" w:rsidRDefault="00014989" w:rsidP="002305C0">
      <w:pPr>
        <w:rPr>
          <w:rFonts w:ascii="Verdana" w:eastAsia="Times New Roman" w:hAnsi="Verdana" w:cs="Times New Roman"/>
          <w:sz w:val="20"/>
          <w:szCs w:val="20"/>
        </w:rPr>
      </w:pPr>
    </w:p>
    <w:p w:rsidR="00014989" w:rsidRDefault="00014989" w:rsidP="002305C0">
      <w:pPr>
        <w:rPr>
          <w:rFonts w:ascii="Verdana" w:eastAsia="Times New Roman" w:hAnsi="Verdana" w:cs="Times New Roman"/>
          <w:sz w:val="20"/>
          <w:szCs w:val="20"/>
        </w:rPr>
      </w:pPr>
    </w:p>
    <w:p w:rsidR="00014989" w:rsidRDefault="00014989" w:rsidP="002305C0">
      <w:pPr>
        <w:rPr>
          <w:rFonts w:ascii="Verdana" w:eastAsia="Times New Roman" w:hAnsi="Verdana" w:cs="Times New Roman"/>
          <w:sz w:val="20"/>
          <w:szCs w:val="20"/>
        </w:rPr>
      </w:pPr>
    </w:p>
    <w:p w:rsidR="00014989" w:rsidRDefault="00014989" w:rsidP="002305C0">
      <w:pPr>
        <w:rPr>
          <w:rFonts w:ascii="Verdana" w:eastAsia="Times New Roman" w:hAnsi="Verdana" w:cs="Times New Roman"/>
          <w:sz w:val="20"/>
          <w:szCs w:val="20"/>
        </w:rPr>
      </w:pPr>
    </w:p>
    <w:p w:rsidR="00014989" w:rsidRDefault="00014989" w:rsidP="002305C0">
      <w:pPr>
        <w:rPr>
          <w:rFonts w:ascii="Verdana" w:eastAsia="Times New Roman" w:hAnsi="Verdana" w:cs="Times New Roman"/>
          <w:sz w:val="20"/>
          <w:szCs w:val="20"/>
        </w:rPr>
      </w:pPr>
    </w:p>
    <w:p w:rsidR="00014989" w:rsidRDefault="00014989" w:rsidP="002305C0">
      <w:pPr>
        <w:rPr>
          <w:rFonts w:ascii="Verdana" w:eastAsia="Times New Roman" w:hAnsi="Verdana" w:cs="Times New Roman"/>
          <w:sz w:val="20"/>
          <w:szCs w:val="20"/>
        </w:rPr>
      </w:pPr>
    </w:p>
    <w:p w:rsidR="00014989" w:rsidRDefault="00014989" w:rsidP="002305C0">
      <w:pPr>
        <w:rPr>
          <w:rFonts w:ascii="Verdana" w:eastAsia="Times New Roman" w:hAnsi="Verdana" w:cs="Times New Roman"/>
          <w:sz w:val="20"/>
          <w:szCs w:val="20"/>
        </w:rPr>
      </w:pPr>
    </w:p>
    <w:p w:rsidR="00014989" w:rsidRDefault="00014989" w:rsidP="002305C0"/>
    <w:sectPr w:rsidR="00014989" w:rsidSect="007174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F8D"/>
    <w:multiLevelType w:val="multilevel"/>
    <w:tmpl w:val="FC446B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DCE5BA0"/>
    <w:multiLevelType w:val="multilevel"/>
    <w:tmpl w:val="A29CDE4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DE23BAA"/>
    <w:multiLevelType w:val="multilevel"/>
    <w:tmpl w:val="3DC642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E3D6DBB"/>
    <w:multiLevelType w:val="multilevel"/>
    <w:tmpl w:val="DDCEC07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0F67277C"/>
    <w:multiLevelType w:val="multilevel"/>
    <w:tmpl w:val="08B456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D737CA7"/>
    <w:multiLevelType w:val="multilevel"/>
    <w:tmpl w:val="D3D06B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3F0B4A52"/>
    <w:multiLevelType w:val="multilevel"/>
    <w:tmpl w:val="DE74CD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4FB17CF2"/>
    <w:multiLevelType w:val="multilevel"/>
    <w:tmpl w:val="238E6A4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58741315"/>
    <w:multiLevelType w:val="multilevel"/>
    <w:tmpl w:val="63AC3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5AB5145A"/>
    <w:multiLevelType w:val="multilevel"/>
    <w:tmpl w:val="ECD6554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7A042EAE"/>
    <w:multiLevelType w:val="multilevel"/>
    <w:tmpl w:val="0A7475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7E5C6C1B"/>
    <w:multiLevelType w:val="multilevel"/>
    <w:tmpl w:val="3D229E1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7"/>
  </w:num>
  <w:num w:numId="2">
    <w:abstractNumId w:val="1"/>
  </w:num>
  <w:num w:numId="3">
    <w:abstractNumId w:val="5"/>
  </w:num>
  <w:num w:numId="4">
    <w:abstractNumId w:val="11"/>
  </w:num>
  <w:num w:numId="5">
    <w:abstractNumId w:val="10"/>
  </w:num>
  <w:num w:numId="6">
    <w:abstractNumId w:val="6"/>
  </w:num>
  <w:num w:numId="7">
    <w:abstractNumId w:val="9"/>
  </w:num>
  <w:num w:numId="8">
    <w:abstractNumId w:val="3"/>
  </w:num>
  <w:num w:numId="9">
    <w:abstractNumId w:val="4"/>
  </w:num>
  <w:num w:numId="10">
    <w:abstractNumId w:val="0"/>
  </w:num>
  <w:num w:numId="11">
    <w:abstractNumId w:val="2"/>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305C0"/>
    <w:rsid w:val="00014989"/>
    <w:rsid w:val="000A050E"/>
    <w:rsid w:val="001E7E48"/>
    <w:rsid w:val="002305C0"/>
    <w:rsid w:val="006C1E25"/>
    <w:rsid w:val="007174C5"/>
    <w:rsid w:val="007F45E9"/>
    <w:rsid w:val="00DE59A3"/>
    <w:rsid w:val="00E14A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4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05C0"/>
    <w:rPr>
      <w:color w:val="0000FF"/>
      <w:u w:val="single"/>
    </w:rPr>
  </w:style>
  <w:style w:type="paragraph" w:styleId="NormalWeb">
    <w:name w:val="Normal (Web)"/>
    <w:basedOn w:val="Normal"/>
    <w:uiPriority w:val="99"/>
    <w:unhideWhenUsed/>
    <w:rsid w:val="000149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87226">
      <w:bodyDiv w:val="1"/>
      <w:marLeft w:val="0"/>
      <w:marRight w:val="0"/>
      <w:marTop w:val="0"/>
      <w:marBottom w:val="0"/>
      <w:divBdr>
        <w:top w:val="none" w:sz="0" w:space="0" w:color="auto"/>
        <w:left w:val="none" w:sz="0" w:space="0" w:color="auto"/>
        <w:bottom w:val="none" w:sz="0" w:space="0" w:color="auto"/>
        <w:right w:val="none" w:sz="0" w:space="0" w:color="auto"/>
      </w:divBdr>
    </w:div>
    <w:div w:id="151913015">
      <w:bodyDiv w:val="1"/>
      <w:marLeft w:val="0"/>
      <w:marRight w:val="0"/>
      <w:marTop w:val="0"/>
      <w:marBottom w:val="0"/>
      <w:divBdr>
        <w:top w:val="none" w:sz="0" w:space="0" w:color="auto"/>
        <w:left w:val="none" w:sz="0" w:space="0" w:color="auto"/>
        <w:bottom w:val="none" w:sz="0" w:space="0" w:color="auto"/>
        <w:right w:val="none" w:sz="0" w:space="0" w:color="auto"/>
      </w:divBdr>
    </w:div>
    <w:div w:id="465778506">
      <w:bodyDiv w:val="1"/>
      <w:marLeft w:val="0"/>
      <w:marRight w:val="0"/>
      <w:marTop w:val="0"/>
      <w:marBottom w:val="0"/>
      <w:divBdr>
        <w:top w:val="none" w:sz="0" w:space="0" w:color="auto"/>
        <w:left w:val="none" w:sz="0" w:space="0" w:color="auto"/>
        <w:bottom w:val="none" w:sz="0" w:space="0" w:color="auto"/>
        <w:right w:val="none" w:sz="0" w:space="0" w:color="auto"/>
      </w:divBdr>
    </w:div>
    <w:div w:id="620453524">
      <w:bodyDiv w:val="1"/>
      <w:marLeft w:val="0"/>
      <w:marRight w:val="0"/>
      <w:marTop w:val="0"/>
      <w:marBottom w:val="0"/>
      <w:divBdr>
        <w:top w:val="none" w:sz="0" w:space="0" w:color="auto"/>
        <w:left w:val="none" w:sz="0" w:space="0" w:color="auto"/>
        <w:bottom w:val="none" w:sz="0" w:space="0" w:color="auto"/>
        <w:right w:val="none" w:sz="0" w:space="0" w:color="auto"/>
      </w:divBdr>
    </w:div>
    <w:div w:id="818182633">
      <w:bodyDiv w:val="1"/>
      <w:marLeft w:val="0"/>
      <w:marRight w:val="0"/>
      <w:marTop w:val="0"/>
      <w:marBottom w:val="0"/>
      <w:divBdr>
        <w:top w:val="none" w:sz="0" w:space="0" w:color="auto"/>
        <w:left w:val="none" w:sz="0" w:space="0" w:color="auto"/>
        <w:bottom w:val="none" w:sz="0" w:space="0" w:color="auto"/>
        <w:right w:val="none" w:sz="0" w:space="0" w:color="auto"/>
      </w:divBdr>
    </w:div>
    <w:div w:id="991763086">
      <w:bodyDiv w:val="1"/>
      <w:marLeft w:val="0"/>
      <w:marRight w:val="0"/>
      <w:marTop w:val="0"/>
      <w:marBottom w:val="0"/>
      <w:divBdr>
        <w:top w:val="none" w:sz="0" w:space="0" w:color="auto"/>
        <w:left w:val="none" w:sz="0" w:space="0" w:color="auto"/>
        <w:bottom w:val="none" w:sz="0" w:space="0" w:color="auto"/>
        <w:right w:val="none" w:sz="0" w:space="0" w:color="auto"/>
      </w:divBdr>
    </w:div>
    <w:div w:id="1393845392">
      <w:bodyDiv w:val="1"/>
      <w:marLeft w:val="0"/>
      <w:marRight w:val="0"/>
      <w:marTop w:val="0"/>
      <w:marBottom w:val="0"/>
      <w:divBdr>
        <w:top w:val="none" w:sz="0" w:space="0" w:color="auto"/>
        <w:left w:val="none" w:sz="0" w:space="0" w:color="auto"/>
        <w:bottom w:val="none" w:sz="0" w:space="0" w:color="auto"/>
        <w:right w:val="none" w:sz="0" w:space="0" w:color="auto"/>
      </w:divBdr>
    </w:div>
    <w:div w:id="1578661422">
      <w:bodyDiv w:val="1"/>
      <w:marLeft w:val="0"/>
      <w:marRight w:val="0"/>
      <w:marTop w:val="0"/>
      <w:marBottom w:val="0"/>
      <w:divBdr>
        <w:top w:val="none" w:sz="0" w:space="0" w:color="auto"/>
        <w:left w:val="none" w:sz="0" w:space="0" w:color="auto"/>
        <w:bottom w:val="none" w:sz="0" w:space="0" w:color="auto"/>
        <w:right w:val="none" w:sz="0" w:space="0" w:color="auto"/>
      </w:divBdr>
    </w:div>
    <w:div w:id="1708336977">
      <w:bodyDiv w:val="1"/>
      <w:marLeft w:val="0"/>
      <w:marRight w:val="0"/>
      <w:marTop w:val="0"/>
      <w:marBottom w:val="0"/>
      <w:divBdr>
        <w:top w:val="none" w:sz="0" w:space="0" w:color="auto"/>
        <w:left w:val="none" w:sz="0" w:space="0" w:color="auto"/>
        <w:bottom w:val="none" w:sz="0" w:space="0" w:color="auto"/>
        <w:right w:val="none" w:sz="0" w:space="0" w:color="auto"/>
      </w:divBdr>
    </w:div>
    <w:div w:id="202651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cometaxindia.gov.in/publications/7_Tax_Benefits_for_Pensioners/Chapter7.asp" TargetMode="External"/><Relationship Id="rId13" Type="http://schemas.openxmlformats.org/officeDocument/2006/relationships/hyperlink" Target="http://www.incometaxindia.gov.in/publications/7_Tax_Benefits_for_Pensioners/Chapter7.asp" TargetMode="External"/><Relationship Id="rId3" Type="http://schemas.openxmlformats.org/officeDocument/2006/relationships/settings" Target="settings.xml"/><Relationship Id="rId7" Type="http://schemas.openxmlformats.org/officeDocument/2006/relationships/hyperlink" Target="http://www.incometaxindia.gov.in/publications/7_Tax_Benefits_for_Pensioners/Chapter7.asp" TargetMode="External"/><Relationship Id="rId12" Type="http://schemas.openxmlformats.org/officeDocument/2006/relationships/hyperlink" Target="http://www.incometaxindia.gov.in/publications/7_Tax_Benefits_for_Pensioners/Chapter7.a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ncometaxindia.gov.in/publications/7_Tax_Benefits_for_Pensioners/Chapter7.asp" TargetMode="External"/><Relationship Id="rId11" Type="http://schemas.openxmlformats.org/officeDocument/2006/relationships/hyperlink" Target="http://www.incometaxindia.gov.in/publications/7_Tax_Benefits_for_Pensioners/Chapter7.asp" TargetMode="External"/><Relationship Id="rId5" Type="http://schemas.openxmlformats.org/officeDocument/2006/relationships/hyperlink" Target="http://www.incometaxindia.gov.in/publications/7_Tax_Benefits_for_Pensioners/Chapter7.asp" TargetMode="External"/><Relationship Id="rId15" Type="http://schemas.openxmlformats.org/officeDocument/2006/relationships/fontTable" Target="fontTable.xml"/><Relationship Id="rId10" Type="http://schemas.openxmlformats.org/officeDocument/2006/relationships/hyperlink" Target="http://www.incometaxindia.gov.in/publications/7_Tax_Benefits_for_Pensioners/Chapter7.asp" TargetMode="External"/><Relationship Id="rId4" Type="http://schemas.openxmlformats.org/officeDocument/2006/relationships/webSettings" Target="webSettings.xml"/><Relationship Id="rId9" Type="http://schemas.openxmlformats.org/officeDocument/2006/relationships/hyperlink" Target="http://www.incometaxindia.gov.in/publications/7_Tax_Benefits_for_Pensioners/Chapter7.asp" TargetMode="External"/><Relationship Id="rId14" Type="http://schemas.openxmlformats.org/officeDocument/2006/relationships/hyperlink" Target="http://www.incometaxindia.gov.in/publications/7_Tax_Benefits_for_Pensioners/Chapter7.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7</Pages>
  <Words>2052</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Sanjeep</dc:creator>
  <cp:lastModifiedBy>Sanjeep</cp:lastModifiedBy>
  <cp:revision>1</cp:revision>
  <dcterms:created xsi:type="dcterms:W3CDTF">2010-12-23T14:55:00Z</dcterms:created>
  <dcterms:modified xsi:type="dcterms:W3CDTF">2010-12-23T16:33:00Z</dcterms:modified>
</cp:coreProperties>
</file>