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top w:w="60" w:type="dxa"/>
          <w:left w:w="60" w:type="dxa"/>
          <w:bottom w:w="60" w:type="dxa"/>
          <w:right w:w="60" w:type="dxa"/>
        </w:tblCellMar>
        <w:tblLook w:val="04A0"/>
      </w:tblPr>
      <w:tblGrid>
        <w:gridCol w:w="9480"/>
      </w:tblGrid>
      <w:tr w:rsidR="00427A9C" w:rsidRPr="00427A9C">
        <w:tc>
          <w:tcPr>
            <w:tcW w:w="0" w:type="auto"/>
            <w:tcBorders>
              <w:top w:val="nil"/>
              <w:left w:val="nil"/>
              <w:bottom w:val="nil"/>
              <w:right w:val="nil"/>
            </w:tcBorders>
            <w:shd w:val="clear" w:color="auto" w:fill="008080"/>
            <w:vAlign w:val="center"/>
            <w:hideMark/>
          </w:tcPr>
          <w:p w:rsidR="00427A9C" w:rsidRPr="00427A9C" w:rsidRDefault="00427A9C" w:rsidP="00427A9C">
            <w:pPr>
              <w:spacing w:before="100" w:beforeAutospacing="1" w:after="100" w:afterAutospacing="1" w:line="240" w:lineRule="auto"/>
              <w:jc w:val="both"/>
              <w:rPr>
                <w:rFonts w:ascii="Times New Roman" w:eastAsia="Times New Roman" w:hAnsi="Times New Roman" w:cs="Times New Roman"/>
                <w:sz w:val="24"/>
                <w:szCs w:val="24"/>
              </w:rPr>
            </w:pPr>
          </w:p>
        </w:tc>
      </w:tr>
      <w:tr w:rsidR="00427A9C" w:rsidRPr="00427A9C">
        <w:tc>
          <w:tcPr>
            <w:tcW w:w="0" w:type="auto"/>
            <w:tcBorders>
              <w:top w:val="nil"/>
              <w:left w:val="nil"/>
              <w:bottom w:val="nil"/>
              <w:right w:val="nil"/>
            </w:tcBorders>
            <w:shd w:val="clear" w:color="auto" w:fill="B5E6E8"/>
            <w:vAlign w:val="center"/>
            <w:hideMark/>
          </w:tcPr>
          <w:p w:rsidR="00427A9C" w:rsidRPr="00427A9C" w:rsidRDefault="00427A9C" w:rsidP="008D6ACC">
            <w:pPr>
              <w:spacing w:before="75" w:after="75" w:line="240" w:lineRule="auto"/>
              <w:ind w:left="150" w:right="150"/>
              <w:jc w:val="center"/>
              <w:rPr>
                <w:rFonts w:ascii="Verdana" w:eastAsia="Times New Roman" w:hAnsi="Verdana" w:cs="Times New Roman"/>
                <w:b/>
                <w:bCs/>
                <w:sz w:val="20"/>
                <w:szCs w:val="20"/>
              </w:rPr>
            </w:pPr>
            <w:r w:rsidRPr="00427A9C">
              <w:rPr>
                <w:rFonts w:ascii="Verdana" w:eastAsia="Times New Roman" w:hAnsi="Verdana" w:cs="Times New Roman"/>
                <w:b/>
                <w:bCs/>
                <w:sz w:val="20"/>
                <w:szCs w:val="20"/>
              </w:rPr>
              <w:t>Questions &amp; Answers</w:t>
            </w:r>
          </w:p>
          <w:p w:rsidR="00427A9C" w:rsidRPr="00427A9C" w:rsidRDefault="00427A9C" w:rsidP="008D6ACC">
            <w:pPr>
              <w:spacing w:before="75" w:after="75" w:line="240" w:lineRule="auto"/>
              <w:ind w:left="150" w:right="150"/>
              <w:jc w:val="center"/>
              <w:rPr>
                <w:rFonts w:ascii="Times New Roman" w:eastAsia="Times New Roman" w:hAnsi="Times New Roman" w:cs="Times New Roman"/>
                <w:sz w:val="24"/>
                <w:szCs w:val="24"/>
              </w:rPr>
            </w:pPr>
            <w:r w:rsidRPr="00427A9C">
              <w:rPr>
                <w:rFonts w:ascii="Verdana" w:eastAsia="Times New Roman" w:hAnsi="Verdana" w:cs="Times New Roman"/>
                <w:b/>
                <w:bCs/>
                <w:sz w:val="20"/>
                <w:szCs w:val="20"/>
              </w:rPr>
              <w:t>Direct Taxes</w:t>
            </w:r>
          </w:p>
        </w:tc>
      </w:tr>
    </w:tbl>
    <w:p w:rsidR="00427A9C" w:rsidRPr="00427A9C" w:rsidRDefault="00427A9C" w:rsidP="00427A9C">
      <w:pPr>
        <w:spacing w:before="100" w:beforeAutospacing="1" w:after="100" w:afterAutospacing="1"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b/>
          <w:bCs/>
          <w:sz w:val="20"/>
          <w:szCs w:val="20"/>
        </w:rPr>
        <w:t xml:space="preserve">Issues on </w:t>
      </w:r>
      <w:proofErr w:type="spellStart"/>
      <w:r w:rsidRPr="00427A9C">
        <w:rPr>
          <w:rFonts w:ascii="Verdana" w:eastAsia="Times New Roman" w:hAnsi="Verdana" w:cs="Times New Roman"/>
          <w:b/>
          <w:bCs/>
          <w:sz w:val="20"/>
          <w:szCs w:val="20"/>
        </w:rPr>
        <w:t>Tds</w:t>
      </w:r>
      <w:proofErr w:type="spellEnd"/>
      <w:r w:rsidRPr="00427A9C">
        <w:rPr>
          <w:rFonts w:ascii="Verdana" w:eastAsia="Times New Roman" w:hAnsi="Verdana" w:cs="Times New Roman"/>
          <w:b/>
          <w:bCs/>
          <w:sz w:val="20"/>
          <w:szCs w:val="20"/>
        </w:rPr>
        <w:t xml:space="preserve"> under the head salary</w:t>
      </w:r>
    </w:p>
    <w:p w:rsidR="00427A9C" w:rsidRPr="00427A9C" w:rsidRDefault="00427A9C" w:rsidP="00427A9C">
      <w:pPr>
        <w:spacing w:before="100" w:beforeAutospacing="1" w:after="100" w:afterAutospacing="1" w:line="240" w:lineRule="auto"/>
        <w:ind w:left="150" w:right="150"/>
        <w:jc w:val="both"/>
        <w:rPr>
          <w:rFonts w:ascii="Times New Roman" w:eastAsia="Times New Roman" w:hAnsi="Times New Roman" w:cs="Times New Roman"/>
          <w:sz w:val="24"/>
          <w:szCs w:val="24"/>
        </w:rPr>
      </w:pPr>
      <w:proofErr w:type="gramStart"/>
      <w:r w:rsidRPr="00427A9C">
        <w:rPr>
          <w:rFonts w:ascii="Verdana" w:eastAsia="Times New Roman" w:hAnsi="Verdana" w:cs="Times New Roman"/>
          <w:b/>
          <w:bCs/>
          <w:i/>
          <w:iCs/>
          <w:sz w:val="20"/>
          <w:szCs w:val="20"/>
        </w:rPr>
        <w:t>1.(</w:t>
      </w:r>
      <w:proofErr w:type="gramEnd"/>
      <w:r w:rsidRPr="00427A9C">
        <w:rPr>
          <w:rFonts w:ascii="Verdana" w:eastAsia="Times New Roman" w:hAnsi="Verdana" w:cs="Times New Roman"/>
          <w:b/>
          <w:bCs/>
          <w:i/>
          <w:iCs/>
          <w:sz w:val="20"/>
          <w:szCs w:val="20"/>
        </w:rPr>
        <w:t>a) What is the employers responsibility and liability in respect of employee joining employment in the middle of the financial year. The employee is unwilling to give details of salary and withholding tax from previous employment. Should the new employer consider the following while deducting the tax at source?</w:t>
      </w:r>
    </w:p>
    <w:p w:rsidR="00427A9C" w:rsidRPr="00427A9C" w:rsidRDefault="00427A9C" w:rsidP="00751210">
      <w:pPr>
        <w:numPr>
          <w:ilvl w:val="0"/>
          <w:numId w:val="1"/>
        </w:numPr>
        <w:spacing w:before="100" w:beforeAutospacing="1" w:after="100" w:afterAutospacing="1" w:line="240" w:lineRule="auto"/>
        <w:ind w:left="870" w:right="150"/>
        <w:rPr>
          <w:rFonts w:ascii="Verdana" w:eastAsia="Times New Roman" w:hAnsi="Verdana" w:cs="Times New Roman"/>
          <w:sz w:val="20"/>
          <w:szCs w:val="20"/>
        </w:rPr>
      </w:pPr>
      <w:r w:rsidRPr="00427A9C">
        <w:rPr>
          <w:rFonts w:ascii="Verdana" w:eastAsia="Times New Roman" w:hAnsi="Verdana" w:cs="Times New Roman"/>
          <w:b/>
          <w:bCs/>
          <w:i/>
          <w:iCs/>
          <w:sz w:val="20"/>
          <w:szCs w:val="20"/>
        </w:rPr>
        <w:t>Basic exemption limit</w:t>
      </w:r>
      <w:r w:rsidRPr="00427A9C">
        <w:rPr>
          <w:rFonts w:ascii="Verdana" w:eastAsia="Times New Roman" w:hAnsi="Verdana" w:cs="Times New Roman"/>
          <w:b/>
          <w:bCs/>
          <w:i/>
          <w:iCs/>
          <w:sz w:val="20"/>
          <w:szCs w:val="20"/>
        </w:rPr>
        <w:br/>
        <w:t xml:space="preserve">  </w:t>
      </w:r>
    </w:p>
    <w:p w:rsidR="00427A9C" w:rsidRPr="00427A9C" w:rsidRDefault="00427A9C" w:rsidP="00427A9C">
      <w:pPr>
        <w:numPr>
          <w:ilvl w:val="0"/>
          <w:numId w:val="1"/>
        </w:numPr>
        <w:spacing w:before="100" w:beforeAutospacing="1" w:after="100" w:afterAutospacing="1" w:line="240" w:lineRule="auto"/>
        <w:ind w:left="870" w:right="150"/>
        <w:jc w:val="both"/>
        <w:rPr>
          <w:rFonts w:ascii="Verdana" w:eastAsia="Times New Roman" w:hAnsi="Verdana" w:cs="Times New Roman"/>
          <w:sz w:val="20"/>
          <w:szCs w:val="20"/>
        </w:rPr>
      </w:pPr>
      <w:r w:rsidRPr="00427A9C">
        <w:rPr>
          <w:rFonts w:ascii="Verdana" w:eastAsia="Times New Roman" w:hAnsi="Verdana" w:cs="Times New Roman"/>
          <w:b/>
          <w:bCs/>
          <w:i/>
          <w:iCs/>
          <w:sz w:val="20"/>
          <w:szCs w:val="20"/>
        </w:rPr>
        <w:t xml:space="preserve">Investments made during the previous year but prior to joining the employment. </w:t>
      </w:r>
    </w:p>
    <w:p w:rsidR="00427A9C" w:rsidRPr="00427A9C" w:rsidRDefault="00427A9C" w:rsidP="00427A9C">
      <w:pPr>
        <w:spacing w:before="100" w:beforeAutospacing="1" w:after="100" w:afterAutospacing="1" w:line="240" w:lineRule="auto"/>
        <w:ind w:left="150" w:right="150"/>
        <w:jc w:val="both"/>
        <w:rPr>
          <w:rFonts w:ascii="Times New Roman" w:eastAsia="Times New Roman" w:hAnsi="Times New Roman" w:cs="Times New Roman"/>
          <w:sz w:val="24"/>
          <w:szCs w:val="24"/>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(a) To obtain, if employee furnishes, details of income under the head “salaries” due or received by him from the other employer or employers, the TDS and such other information as the employee may furnish in Form No. 12B.</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If employee is unwilling to give details of salary and withholding tax from other employment, then, the employer who is paying any income chargeable under the head “salaries” from the employment with him, should deduct TDS computed on the amount payable at the average rate of income tax computed on the basis of rates in force for the financial year in which the payment is made on the estimated income – u/s. 192(1)..</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Yes</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No.</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 xml:space="preserve">(b) If a person has two employers simultaneously, on </w:t>
      </w:r>
      <w:proofErr w:type="gramStart"/>
      <w:r w:rsidRPr="00427A9C">
        <w:rPr>
          <w:rFonts w:ascii="Verdana" w:eastAsia="Times New Roman" w:hAnsi="Verdana" w:cs="Times New Roman"/>
          <w:b/>
          <w:bCs/>
          <w:i/>
          <w:iCs/>
          <w:sz w:val="20"/>
          <w:szCs w:val="20"/>
        </w:rPr>
        <w:t>whom</w:t>
      </w:r>
      <w:proofErr w:type="gramEnd"/>
      <w:r w:rsidRPr="00427A9C">
        <w:rPr>
          <w:rFonts w:ascii="Verdana" w:eastAsia="Times New Roman" w:hAnsi="Verdana" w:cs="Times New Roman"/>
          <w:b/>
          <w:bCs/>
          <w:i/>
          <w:iCs/>
          <w:sz w:val="20"/>
          <w:szCs w:val="20"/>
        </w:rPr>
        <w:t xml:space="preserve"> does the liability to deduct tax at source arise?</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As per choice of employee to whom he may furnish the details of other employment, details of TDS and other details as per sec. 192(2)</w:t>
      </w:r>
    </w:p>
    <w:p w:rsidR="00427A9C" w:rsidRPr="00427A9C" w:rsidRDefault="00427A9C" w:rsidP="00427A9C">
      <w:pPr>
        <w:spacing w:before="100" w:beforeAutospacing="1" w:after="100" w:afterAutospacing="1"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b/>
          <w:bCs/>
          <w:i/>
          <w:iCs/>
          <w:sz w:val="20"/>
          <w:szCs w:val="20"/>
        </w:rPr>
        <w:t xml:space="preserve">2. X is in employment of </w:t>
      </w:r>
      <w:proofErr w:type="spellStart"/>
      <w:r w:rsidRPr="00427A9C">
        <w:rPr>
          <w:rFonts w:ascii="Verdana" w:eastAsia="Times New Roman" w:hAnsi="Verdana" w:cs="Times New Roman"/>
          <w:b/>
          <w:bCs/>
          <w:i/>
          <w:iCs/>
          <w:sz w:val="20"/>
          <w:szCs w:val="20"/>
        </w:rPr>
        <w:t>of</w:t>
      </w:r>
      <w:proofErr w:type="spellEnd"/>
      <w:r w:rsidRPr="00427A9C">
        <w:rPr>
          <w:rFonts w:ascii="Verdana" w:eastAsia="Times New Roman" w:hAnsi="Verdana" w:cs="Times New Roman"/>
          <w:b/>
          <w:bCs/>
          <w:i/>
          <w:iCs/>
          <w:sz w:val="20"/>
          <w:szCs w:val="20"/>
        </w:rPr>
        <w:t xml:space="preserve"> A Ltd. drawing salary of Rs. 4</w:t>
      </w:r>
      <w:proofErr w:type="gramStart"/>
      <w:r w:rsidRPr="00427A9C">
        <w:rPr>
          <w:rFonts w:ascii="Verdana" w:eastAsia="Times New Roman" w:hAnsi="Verdana" w:cs="Times New Roman"/>
          <w:b/>
          <w:bCs/>
          <w:i/>
          <w:iCs/>
          <w:sz w:val="20"/>
          <w:szCs w:val="20"/>
        </w:rPr>
        <w:t>,20,540</w:t>
      </w:r>
      <w:proofErr w:type="gramEnd"/>
      <w:r w:rsidRPr="00427A9C">
        <w:rPr>
          <w:rFonts w:ascii="Verdana" w:eastAsia="Times New Roman" w:hAnsi="Verdana" w:cs="Times New Roman"/>
          <w:b/>
          <w:bCs/>
          <w:i/>
          <w:iCs/>
          <w:sz w:val="20"/>
          <w:szCs w:val="20"/>
        </w:rPr>
        <w:t>/-. During the year, he contributes Rs. 30,000/- to PPF. He has disclosed the following additional information to the employer:-</w:t>
      </w:r>
    </w:p>
    <w:tbl>
      <w:tblPr>
        <w:tblW w:w="4362" w:type="pct"/>
        <w:tblLayout w:type="fixed"/>
        <w:tblCellMar>
          <w:left w:w="0" w:type="dxa"/>
          <w:right w:w="0" w:type="dxa"/>
        </w:tblCellMar>
        <w:tblLook w:val="04A0"/>
      </w:tblPr>
      <w:tblGrid>
        <w:gridCol w:w="7732"/>
        <w:gridCol w:w="434"/>
      </w:tblGrid>
      <w:tr w:rsidR="00427A9C" w:rsidRPr="00427A9C" w:rsidTr="00427A9C">
        <w:trPr>
          <w:trHeight w:val="414"/>
        </w:trPr>
        <w:tc>
          <w:tcPr>
            <w:tcW w:w="4734"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Times New Roman" w:eastAsia="Times New Roman" w:hAnsi="Times New Roman" w:cs="Times New Roman"/>
                <w:sz w:val="24"/>
                <w:szCs w:val="24"/>
              </w:rPr>
              <w:t> </w:t>
            </w: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r>
      <w:tr w:rsidR="00427A9C" w:rsidRPr="00427A9C" w:rsidTr="00427A9C">
        <w:trPr>
          <w:trHeight w:val="4950"/>
        </w:trPr>
        <w:tc>
          <w:tcPr>
            <w:tcW w:w="4734" w:type="pct"/>
            <w:tcBorders>
              <w:top w:val="nil"/>
              <w:left w:val="nil"/>
              <w:bottom w:val="nil"/>
              <w:right w:val="nil"/>
            </w:tcBorders>
            <w:vAlign w:val="center"/>
            <w:hideMark/>
          </w:tcPr>
          <w:tbl>
            <w:tblPr>
              <w:tblStyle w:val="TableGrid"/>
              <w:tblW w:w="11412" w:type="dxa"/>
              <w:tblInd w:w="440" w:type="dxa"/>
              <w:tblLayout w:type="fixed"/>
              <w:tblLook w:val="04A0"/>
            </w:tblPr>
            <w:tblGrid>
              <w:gridCol w:w="5125"/>
              <w:gridCol w:w="6287"/>
            </w:tblGrid>
            <w:tr w:rsidR="00427A9C" w:rsidTr="00427A9C">
              <w:trPr>
                <w:trHeight w:val="1094"/>
              </w:trPr>
              <w:tc>
                <w:tcPr>
                  <w:tcW w:w="5125" w:type="dxa"/>
                </w:tcPr>
                <w:p w:rsidR="00427A9C" w:rsidRDefault="00427A9C" w:rsidP="00427A9C">
                  <w:pPr>
                    <w:spacing w:before="75" w:after="75"/>
                    <w:ind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lastRenderedPageBreak/>
                    <w:t>Professional income from Consultancy</w:t>
                  </w:r>
                  <w:r w:rsidRPr="00427A9C">
                    <w:rPr>
                      <w:rFonts w:ascii="Verdana" w:eastAsia="Times New Roman" w:hAnsi="Verdana" w:cs="Times New Roman"/>
                      <w:b/>
                      <w:bCs/>
                      <w:i/>
                      <w:iCs/>
                      <w:sz w:val="20"/>
                      <w:szCs w:val="20"/>
                    </w:rPr>
                    <w:br/>
                    <w:t>(Net)</w:t>
                  </w:r>
                </w:p>
              </w:tc>
              <w:tc>
                <w:tcPr>
                  <w:tcW w:w="6287" w:type="dxa"/>
                </w:tcPr>
                <w:p w:rsidR="00427A9C" w:rsidRDefault="00427A9C" w:rsidP="00427A9C">
                  <w:pPr>
                    <w:spacing w:before="75" w:after="75"/>
                    <w:ind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50,000</w:t>
                  </w:r>
                </w:p>
              </w:tc>
            </w:tr>
            <w:tr w:rsidR="00427A9C" w:rsidTr="00427A9C">
              <w:trPr>
                <w:trHeight w:val="694"/>
              </w:trPr>
              <w:tc>
                <w:tcPr>
                  <w:tcW w:w="5125" w:type="dxa"/>
                </w:tcPr>
                <w:p w:rsidR="00427A9C" w:rsidRDefault="00427A9C" w:rsidP="00427A9C">
                  <w:pPr>
                    <w:spacing w:before="75" w:after="75"/>
                    <w:ind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TDS u/s. 194J on consulting income</w:t>
                  </w:r>
                </w:p>
              </w:tc>
              <w:tc>
                <w:tcPr>
                  <w:tcW w:w="6287" w:type="dxa"/>
                </w:tcPr>
                <w:p w:rsidR="00427A9C" w:rsidRDefault="00427A9C" w:rsidP="00427A9C">
                  <w:pPr>
                    <w:spacing w:before="75" w:after="75"/>
                    <w:ind w:left="150"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20,000</w:t>
                  </w:r>
                </w:p>
                <w:p w:rsidR="00427A9C" w:rsidRDefault="00427A9C" w:rsidP="00427A9C">
                  <w:pPr>
                    <w:spacing w:before="75" w:after="75"/>
                    <w:ind w:right="150"/>
                    <w:jc w:val="both"/>
                    <w:rPr>
                      <w:rFonts w:ascii="Verdana" w:eastAsia="Times New Roman" w:hAnsi="Verdana" w:cs="Times New Roman"/>
                      <w:b/>
                      <w:bCs/>
                      <w:i/>
                      <w:iCs/>
                      <w:sz w:val="20"/>
                      <w:szCs w:val="20"/>
                    </w:rPr>
                  </w:pPr>
                </w:p>
              </w:tc>
            </w:tr>
            <w:tr w:rsidR="00427A9C" w:rsidTr="00427A9C">
              <w:trPr>
                <w:trHeight w:val="1167"/>
              </w:trPr>
              <w:tc>
                <w:tcPr>
                  <w:tcW w:w="5125" w:type="dxa"/>
                </w:tcPr>
                <w:p w:rsidR="00427A9C" w:rsidRDefault="00427A9C" w:rsidP="00427A9C">
                  <w:pPr>
                    <w:spacing w:before="75" w:after="75"/>
                    <w:ind w:left="150" w:right="150"/>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Losses under the head</w:t>
                  </w:r>
                  <w:r>
                    <w:rPr>
                      <w:rFonts w:ascii="Verdana" w:eastAsia="Times New Roman" w:hAnsi="Verdana" w:cs="Times New Roman"/>
                      <w:b/>
                      <w:bCs/>
                      <w:i/>
                      <w:iCs/>
                      <w:sz w:val="20"/>
                      <w:szCs w:val="20"/>
                    </w:rPr>
                    <w:t xml:space="preserve">                </w:t>
                  </w:r>
                  <w:r w:rsidRPr="00427A9C">
                    <w:rPr>
                      <w:rFonts w:ascii="Verdana" w:eastAsia="Times New Roman" w:hAnsi="Verdana" w:cs="Times New Roman"/>
                      <w:b/>
                      <w:bCs/>
                      <w:i/>
                      <w:iCs/>
                      <w:sz w:val="20"/>
                      <w:szCs w:val="20"/>
                    </w:rPr>
                    <w:t xml:space="preserve"> House Property </w:t>
                  </w:r>
                </w:p>
                <w:p w:rsidR="00427A9C" w:rsidRPr="00427A9C" w:rsidRDefault="00427A9C" w:rsidP="00427A9C">
                  <w:pPr>
                    <w:spacing w:before="75" w:after="75"/>
                    <w:ind w:right="150"/>
                    <w:jc w:val="both"/>
                    <w:rPr>
                      <w:rFonts w:ascii="Verdana" w:eastAsia="Times New Roman" w:hAnsi="Verdana" w:cs="Times New Roman"/>
                      <w:b/>
                      <w:bCs/>
                      <w:i/>
                      <w:iCs/>
                      <w:sz w:val="20"/>
                      <w:szCs w:val="20"/>
                    </w:rPr>
                  </w:pPr>
                </w:p>
              </w:tc>
              <w:tc>
                <w:tcPr>
                  <w:tcW w:w="6287" w:type="dxa"/>
                  <w:vAlign w:val="center"/>
                </w:tcPr>
                <w:p w:rsidR="00427A9C" w:rsidRPr="00427A9C" w:rsidRDefault="00427A9C" w:rsidP="00F82F07">
                  <w:pPr>
                    <w:spacing w:before="75" w:after="75"/>
                    <w:ind w:right="150"/>
                    <w:jc w:val="both"/>
                    <w:rPr>
                      <w:rFonts w:ascii="Times New Roman" w:eastAsia="Times New Roman" w:hAnsi="Times New Roman" w:cs="Times New Roman"/>
                      <w:sz w:val="24"/>
                      <w:szCs w:val="24"/>
                    </w:rPr>
                  </w:pPr>
                  <w:r>
                    <w:rPr>
                      <w:rFonts w:ascii="Verdana" w:hAnsi="Verdana"/>
                      <w:b/>
                      <w:bCs/>
                      <w:i/>
                      <w:iCs/>
                      <w:sz w:val="20"/>
                      <w:szCs w:val="20"/>
                    </w:rPr>
                    <w:t>(1,40,000)</w:t>
                  </w:r>
                </w:p>
              </w:tc>
            </w:tr>
            <w:tr w:rsidR="00427A9C" w:rsidTr="00427A9C">
              <w:trPr>
                <w:trHeight w:val="857"/>
              </w:trPr>
              <w:tc>
                <w:tcPr>
                  <w:tcW w:w="5125" w:type="dxa"/>
                </w:tcPr>
                <w:p w:rsidR="00427A9C" w:rsidRPr="00427A9C" w:rsidRDefault="00427A9C" w:rsidP="00427A9C">
                  <w:pPr>
                    <w:spacing w:before="75" w:after="75"/>
                    <w:ind w:left="150" w:right="150"/>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Loss under the head Short Term</w:t>
                  </w:r>
                  <w:r>
                    <w:rPr>
                      <w:rFonts w:ascii="Verdana" w:eastAsia="Times New Roman" w:hAnsi="Verdana" w:cs="Times New Roman"/>
                      <w:b/>
                      <w:bCs/>
                      <w:i/>
                      <w:iCs/>
                      <w:sz w:val="20"/>
                      <w:szCs w:val="20"/>
                    </w:rPr>
                    <w:t xml:space="preserve"> </w:t>
                  </w:r>
                  <w:r w:rsidRPr="00427A9C">
                    <w:rPr>
                      <w:rFonts w:ascii="Verdana" w:eastAsia="Times New Roman" w:hAnsi="Verdana" w:cs="Times New Roman"/>
                      <w:b/>
                      <w:bCs/>
                      <w:i/>
                      <w:iCs/>
                      <w:sz w:val="20"/>
                      <w:szCs w:val="20"/>
                    </w:rPr>
                    <w:t>Capital Gain</w:t>
                  </w:r>
                </w:p>
              </w:tc>
              <w:tc>
                <w:tcPr>
                  <w:tcW w:w="6287" w:type="dxa"/>
                  <w:vAlign w:val="center"/>
                </w:tcPr>
                <w:p w:rsidR="00427A9C" w:rsidRDefault="00427A9C" w:rsidP="00F82F07">
                  <w:pPr>
                    <w:spacing w:before="75" w:after="75"/>
                    <w:ind w:right="150"/>
                    <w:jc w:val="both"/>
                    <w:rPr>
                      <w:rFonts w:ascii="Verdana" w:hAnsi="Verdana"/>
                      <w:b/>
                      <w:bCs/>
                      <w:i/>
                      <w:iCs/>
                      <w:sz w:val="20"/>
                      <w:szCs w:val="20"/>
                    </w:rPr>
                  </w:pPr>
                  <w:r w:rsidRPr="00427A9C">
                    <w:rPr>
                      <w:rFonts w:ascii="Verdana" w:eastAsia="Times New Roman" w:hAnsi="Verdana" w:cs="Times New Roman"/>
                      <w:b/>
                      <w:bCs/>
                      <w:i/>
                      <w:iCs/>
                      <w:sz w:val="20"/>
                      <w:szCs w:val="20"/>
                    </w:rPr>
                    <w:t>(5,000)</w:t>
                  </w:r>
                </w:p>
              </w:tc>
            </w:tr>
            <w:tr w:rsidR="00427A9C" w:rsidTr="00427A9C">
              <w:trPr>
                <w:trHeight w:val="635"/>
              </w:trPr>
              <w:tc>
                <w:tcPr>
                  <w:tcW w:w="5125" w:type="dxa"/>
                </w:tcPr>
                <w:p w:rsidR="00427A9C" w:rsidRPr="00427A9C" w:rsidRDefault="00427A9C" w:rsidP="00427A9C">
                  <w:pPr>
                    <w:spacing w:before="75" w:after="75"/>
                    <w:ind w:left="150" w:right="150"/>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Donation covered u/s. 80G</w:t>
                  </w:r>
                </w:p>
              </w:tc>
              <w:tc>
                <w:tcPr>
                  <w:tcW w:w="6287" w:type="dxa"/>
                  <w:vAlign w:val="center"/>
                </w:tcPr>
                <w:p w:rsidR="00427A9C" w:rsidRPr="00427A9C" w:rsidRDefault="00427A9C" w:rsidP="00427A9C">
                  <w:pPr>
                    <w:spacing w:before="75" w:after="75"/>
                    <w:ind w:left="143" w:right="150" w:hanging="143"/>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50,000</w:t>
                  </w:r>
                </w:p>
              </w:tc>
            </w:tr>
          </w:tbl>
          <w:p w:rsidR="00427A9C" w:rsidRDefault="00427A9C" w:rsidP="00427A9C">
            <w:pPr>
              <w:spacing w:before="75" w:after="75" w:line="240" w:lineRule="auto"/>
              <w:ind w:left="150" w:right="150"/>
              <w:jc w:val="both"/>
              <w:rPr>
                <w:rFonts w:ascii="Verdana" w:eastAsia="Times New Roman" w:hAnsi="Verdana" w:cs="Times New Roman"/>
                <w:b/>
                <w:bCs/>
                <w:i/>
                <w:iCs/>
                <w:sz w:val="20"/>
                <w:szCs w:val="20"/>
              </w:rPr>
            </w:pPr>
          </w:p>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left="320" w:right="-266" w:hanging="65"/>
              <w:jc w:val="both"/>
              <w:rPr>
                <w:rFonts w:ascii="Times New Roman" w:eastAsia="Times New Roman" w:hAnsi="Times New Roman" w:cs="Times New Roman"/>
                <w:sz w:val="24"/>
                <w:szCs w:val="24"/>
              </w:rPr>
            </w:pPr>
          </w:p>
        </w:tc>
      </w:tr>
      <w:tr w:rsidR="00427A9C" w:rsidRPr="00427A9C" w:rsidTr="00427A9C">
        <w:trPr>
          <w:trHeight w:val="419"/>
        </w:trPr>
        <w:tc>
          <w:tcPr>
            <w:tcW w:w="4734"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r>
      <w:tr w:rsidR="00427A9C" w:rsidRPr="00427A9C" w:rsidTr="00427A9C">
        <w:tc>
          <w:tcPr>
            <w:tcW w:w="4734"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right="150"/>
              <w:jc w:val="both"/>
              <w:rPr>
                <w:rFonts w:ascii="Times New Roman" w:eastAsia="Times New Roman" w:hAnsi="Times New Roman" w:cs="Times New Roman"/>
                <w:sz w:val="24"/>
                <w:szCs w:val="24"/>
              </w:rPr>
            </w:pPr>
          </w:p>
        </w:tc>
      </w:tr>
      <w:tr w:rsidR="00427A9C" w:rsidRPr="00427A9C" w:rsidTr="00427A9C">
        <w:tc>
          <w:tcPr>
            <w:tcW w:w="4734" w:type="pct"/>
            <w:tcBorders>
              <w:top w:val="nil"/>
              <w:left w:val="nil"/>
              <w:bottom w:val="nil"/>
              <w:right w:val="nil"/>
            </w:tcBorders>
            <w:vAlign w:val="center"/>
            <w:hideMark/>
          </w:tcPr>
          <w:p w:rsidR="00427A9C" w:rsidRPr="00427A9C" w:rsidRDefault="00427A9C" w:rsidP="00427A9C">
            <w:pPr>
              <w:spacing w:before="75" w:after="75" w:line="240" w:lineRule="auto"/>
              <w:ind w:right="150"/>
              <w:jc w:val="both"/>
              <w:rPr>
                <w:rFonts w:ascii="Times New Roman" w:eastAsia="Times New Roman" w:hAnsi="Times New Roman" w:cs="Times New Roman"/>
                <w:sz w:val="24"/>
                <w:szCs w:val="24"/>
              </w:rPr>
            </w:pP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right="150"/>
              <w:jc w:val="both"/>
              <w:rPr>
                <w:rFonts w:ascii="Times New Roman" w:eastAsia="Times New Roman" w:hAnsi="Times New Roman" w:cs="Times New Roman"/>
                <w:sz w:val="24"/>
                <w:szCs w:val="24"/>
              </w:rPr>
            </w:pPr>
          </w:p>
        </w:tc>
      </w:tr>
      <w:tr w:rsidR="00427A9C" w:rsidRPr="00427A9C" w:rsidTr="00427A9C">
        <w:tc>
          <w:tcPr>
            <w:tcW w:w="4734"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c>
          <w:tcPr>
            <w:tcW w:w="266"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p>
        </w:tc>
      </w:tr>
    </w:tbl>
    <w:p w:rsidR="00427A9C" w:rsidRPr="00427A9C" w:rsidRDefault="00427A9C" w:rsidP="00427A9C">
      <w:pPr>
        <w:spacing w:before="100" w:beforeAutospacing="1" w:after="100" w:afterAutospacing="1"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b/>
          <w:bCs/>
          <w:i/>
          <w:iCs/>
          <w:sz w:val="20"/>
          <w:szCs w:val="20"/>
        </w:rPr>
        <w:t>What will be the withholding tax liability and how will it be calculated by the employer?</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As per S. 192(2B), where an employee having any income chargeable under the head “Salaries” has in addition, any income chargeable under any other head of income for the financial year, he may send to his employer, a statement of particulars of such other income and the tax, if any, deducted thereon and also the loss, if any, under the head “Income from house property”</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w:t>
      </w:r>
      <w:proofErr w:type="gramStart"/>
      <w:r w:rsidRPr="00427A9C">
        <w:rPr>
          <w:rFonts w:ascii="Verdana" w:eastAsia="Times New Roman" w:hAnsi="Verdana" w:cs="Times New Roman"/>
          <w:sz w:val="20"/>
          <w:szCs w:val="20"/>
        </w:rPr>
        <w:t>vide</w:t>
      </w:r>
      <w:proofErr w:type="gramEnd"/>
      <w:r w:rsidRPr="00427A9C">
        <w:rPr>
          <w:rFonts w:ascii="Verdana" w:eastAsia="Times New Roman" w:hAnsi="Verdana" w:cs="Times New Roman"/>
          <w:sz w:val="20"/>
          <w:szCs w:val="20"/>
        </w:rPr>
        <w:t xml:space="preserve"> Rule 26B(1)]. This statement is to be accompanied by verification as prescribed in Rule </w:t>
      </w:r>
      <w:proofErr w:type="gramStart"/>
      <w:r w:rsidRPr="00427A9C">
        <w:rPr>
          <w:rFonts w:ascii="Verdana" w:eastAsia="Times New Roman" w:hAnsi="Verdana" w:cs="Times New Roman"/>
          <w:sz w:val="20"/>
          <w:szCs w:val="20"/>
        </w:rPr>
        <w:t>26B(</w:t>
      </w:r>
      <w:proofErr w:type="gramEnd"/>
      <w:r w:rsidRPr="00427A9C">
        <w:rPr>
          <w:rFonts w:ascii="Verdana" w:eastAsia="Times New Roman" w:hAnsi="Verdana" w:cs="Times New Roman"/>
          <w:sz w:val="20"/>
          <w:szCs w:val="20"/>
        </w:rPr>
        <w:t>2), when such statement of particulars are sent by the employee, the employer shall take into account such income and tax for TDS.</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It has been specifically provided in the proviso to S. 192(2B) that this sub-section shall not in any case have the effect of reducing the TDS, except where the loss under the head “Income from house property” has been taken into account, from the income under the head “salaries” below the amount that would be so deductible, if other income and TDS thereon had not been taken into account.</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xml:space="preserve">– Thus, while calculating total income, A Ltd would take into account Rs. 30,000/- contributed to PPF under S. 80C, however, donation for charitable purpose under S. 80G would not be taken as per CBDT cir. No. 1 </w:t>
      </w:r>
      <w:proofErr w:type="spellStart"/>
      <w:proofErr w:type="gramStart"/>
      <w:r w:rsidRPr="00427A9C">
        <w:rPr>
          <w:rFonts w:ascii="Verdana" w:eastAsia="Times New Roman" w:hAnsi="Verdana" w:cs="Times New Roman"/>
          <w:sz w:val="20"/>
          <w:szCs w:val="20"/>
        </w:rPr>
        <w:t>dt</w:t>
      </w:r>
      <w:proofErr w:type="spellEnd"/>
      <w:proofErr w:type="gramEnd"/>
      <w:r w:rsidRPr="00427A9C">
        <w:rPr>
          <w:rFonts w:ascii="Verdana" w:eastAsia="Times New Roman" w:hAnsi="Verdana" w:cs="Times New Roman"/>
          <w:sz w:val="20"/>
          <w:szCs w:val="20"/>
        </w:rPr>
        <w:t xml:space="preserve">. </w:t>
      </w:r>
      <w:proofErr w:type="gramStart"/>
      <w:r w:rsidRPr="00427A9C">
        <w:rPr>
          <w:rFonts w:ascii="Verdana" w:eastAsia="Times New Roman" w:hAnsi="Verdana" w:cs="Times New Roman"/>
          <w:sz w:val="20"/>
          <w:szCs w:val="20"/>
        </w:rPr>
        <w:lastRenderedPageBreak/>
        <w:t>11/01/10 for financial year 2009/10.</w:t>
      </w:r>
      <w:proofErr w:type="gramEnd"/>
      <w:r w:rsidRPr="00427A9C">
        <w:rPr>
          <w:rFonts w:ascii="Verdana" w:eastAsia="Times New Roman" w:hAnsi="Verdana" w:cs="Times New Roman"/>
          <w:sz w:val="20"/>
          <w:szCs w:val="20"/>
        </w:rPr>
        <w:t xml:space="preserve"> TDS after reducing loss from house property, without taking other income and tax would be Rs. 10,354/- i.e.</w:t>
      </w:r>
    </w:p>
    <w:tbl>
      <w:tblPr>
        <w:tblW w:w="2150" w:type="pct"/>
        <w:tblInd w:w="465" w:type="dxa"/>
        <w:tblCellMar>
          <w:left w:w="0" w:type="dxa"/>
          <w:right w:w="0" w:type="dxa"/>
        </w:tblCellMar>
        <w:tblLook w:val="04A0"/>
      </w:tblPr>
      <w:tblGrid>
        <w:gridCol w:w="2898"/>
        <w:gridCol w:w="1127"/>
      </w:tblGrid>
      <w:tr w:rsidR="00427A9C" w:rsidRPr="00427A9C" w:rsidTr="00BD409B">
        <w:tc>
          <w:tcPr>
            <w:tcW w:w="36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xml:space="preserve">On first Rs. 1,60,000/- </w:t>
            </w:r>
          </w:p>
        </w:tc>
        <w:tc>
          <w:tcPr>
            <w:tcW w:w="14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Nil</w:t>
            </w:r>
          </w:p>
        </w:tc>
      </w:tr>
      <w:tr w:rsidR="00427A9C" w:rsidRPr="00427A9C" w:rsidTr="00BD409B">
        <w:tc>
          <w:tcPr>
            <w:tcW w:w="36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xml:space="preserve">On Rs. 1,60,000/- to Rs. 3,00,000/- </w:t>
            </w:r>
          </w:p>
        </w:tc>
        <w:tc>
          <w:tcPr>
            <w:tcW w:w="14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10%</w:t>
            </w:r>
          </w:p>
        </w:tc>
      </w:tr>
      <w:tr w:rsidR="00427A9C" w:rsidRPr="00427A9C" w:rsidTr="00BD409B">
        <w:tc>
          <w:tcPr>
            <w:tcW w:w="36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xml:space="preserve">On Rs.3,00,000/- to Rs. 5,00,000/- </w:t>
            </w:r>
          </w:p>
        </w:tc>
        <w:tc>
          <w:tcPr>
            <w:tcW w:w="14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20%</w:t>
            </w:r>
          </w:p>
        </w:tc>
      </w:tr>
      <w:tr w:rsidR="00427A9C" w:rsidRPr="00427A9C" w:rsidTr="00BD409B">
        <w:tc>
          <w:tcPr>
            <w:tcW w:w="36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xml:space="preserve">On above Rs. 5,00,000/- </w:t>
            </w:r>
          </w:p>
        </w:tc>
        <w:tc>
          <w:tcPr>
            <w:tcW w:w="1400" w:type="pct"/>
            <w:tcBorders>
              <w:top w:val="nil"/>
              <w:left w:val="nil"/>
              <w:bottom w:val="nil"/>
              <w:right w:val="nil"/>
            </w:tcBorders>
            <w:vAlign w:val="center"/>
            <w:hideMark/>
          </w:tcPr>
          <w:p w:rsidR="00427A9C" w:rsidRPr="00427A9C" w:rsidRDefault="00427A9C" w:rsidP="00427A9C">
            <w:pPr>
              <w:spacing w:before="75" w:after="75" w:line="240" w:lineRule="auto"/>
              <w:ind w:left="150" w:right="15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30%</w:t>
            </w:r>
          </w:p>
        </w:tc>
      </w:tr>
    </w:tbl>
    <w:p w:rsidR="00427A9C" w:rsidRDefault="00427A9C" w:rsidP="00427A9C">
      <w:pPr>
        <w:spacing w:before="100" w:beforeAutospacing="1" w:after="100" w:afterAutospacing="1" w:line="240" w:lineRule="auto"/>
        <w:ind w:left="870" w:right="870"/>
        <w:jc w:val="both"/>
        <w:rPr>
          <w:rFonts w:ascii="Verdana" w:eastAsia="Times New Roman" w:hAnsi="Verdana" w:cs="Times New Roman"/>
          <w:sz w:val="20"/>
          <w:szCs w:val="20"/>
        </w:rPr>
      </w:pPr>
      <w:r w:rsidRPr="00427A9C">
        <w:rPr>
          <w:rFonts w:ascii="Verdana" w:eastAsia="Times New Roman" w:hAnsi="Verdana" w:cs="Times New Roman"/>
          <w:sz w:val="20"/>
          <w:szCs w:val="20"/>
        </w:rPr>
        <w:t>So tax liability of employer would be Rs. 10,354/- as under:</w:t>
      </w:r>
    </w:p>
    <w:tbl>
      <w:tblPr>
        <w:tblStyle w:val="TableGrid"/>
        <w:tblW w:w="0" w:type="auto"/>
        <w:tblInd w:w="870" w:type="dxa"/>
        <w:tblLook w:val="04A0"/>
      </w:tblPr>
      <w:tblGrid>
        <w:gridCol w:w="2952"/>
        <w:gridCol w:w="2873"/>
        <w:gridCol w:w="2881"/>
      </w:tblGrid>
      <w:tr w:rsidR="00BD409B" w:rsidTr="00BD409B">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b/>
                <w:bCs/>
                <w:i/>
                <w:iCs/>
                <w:sz w:val="20"/>
                <w:szCs w:val="20"/>
              </w:rPr>
              <w:t>Normal (Rs.)</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b/>
                <w:bCs/>
                <w:i/>
                <w:iCs/>
                <w:sz w:val="20"/>
                <w:szCs w:val="20"/>
              </w:rPr>
              <w:t>u/s. 192(2B) (Rs.)</w:t>
            </w:r>
          </w:p>
        </w:tc>
      </w:tr>
      <w:tr w:rsidR="00BD409B" w:rsidTr="00BD409B">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Salary</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4,20,540</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4,20,540</w:t>
            </w:r>
          </w:p>
        </w:tc>
      </w:tr>
      <w:tr w:rsidR="00BD409B" w:rsidTr="00BD409B">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Other income – Professional</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70,000</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p>
        </w:tc>
      </w:tr>
      <w:tr w:rsidR="00BD409B" w:rsidTr="00BD409B">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4,90,540</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4.20.540</w:t>
            </w:r>
          </w:p>
        </w:tc>
      </w:tr>
      <w:tr w:rsidR="00BD409B" w:rsidTr="00BD409B">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Loss under House Property</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1,40,000</w:t>
            </w:r>
          </w:p>
        </w:tc>
        <w:tc>
          <w:tcPr>
            <w:tcW w:w="3192" w:type="dxa"/>
          </w:tcPr>
          <w:p w:rsidR="00BD409B"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1,40,000</w:t>
            </w: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3,50,540</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2,80,540</w:t>
            </w: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Less: PPF u/s. 80C</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30,000</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30,000</w:t>
            </w: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3,20,540</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2,50,540</w:t>
            </w: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Tax payable</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19,681</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10,354</w:t>
            </w: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Less: Tax deducted</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20,000</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r>
      <w:tr w:rsidR="00BD409B" w:rsidTr="00BD409B">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Refund</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r w:rsidRPr="00427A9C">
              <w:rPr>
                <w:rFonts w:ascii="Verdana" w:eastAsia="Times New Roman" w:hAnsi="Verdana" w:cs="Times New Roman"/>
                <w:sz w:val="20"/>
                <w:szCs w:val="20"/>
              </w:rPr>
              <w:t>319</w:t>
            </w:r>
          </w:p>
        </w:tc>
        <w:tc>
          <w:tcPr>
            <w:tcW w:w="3192" w:type="dxa"/>
          </w:tcPr>
          <w:p w:rsidR="00BD409B" w:rsidRPr="00427A9C" w:rsidRDefault="00BD409B" w:rsidP="00427A9C">
            <w:pPr>
              <w:spacing w:before="100" w:beforeAutospacing="1" w:after="100" w:afterAutospacing="1"/>
              <w:ind w:right="870"/>
              <w:jc w:val="both"/>
              <w:rPr>
                <w:rFonts w:ascii="Verdana" w:eastAsia="Times New Roman" w:hAnsi="Verdana" w:cs="Times New Roman"/>
                <w:sz w:val="20"/>
                <w:szCs w:val="20"/>
              </w:rPr>
            </w:pPr>
          </w:p>
        </w:tc>
      </w:tr>
    </w:tbl>
    <w:p w:rsidR="00BD409B" w:rsidRPr="00427A9C" w:rsidRDefault="00BD409B"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i/>
          <w:iCs/>
          <w:sz w:val="20"/>
          <w:szCs w:val="20"/>
        </w:rPr>
      </w:pPr>
      <w:r w:rsidRPr="00427A9C">
        <w:rPr>
          <w:rFonts w:ascii="Verdana" w:eastAsia="Times New Roman" w:hAnsi="Verdana" w:cs="Times New Roman"/>
          <w:i/>
          <w:iCs/>
          <w:sz w:val="20"/>
          <w:szCs w:val="20"/>
        </w:rPr>
        <w:t>3</w:t>
      </w:r>
      <w:r w:rsidRPr="00427A9C">
        <w:rPr>
          <w:rFonts w:ascii="Verdana" w:eastAsia="Times New Roman" w:hAnsi="Verdana" w:cs="Times New Roman"/>
          <w:b/>
          <w:bCs/>
          <w:i/>
          <w:iCs/>
          <w:sz w:val="20"/>
          <w:szCs w:val="20"/>
        </w:rPr>
        <w:t>. (</w:t>
      </w:r>
      <w:proofErr w:type="gramStart"/>
      <w:r w:rsidRPr="00427A9C">
        <w:rPr>
          <w:rFonts w:ascii="Verdana" w:eastAsia="Times New Roman" w:hAnsi="Verdana" w:cs="Times New Roman"/>
          <w:b/>
          <w:bCs/>
          <w:i/>
          <w:iCs/>
          <w:sz w:val="20"/>
          <w:szCs w:val="20"/>
        </w:rPr>
        <w:t>a</w:t>
      </w:r>
      <w:proofErr w:type="gramEnd"/>
      <w:r w:rsidRPr="00427A9C">
        <w:rPr>
          <w:rFonts w:ascii="Verdana" w:eastAsia="Times New Roman" w:hAnsi="Verdana" w:cs="Times New Roman"/>
          <w:b/>
          <w:bCs/>
          <w:i/>
          <w:iCs/>
          <w:sz w:val="20"/>
          <w:szCs w:val="20"/>
        </w:rPr>
        <w:t>) Is there any provision whereby employer can give refund of excess tax deducted to the employee within the year/after year end?</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No. An employer has right to adjust during the financial year u/s. 192(3)</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Employee has to claim from Dept.</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 xml:space="preserve">(b) By mistake deduction of tax at source has been made at wrong rate/lower rate/due to omission in the calculation of surcharge/education </w:t>
      </w:r>
      <w:proofErr w:type="spellStart"/>
      <w:r w:rsidRPr="00427A9C">
        <w:rPr>
          <w:rFonts w:ascii="Verdana" w:eastAsia="Times New Roman" w:hAnsi="Verdana" w:cs="Times New Roman"/>
          <w:b/>
          <w:bCs/>
          <w:i/>
          <w:iCs/>
          <w:sz w:val="20"/>
          <w:szCs w:val="20"/>
        </w:rPr>
        <w:t>cess</w:t>
      </w:r>
      <w:proofErr w:type="spellEnd"/>
      <w:r w:rsidRPr="00427A9C">
        <w:rPr>
          <w:rFonts w:ascii="Verdana" w:eastAsia="Times New Roman" w:hAnsi="Verdana" w:cs="Times New Roman"/>
          <w:b/>
          <w:bCs/>
          <w:i/>
          <w:iCs/>
          <w:sz w:val="20"/>
          <w:szCs w:val="20"/>
        </w:rPr>
        <w:t>. While filing return of income, the employee pays the differential amount as self assessment tax. Subsequently on TDS assessment, demand is raised on the employer for the same differential amount. Employer proposes to recover the said amount from the employee. Is the employer justified in doing so or is there any remedy available to the employer?</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lastRenderedPageBreak/>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Basic duty to pay the tax is of the employee, however, as a vicarious liability, the employer has to deduct the tax. So, if the employee has paid the difference; no tax could be recovered from the employer. S. 191 plus other decisions support this view.</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 However, interest u/s. 201 can be charged from the date from which TDS was deductible to the date of payment by the employee on short deduction of TDS</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proofErr w:type="gramStart"/>
      <w:r w:rsidRPr="00427A9C">
        <w:rPr>
          <w:rFonts w:ascii="Verdana" w:eastAsia="Times New Roman" w:hAnsi="Verdana" w:cs="Times New Roman"/>
          <w:i/>
          <w:iCs/>
          <w:sz w:val="20"/>
          <w:szCs w:val="20"/>
        </w:rPr>
        <w:t>[ See</w:t>
      </w:r>
      <w:proofErr w:type="gramEnd"/>
      <w:r w:rsidRPr="00427A9C">
        <w:rPr>
          <w:rFonts w:ascii="Verdana" w:eastAsia="Times New Roman" w:hAnsi="Verdana" w:cs="Times New Roman"/>
          <w:i/>
          <w:iCs/>
          <w:sz w:val="20"/>
          <w:szCs w:val="20"/>
        </w:rPr>
        <w:t xml:space="preserve"> Hindustan Coca Cola Beverage (P) Ltd. 293 ITR 226(SC)]</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(c) If the employer has made excess deduction of tax at source in case of bulk return of an employee what is the remedy available to the employer and under which section?</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If employer has deducted excess tax on bulk return, then, the employees have to obtain the refund authorizing employer to collect or indicate the bank account number, wherein the refund would be credited directly [see Scheme for Bulk Filing of Return By Salaried Employees, 2002]</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i/>
          <w:iCs/>
          <w:sz w:val="20"/>
          <w:szCs w:val="20"/>
        </w:rPr>
      </w:pPr>
      <w:r w:rsidRPr="00427A9C">
        <w:rPr>
          <w:rFonts w:ascii="Verdana" w:eastAsia="Times New Roman" w:hAnsi="Verdana" w:cs="Times New Roman"/>
          <w:b/>
          <w:bCs/>
          <w:i/>
          <w:iCs/>
          <w:sz w:val="20"/>
          <w:szCs w:val="20"/>
        </w:rPr>
        <w:t>(d) Where Non-Residents are deputed to work in India and taxes are borne by employer, if any refund becomes due to the employee after he has already left India and has no bank account in India by the time the assessment orders are passed, whom the refund can be issued?</w:t>
      </w:r>
    </w:p>
    <w:p w:rsidR="00427A9C" w:rsidRPr="00427A9C" w:rsidRDefault="00427A9C" w:rsidP="00427A9C">
      <w:pPr>
        <w:spacing w:before="100" w:beforeAutospacing="1" w:after="100" w:afterAutospacing="1" w:line="240" w:lineRule="auto"/>
        <w:ind w:left="150" w:right="150"/>
        <w:jc w:val="both"/>
        <w:rPr>
          <w:rFonts w:ascii="Verdana" w:eastAsia="Times New Roman" w:hAnsi="Verdana" w:cs="Times New Roman"/>
          <w:b/>
          <w:bCs/>
          <w:sz w:val="20"/>
          <w:szCs w:val="20"/>
        </w:rPr>
      </w:pPr>
      <w:proofErr w:type="spellStart"/>
      <w:r w:rsidRPr="00427A9C">
        <w:rPr>
          <w:rFonts w:ascii="Verdana" w:eastAsia="Times New Roman" w:hAnsi="Verdana" w:cs="Times New Roman"/>
          <w:b/>
          <w:bCs/>
          <w:sz w:val="20"/>
          <w:szCs w:val="20"/>
        </w:rPr>
        <w:t>Ans</w:t>
      </w:r>
      <w:proofErr w:type="spellEnd"/>
      <w:r w:rsidRPr="00427A9C">
        <w:rPr>
          <w:rFonts w:ascii="Verdana" w:eastAsia="Times New Roman" w:hAnsi="Verdana" w:cs="Times New Roman"/>
          <w:b/>
          <w:bCs/>
          <w:sz w:val="20"/>
          <w:szCs w:val="20"/>
        </w:rPr>
        <w:t>:</w:t>
      </w:r>
    </w:p>
    <w:p w:rsidR="00427A9C" w:rsidRPr="00427A9C" w:rsidRDefault="00427A9C" w:rsidP="00427A9C">
      <w:pPr>
        <w:spacing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sz w:val="20"/>
          <w:szCs w:val="20"/>
        </w:rPr>
        <w:t>The refund can be issued to the employer as the tax has been borne by it.</w:t>
      </w:r>
    </w:p>
    <w:p w:rsidR="00427A9C" w:rsidRPr="00427A9C" w:rsidRDefault="00427A9C" w:rsidP="00427A9C">
      <w:pPr>
        <w:spacing w:before="100" w:beforeAutospacing="1" w:after="100" w:afterAutospacing="1" w:line="240" w:lineRule="auto"/>
        <w:ind w:left="870" w:right="870"/>
        <w:jc w:val="both"/>
        <w:rPr>
          <w:rFonts w:ascii="Times New Roman" w:eastAsia="Times New Roman" w:hAnsi="Times New Roman" w:cs="Times New Roman"/>
          <w:sz w:val="24"/>
          <w:szCs w:val="24"/>
        </w:rPr>
      </w:pPr>
      <w:r w:rsidRPr="00427A9C">
        <w:rPr>
          <w:rFonts w:ascii="Verdana" w:eastAsia="Times New Roman" w:hAnsi="Verdana" w:cs="Times New Roman"/>
          <w:i/>
          <w:iCs/>
          <w:sz w:val="20"/>
          <w:szCs w:val="20"/>
        </w:rPr>
        <w:t>[Refer circular no. 707 dated 11/07/1995].</w:t>
      </w:r>
    </w:p>
    <w:p w:rsidR="00C07D2D" w:rsidRDefault="00C07D2D" w:rsidP="00427A9C">
      <w:pPr>
        <w:jc w:val="both"/>
      </w:pPr>
    </w:p>
    <w:sectPr w:rsidR="00C07D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E3278D"/>
    <w:multiLevelType w:val="multilevel"/>
    <w:tmpl w:val="DA4C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7A9C"/>
    <w:rsid w:val="00427A9C"/>
    <w:rsid w:val="00751210"/>
    <w:rsid w:val="008D6ACC"/>
    <w:rsid w:val="00BD409B"/>
    <w:rsid w:val="00C07D2D"/>
    <w:rsid w:val="00FA6C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7A9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27A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1637823">
      <w:blockQuote w:val="1"/>
      <w:marLeft w:val="720"/>
      <w:marRight w:val="720"/>
      <w:marTop w:val="100"/>
      <w:marBottom w:val="100"/>
      <w:divBdr>
        <w:top w:val="none" w:sz="0" w:space="0" w:color="auto"/>
        <w:left w:val="none" w:sz="0" w:space="0" w:color="auto"/>
        <w:bottom w:val="none" w:sz="0" w:space="0" w:color="auto"/>
        <w:right w:val="none" w:sz="0" w:space="0" w:color="auto"/>
      </w:divBdr>
    </w:div>
    <w:div w:id="74922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8820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275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29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2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03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292135">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richlook</Company>
  <LinksUpToDate>false</LinksUpToDate>
  <CharactersWithSpaces>5887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dengue</dc:creator>
  <cp:keywords/>
  <dc:description/>
  <cp:lastModifiedBy>dengue</cp:lastModifiedBy>
  <cp:revision>5</cp:revision>
  <dcterms:created xsi:type="dcterms:W3CDTF">2010-12-30T11:29:00Z</dcterms:created>
  <dcterms:modified xsi:type="dcterms:W3CDTF">2010-12-30T11:49:00Z</dcterms:modified>
</cp:coreProperties>
</file>