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outset" w:sz="2" w:space="0" w:color="008080"/>
          <w:left w:val="outset" w:sz="2" w:space="0" w:color="008080"/>
          <w:bottom w:val="outset" w:sz="2" w:space="0" w:color="008080"/>
          <w:right w:val="outset" w:sz="2" w:space="0" w:color="008080"/>
        </w:tblBorders>
        <w:tblCellMar>
          <w:left w:w="0" w:type="dxa"/>
          <w:right w:w="0" w:type="dxa"/>
        </w:tblCellMar>
        <w:tblLook w:val="04A0"/>
      </w:tblPr>
      <w:tblGrid>
        <w:gridCol w:w="9360"/>
      </w:tblGrid>
      <w:tr w:rsidR="00FA54F3" w:rsidRPr="00FA54F3">
        <w:tc>
          <w:tcPr>
            <w:tcW w:w="0" w:type="auto"/>
            <w:tcBorders>
              <w:top w:val="nil"/>
              <w:left w:val="nil"/>
              <w:bottom w:val="nil"/>
              <w:right w:val="nil"/>
            </w:tcBorders>
            <w:shd w:val="clear" w:color="auto" w:fill="B5E6E8"/>
            <w:vAlign w:val="center"/>
            <w:hideMark/>
          </w:tcPr>
          <w:p w:rsidR="00FA54F3" w:rsidRPr="00FA54F3" w:rsidRDefault="00FA54F3" w:rsidP="00815C67">
            <w:pPr>
              <w:spacing w:before="75" w:after="75" w:line="240" w:lineRule="auto"/>
              <w:jc w:val="both"/>
              <w:rPr>
                <w:rFonts w:ascii="Times New Roman" w:eastAsia="Times New Roman" w:hAnsi="Times New Roman" w:cs="Times New Roman"/>
                <w:sz w:val="24"/>
                <w:szCs w:val="24"/>
              </w:rPr>
            </w:pPr>
            <w:r w:rsidRPr="00FA54F3">
              <w:rPr>
                <w:rFonts w:ascii="Verdana" w:eastAsia="Times New Roman" w:hAnsi="Verdana" w:cs="Times New Roman"/>
                <w:b/>
                <w:bCs/>
                <w:sz w:val="27"/>
                <w:szCs w:val="27"/>
              </w:rPr>
              <w:t>DIRECT TAXES</w:t>
            </w:r>
          </w:p>
        </w:tc>
      </w:tr>
      <w:tr w:rsidR="00FA54F3" w:rsidRPr="00FA54F3">
        <w:tc>
          <w:tcPr>
            <w:tcW w:w="0" w:type="auto"/>
            <w:tcBorders>
              <w:top w:val="nil"/>
              <w:left w:val="nil"/>
              <w:bottom w:val="nil"/>
              <w:right w:val="nil"/>
            </w:tcBorders>
            <w:shd w:val="clear" w:color="auto" w:fill="008080"/>
            <w:vAlign w:val="center"/>
            <w:hideMark/>
          </w:tcPr>
          <w:p w:rsidR="00FA54F3" w:rsidRPr="00FA54F3" w:rsidRDefault="00FA54F3" w:rsidP="00815C67">
            <w:pPr>
              <w:spacing w:before="75" w:after="75" w:line="240" w:lineRule="auto"/>
              <w:jc w:val="both"/>
              <w:rPr>
                <w:rFonts w:ascii="Verdana" w:eastAsia="Times New Roman" w:hAnsi="Verdana" w:cs="Times New Roman"/>
                <w:b/>
                <w:bCs/>
                <w:sz w:val="24"/>
                <w:szCs w:val="24"/>
              </w:rPr>
            </w:pPr>
            <w:r w:rsidRPr="00FA54F3">
              <w:rPr>
                <w:rFonts w:ascii="Verdana" w:eastAsia="Times New Roman" w:hAnsi="Verdana" w:cs="Times New Roman"/>
                <w:b/>
                <w:bCs/>
                <w:color w:val="FFFFFF"/>
                <w:sz w:val="24"/>
                <w:szCs w:val="24"/>
              </w:rPr>
              <w:t>Supreme Court</w:t>
            </w:r>
          </w:p>
          <w:p w:rsidR="00FA54F3" w:rsidRPr="00FA54F3" w:rsidRDefault="00FA54F3" w:rsidP="002E0E48">
            <w:pPr>
              <w:spacing w:before="150" w:after="75" w:line="240" w:lineRule="auto"/>
              <w:ind w:right="75"/>
              <w:jc w:val="both"/>
              <w:rPr>
                <w:rFonts w:ascii="Times New Roman" w:eastAsia="Times New Roman" w:hAnsi="Times New Roman" w:cs="Times New Roman"/>
                <w:sz w:val="24"/>
                <w:szCs w:val="24"/>
              </w:rPr>
            </w:pPr>
            <w:r>
              <w:rPr>
                <w:rFonts w:ascii="Verdana" w:eastAsia="Times New Roman" w:hAnsi="Verdana" w:cs="Times New Roman"/>
                <w:b/>
                <w:bCs/>
                <w:color w:val="FFFFFF"/>
                <w:sz w:val="20"/>
                <w:szCs w:val="20"/>
              </w:rPr>
              <w:t xml:space="preserve">Manish </w:t>
            </w:r>
            <w:proofErr w:type="spellStart"/>
            <w:r>
              <w:rPr>
                <w:rFonts w:ascii="Verdana" w:eastAsia="Times New Roman" w:hAnsi="Verdana" w:cs="Times New Roman"/>
                <w:b/>
                <w:bCs/>
                <w:color w:val="FFFFFF"/>
                <w:sz w:val="20"/>
                <w:szCs w:val="20"/>
              </w:rPr>
              <w:t>Khatri</w:t>
            </w:r>
            <w:proofErr w:type="spellEnd"/>
            <w:r>
              <w:rPr>
                <w:rFonts w:ascii="Verdana" w:eastAsia="Times New Roman" w:hAnsi="Verdana" w:cs="Times New Roman"/>
                <w:b/>
                <w:bCs/>
                <w:color w:val="FFFFFF"/>
                <w:sz w:val="20"/>
                <w:szCs w:val="20"/>
              </w:rPr>
              <w:t>, CA Final Student</w:t>
            </w:r>
          </w:p>
        </w:tc>
      </w:tr>
    </w:tbl>
    <w:p w:rsidR="00FA54F3" w:rsidRPr="00FA54F3" w:rsidRDefault="00FA54F3" w:rsidP="00815C67">
      <w:pPr>
        <w:spacing w:before="100" w:beforeAutospacing="1" w:after="100" w:afterAutospacing="1" w:line="240" w:lineRule="auto"/>
        <w:jc w:val="both"/>
        <w:rPr>
          <w:rFonts w:ascii="Verdana" w:eastAsia="Times New Roman" w:hAnsi="Verdana" w:cs="Times New Roman"/>
          <w:b/>
          <w:bCs/>
          <w:sz w:val="27"/>
          <w:szCs w:val="27"/>
        </w:rPr>
      </w:pPr>
      <w:r>
        <w:rPr>
          <w:rFonts w:ascii="Verdana" w:eastAsia="Times New Roman" w:hAnsi="Verdana" w:cs="Times New Roman"/>
          <w:b/>
          <w:bCs/>
          <w:sz w:val="20"/>
          <w:szCs w:val="20"/>
        </w:rPr>
        <w:t>1</w:t>
      </w:r>
      <w:r w:rsidRPr="00FA54F3">
        <w:rPr>
          <w:rFonts w:ascii="Verdana" w:eastAsia="Times New Roman" w:hAnsi="Verdana" w:cs="Times New Roman"/>
          <w:b/>
          <w:bCs/>
          <w:sz w:val="20"/>
          <w:szCs w:val="20"/>
        </w:rPr>
        <w:t xml:space="preserve">: </w:t>
      </w:r>
      <w:r w:rsidR="001B45B0">
        <w:rPr>
          <w:rFonts w:ascii="Verdana" w:hAnsi="Verdana"/>
          <w:b/>
          <w:bCs/>
          <w:sz w:val="20"/>
          <w:szCs w:val="20"/>
        </w:rPr>
        <w:t xml:space="preserve">S. </w:t>
      </w:r>
      <w:proofErr w:type="gramStart"/>
      <w:r w:rsidR="001B45B0">
        <w:rPr>
          <w:rFonts w:ascii="Verdana" w:hAnsi="Verdana"/>
          <w:b/>
          <w:bCs/>
          <w:sz w:val="20"/>
          <w:szCs w:val="20"/>
        </w:rPr>
        <w:t>4 :</w:t>
      </w:r>
      <w:proofErr w:type="gramEnd"/>
      <w:r w:rsidR="001B45B0">
        <w:rPr>
          <w:rFonts w:ascii="Verdana" w:hAnsi="Verdana"/>
          <w:b/>
          <w:bCs/>
          <w:sz w:val="20"/>
          <w:szCs w:val="20"/>
        </w:rPr>
        <w:t xml:space="preserve"> Income – Liquidated Damages – Capital or Revenue Receipt</w:t>
      </w:r>
    </w:p>
    <w:p w:rsidR="00FA54F3" w:rsidRPr="00FA54F3" w:rsidRDefault="00FA54F3" w:rsidP="00815C67">
      <w:pPr>
        <w:spacing w:beforeAutospacing="1" w:after="100" w:afterAutospacing="1" w:line="240" w:lineRule="auto"/>
        <w:jc w:val="both"/>
        <w:rPr>
          <w:rFonts w:ascii="Times New Roman" w:eastAsia="Times New Roman" w:hAnsi="Times New Roman" w:cs="Times New Roman"/>
          <w:sz w:val="24"/>
          <w:szCs w:val="24"/>
        </w:rPr>
      </w:pPr>
      <w:r w:rsidRPr="00FA54F3">
        <w:rPr>
          <w:rFonts w:ascii="Verdana" w:eastAsia="Times New Roman" w:hAnsi="Verdana" w:cs="Times New Roman"/>
          <w:sz w:val="20"/>
          <w:szCs w:val="20"/>
        </w:rPr>
        <w:t xml:space="preserve">The </w:t>
      </w:r>
      <w:proofErr w:type="spellStart"/>
      <w:r w:rsidRPr="00FA54F3">
        <w:rPr>
          <w:rFonts w:ascii="Verdana" w:eastAsia="Times New Roman" w:hAnsi="Verdana" w:cs="Times New Roman"/>
          <w:sz w:val="20"/>
          <w:szCs w:val="20"/>
        </w:rPr>
        <w:t>assessee</w:t>
      </w:r>
      <w:proofErr w:type="spellEnd"/>
      <w:r w:rsidRPr="00FA54F3">
        <w:rPr>
          <w:rFonts w:ascii="Verdana" w:eastAsia="Times New Roman" w:hAnsi="Verdana" w:cs="Times New Roman"/>
          <w:sz w:val="20"/>
          <w:szCs w:val="20"/>
        </w:rPr>
        <w:t xml:space="preserve">, engaged in the manufacture of cement, entered into an agreement with the supplier for the purchase of an additional cement plant. The agreement contained a condition that in the event of delay in the delivery of plant the </w:t>
      </w:r>
      <w:proofErr w:type="spellStart"/>
      <w:r w:rsidRPr="00FA54F3">
        <w:rPr>
          <w:rFonts w:ascii="Verdana" w:eastAsia="Times New Roman" w:hAnsi="Verdana" w:cs="Times New Roman"/>
          <w:sz w:val="20"/>
          <w:szCs w:val="20"/>
        </w:rPr>
        <w:t>assessee</w:t>
      </w:r>
      <w:proofErr w:type="spellEnd"/>
      <w:r w:rsidRPr="00FA54F3">
        <w:rPr>
          <w:rFonts w:ascii="Verdana" w:eastAsia="Times New Roman" w:hAnsi="Verdana" w:cs="Times New Roman"/>
          <w:sz w:val="20"/>
          <w:szCs w:val="20"/>
        </w:rPr>
        <w:t xml:space="preserve"> was to be compensated with liquidated damages calculated at 0.5% of the price of the respective portion of machinery for each month of delay without proof of the actual damages suffered by the </w:t>
      </w:r>
      <w:proofErr w:type="spellStart"/>
      <w:r w:rsidRPr="00FA54F3">
        <w:rPr>
          <w:rFonts w:ascii="Verdana" w:eastAsia="Times New Roman" w:hAnsi="Verdana" w:cs="Times New Roman"/>
          <w:sz w:val="20"/>
          <w:szCs w:val="20"/>
        </w:rPr>
        <w:t>assessee</w:t>
      </w:r>
      <w:proofErr w:type="spellEnd"/>
      <w:r w:rsidRPr="00FA54F3">
        <w:rPr>
          <w:rFonts w:ascii="Verdana" w:eastAsia="Times New Roman" w:hAnsi="Verdana" w:cs="Times New Roman"/>
          <w:sz w:val="20"/>
          <w:szCs w:val="20"/>
        </w:rPr>
        <w:t xml:space="preserve">. The total amount of damages was capped at 5% of the total price of the machinery. The </w:t>
      </w:r>
      <w:proofErr w:type="spellStart"/>
      <w:r w:rsidRPr="00FA54F3">
        <w:rPr>
          <w:rFonts w:ascii="Verdana" w:eastAsia="Times New Roman" w:hAnsi="Verdana" w:cs="Times New Roman"/>
          <w:sz w:val="20"/>
          <w:szCs w:val="20"/>
        </w:rPr>
        <w:t>assessee</w:t>
      </w:r>
      <w:proofErr w:type="spellEnd"/>
      <w:r w:rsidRPr="00FA54F3">
        <w:rPr>
          <w:rFonts w:ascii="Verdana" w:eastAsia="Times New Roman" w:hAnsi="Verdana" w:cs="Times New Roman"/>
          <w:sz w:val="20"/>
          <w:szCs w:val="20"/>
        </w:rPr>
        <w:t xml:space="preserve"> received liquidated damages for failure to supply machinery. The Department sought to assess the amount to income-tax. Held the damages were directly and intimately linked with the procurement of a capital asset i.e. cement plant, and were attributable to delay in coming into existence of a profit-making apparatus rather than a receipt in the course of profit-earning process. Amount received by the </w:t>
      </w:r>
      <w:proofErr w:type="spellStart"/>
      <w:r w:rsidRPr="00FA54F3">
        <w:rPr>
          <w:rFonts w:ascii="Verdana" w:eastAsia="Times New Roman" w:hAnsi="Verdana" w:cs="Times New Roman"/>
          <w:sz w:val="20"/>
          <w:szCs w:val="20"/>
        </w:rPr>
        <w:t>assessee</w:t>
      </w:r>
      <w:proofErr w:type="spellEnd"/>
      <w:r w:rsidRPr="00FA54F3">
        <w:rPr>
          <w:rFonts w:ascii="Verdana" w:eastAsia="Times New Roman" w:hAnsi="Verdana" w:cs="Times New Roman"/>
          <w:sz w:val="20"/>
          <w:szCs w:val="20"/>
        </w:rPr>
        <w:t xml:space="preserve"> </w:t>
      </w:r>
      <w:r w:rsidRPr="00FA54F3">
        <w:rPr>
          <w:rFonts w:ascii="Verdana" w:eastAsia="Times New Roman" w:hAnsi="Verdana" w:cs="Times New Roman"/>
          <w:sz w:val="20"/>
          <w:szCs w:val="20"/>
        </w:rPr>
        <w:br/>
        <w:t>was a compensation for sterilization of the profit-earning source and therefore, was a capital receipt.</w:t>
      </w:r>
    </w:p>
    <w:p w:rsidR="00FA54F3" w:rsidRPr="00FA54F3" w:rsidRDefault="00FA54F3" w:rsidP="00815C67">
      <w:pPr>
        <w:spacing w:before="100" w:beforeAutospacing="1" w:after="100" w:afterAutospacing="1" w:line="240" w:lineRule="auto"/>
        <w:jc w:val="both"/>
        <w:rPr>
          <w:rFonts w:ascii="Times New Roman" w:eastAsia="Times New Roman" w:hAnsi="Times New Roman" w:cs="Times New Roman"/>
          <w:sz w:val="24"/>
          <w:szCs w:val="24"/>
        </w:rPr>
      </w:pPr>
      <w:r w:rsidRPr="00FA54F3">
        <w:rPr>
          <w:rFonts w:ascii="Verdana" w:eastAsia="Times New Roman" w:hAnsi="Verdana" w:cs="Times New Roman"/>
          <w:i/>
          <w:iCs/>
          <w:sz w:val="20"/>
          <w:szCs w:val="20"/>
        </w:rPr>
        <w:t xml:space="preserve">CIT vs. </w:t>
      </w:r>
      <w:proofErr w:type="spellStart"/>
      <w:r w:rsidRPr="00FA54F3">
        <w:rPr>
          <w:rFonts w:ascii="Verdana" w:eastAsia="Times New Roman" w:hAnsi="Verdana" w:cs="Times New Roman"/>
          <w:i/>
          <w:iCs/>
          <w:sz w:val="20"/>
          <w:szCs w:val="20"/>
        </w:rPr>
        <w:t>Saurashtra</w:t>
      </w:r>
      <w:proofErr w:type="spellEnd"/>
      <w:r w:rsidRPr="00FA54F3">
        <w:rPr>
          <w:rFonts w:ascii="Verdana" w:eastAsia="Times New Roman" w:hAnsi="Verdana" w:cs="Times New Roman"/>
          <w:i/>
          <w:iCs/>
          <w:sz w:val="20"/>
          <w:szCs w:val="20"/>
        </w:rPr>
        <w:t xml:space="preserve"> Cement Ltd. (2010) 42 DTR 49 / 325 ITR 422 (SC)</w:t>
      </w:r>
    </w:p>
    <w:p w:rsidR="00FA54F3" w:rsidRPr="00FA54F3" w:rsidRDefault="00FA54F3" w:rsidP="00815C67">
      <w:pPr>
        <w:spacing w:before="100" w:beforeAutospacing="1" w:after="100" w:afterAutospacing="1" w:line="240" w:lineRule="auto"/>
        <w:jc w:val="both"/>
        <w:rPr>
          <w:rFonts w:ascii="Times New Roman" w:eastAsia="Times New Roman" w:hAnsi="Times New Roman" w:cs="Times New Roman"/>
          <w:sz w:val="24"/>
          <w:szCs w:val="24"/>
        </w:rPr>
      </w:pPr>
      <w:r>
        <w:rPr>
          <w:rFonts w:ascii="Verdana" w:eastAsia="Times New Roman" w:hAnsi="Verdana" w:cs="Times New Roman"/>
          <w:b/>
          <w:bCs/>
          <w:sz w:val="20"/>
          <w:szCs w:val="20"/>
        </w:rPr>
        <w:t>2</w:t>
      </w:r>
      <w:r w:rsidRPr="00FA54F3">
        <w:rPr>
          <w:rFonts w:ascii="Verdana" w:eastAsia="Times New Roman" w:hAnsi="Verdana" w:cs="Times New Roman"/>
          <w:b/>
          <w:bCs/>
          <w:sz w:val="20"/>
          <w:szCs w:val="20"/>
        </w:rPr>
        <w:t xml:space="preserve">: </w:t>
      </w:r>
      <w:r w:rsidR="001B45B0">
        <w:rPr>
          <w:rFonts w:ascii="Verdana" w:hAnsi="Verdana"/>
          <w:b/>
          <w:bCs/>
          <w:sz w:val="20"/>
          <w:szCs w:val="20"/>
        </w:rPr>
        <w:t xml:space="preserve">S. 10(10C) : Amount received on opting for the Optional Early Retirement </w:t>
      </w:r>
      <w:proofErr w:type="spellStart"/>
      <w:r w:rsidR="001B45B0">
        <w:rPr>
          <w:rFonts w:ascii="Verdana" w:hAnsi="Verdana"/>
          <w:b/>
          <w:bCs/>
          <w:sz w:val="20"/>
          <w:szCs w:val="20"/>
        </w:rPr>
        <w:t>Scheme</w:t>
      </w:r>
      <w:r w:rsidRPr="00FA54F3">
        <w:rPr>
          <w:rFonts w:ascii="Verdana" w:eastAsia="Times New Roman" w:hAnsi="Verdana" w:cs="Times New Roman"/>
          <w:sz w:val="20"/>
          <w:szCs w:val="20"/>
        </w:rPr>
        <w:t>The</w:t>
      </w:r>
      <w:proofErr w:type="spellEnd"/>
      <w:r w:rsidRPr="00FA54F3">
        <w:rPr>
          <w:rFonts w:ascii="Verdana" w:eastAsia="Times New Roman" w:hAnsi="Verdana" w:cs="Times New Roman"/>
          <w:sz w:val="20"/>
          <w:szCs w:val="20"/>
        </w:rPr>
        <w:t xml:space="preserve"> amounts received by the retiring employees of the Reserve Bank of India opting for the Optional Early Retirement Scheme are eligible for exemption from income-tax under section 10(10C).</w:t>
      </w:r>
    </w:p>
    <w:p w:rsidR="00FA54F3" w:rsidRPr="00FA54F3" w:rsidRDefault="00FA54F3" w:rsidP="00815C67">
      <w:pPr>
        <w:spacing w:before="100" w:beforeAutospacing="1" w:after="100" w:afterAutospacing="1" w:line="240" w:lineRule="auto"/>
        <w:jc w:val="both"/>
        <w:rPr>
          <w:rFonts w:ascii="Times New Roman" w:eastAsia="Times New Roman" w:hAnsi="Times New Roman" w:cs="Times New Roman"/>
          <w:sz w:val="24"/>
          <w:szCs w:val="24"/>
        </w:rPr>
      </w:pPr>
      <w:r w:rsidRPr="00FA54F3">
        <w:rPr>
          <w:rFonts w:ascii="Verdana" w:eastAsia="Times New Roman" w:hAnsi="Verdana" w:cs="Times New Roman"/>
          <w:i/>
          <w:iCs/>
          <w:sz w:val="20"/>
          <w:szCs w:val="20"/>
        </w:rPr>
        <w:t xml:space="preserve">Chandra </w:t>
      </w:r>
      <w:proofErr w:type="spellStart"/>
      <w:r w:rsidRPr="00FA54F3">
        <w:rPr>
          <w:rFonts w:ascii="Verdana" w:eastAsia="Times New Roman" w:hAnsi="Verdana" w:cs="Times New Roman"/>
          <w:i/>
          <w:iCs/>
          <w:sz w:val="20"/>
          <w:szCs w:val="20"/>
        </w:rPr>
        <w:t>Ranganathan</w:t>
      </w:r>
      <w:proofErr w:type="spellEnd"/>
      <w:r w:rsidRPr="00FA54F3">
        <w:rPr>
          <w:rFonts w:ascii="Verdana" w:eastAsia="Times New Roman" w:hAnsi="Verdana" w:cs="Times New Roman"/>
          <w:i/>
          <w:iCs/>
          <w:sz w:val="20"/>
          <w:szCs w:val="20"/>
        </w:rPr>
        <w:t xml:space="preserve"> and Others vs. CIT (2010) 326 ITR 49 (SC) </w:t>
      </w:r>
    </w:p>
    <w:p w:rsidR="001B45B0" w:rsidRDefault="00FA54F3" w:rsidP="00815C67">
      <w:pPr>
        <w:pStyle w:val="NormalWeb"/>
        <w:jc w:val="both"/>
        <w:rPr>
          <w:rFonts w:ascii="Verdana" w:hAnsi="Verdana"/>
          <w:b/>
          <w:bCs/>
          <w:sz w:val="27"/>
          <w:szCs w:val="27"/>
        </w:rPr>
      </w:pPr>
      <w:r>
        <w:rPr>
          <w:rFonts w:ascii="Verdana" w:hAnsi="Verdana"/>
          <w:b/>
          <w:bCs/>
          <w:sz w:val="20"/>
          <w:szCs w:val="20"/>
        </w:rPr>
        <w:t>3</w:t>
      </w:r>
      <w:r w:rsidRPr="00FA54F3">
        <w:rPr>
          <w:rFonts w:ascii="Verdana" w:hAnsi="Verdana"/>
          <w:b/>
          <w:bCs/>
          <w:sz w:val="20"/>
          <w:szCs w:val="20"/>
        </w:rPr>
        <w:t xml:space="preserve">: </w:t>
      </w:r>
      <w:r w:rsidR="001B45B0">
        <w:rPr>
          <w:rFonts w:ascii="Verdana" w:hAnsi="Verdana"/>
          <w:b/>
          <w:bCs/>
          <w:sz w:val="20"/>
          <w:szCs w:val="20"/>
        </w:rPr>
        <w:t>S. 32(1</w:t>
      </w:r>
      <w:proofErr w:type="gramStart"/>
      <w:r w:rsidR="001B45B0">
        <w:rPr>
          <w:rFonts w:ascii="Verdana" w:hAnsi="Verdana"/>
          <w:b/>
          <w:bCs/>
          <w:sz w:val="20"/>
          <w:szCs w:val="20"/>
        </w:rPr>
        <w:t>)(</w:t>
      </w:r>
      <w:proofErr w:type="gramEnd"/>
      <w:r w:rsidR="001B45B0">
        <w:rPr>
          <w:rFonts w:ascii="Verdana" w:hAnsi="Verdana"/>
          <w:b/>
          <w:bCs/>
          <w:sz w:val="20"/>
          <w:szCs w:val="20"/>
        </w:rPr>
        <w:t xml:space="preserve">ii) : Depreciation – Bombay Stock Exchange Rules, </w:t>
      </w:r>
      <w:proofErr w:type="spellStart"/>
      <w:r w:rsidR="001B45B0">
        <w:rPr>
          <w:rFonts w:ascii="Verdana" w:hAnsi="Verdana"/>
          <w:b/>
          <w:bCs/>
          <w:sz w:val="20"/>
          <w:szCs w:val="20"/>
        </w:rPr>
        <w:t>rr</w:t>
      </w:r>
      <w:proofErr w:type="spellEnd"/>
      <w:r w:rsidR="001B45B0">
        <w:rPr>
          <w:rFonts w:ascii="Verdana" w:hAnsi="Verdana"/>
          <w:b/>
          <w:bCs/>
          <w:sz w:val="20"/>
          <w:szCs w:val="20"/>
        </w:rPr>
        <w:t>. 5, 6, 7, 9, 11, 15 and 16A – Bombay Stock Exchange Bye-Laws, bye-law 400: Membership Card of SE – Depreciation – Intangible Asset – [S. 2(14)]</w:t>
      </w:r>
    </w:p>
    <w:p w:rsidR="00FA54F3" w:rsidRPr="00FA54F3" w:rsidRDefault="00FA54F3" w:rsidP="00815C67">
      <w:pPr>
        <w:spacing w:before="100" w:beforeAutospacing="1" w:after="100" w:afterAutospacing="1" w:line="240" w:lineRule="auto"/>
        <w:jc w:val="both"/>
        <w:rPr>
          <w:rFonts w:ascii="Times New Roman" w:eastAsia="Times New Roman" w:hAnsi="Times New Roman" w:cs="Times New Roman"/>
          <w:sz w:val="24"/>
          <w:szCs w:val="24"/>
        </w:rPr>
      </w:pPr>
      <w:r w:rsidRPr="00FA54F3">
        <w:rPr>
          <w:rFonts w:ascii="Verdana" w:eastAsia="Times New Roman" w:hAnsi="Verdana" w:cs="Times New Roman"/>
          <w:sz w:val="20"/>
          <w:szCs w:val="20"/>
        </w:rPr>
        <w:t xml:space="preserve">The Tribunal held that the Membership Card of the BSE was an intangible asset and the </w:t>
      </w:r>
      <w:proofErr w:type="spellStart"/>
      <w:r w:rsidRPr="00FA54F3">
        <w:rPr>
          <w:rFonts w:ascii="Verdana" w:eastAsia="Times New Roman" w:hAnsi="Verdana" w:cs="Times New Roman"/>
          <w:sz w:val="20"/>
          <w:szCs w:val="20"/>
        </w:rPr>
        <w:t>assessee</w:t>
      </w:r>
      <w:proofErr w:type="spellEnd"/>
      <w:r w:rsidRPr="00FA54F3">
        <w:rPr>
          <w:rFonts w:ascii="Verdana" w:eastAsia="Times New Roman" w:hAnsi="Verdana" w:cs="Times New Roman"/>
          <w:sz w:val="20"/>
          <w:szCs w:val="20"/>
        </w:rPr>
        <w:t xml:space="preserve"> was entitled to depreciation thereon under section 32(1</w:t>
      </w:r>
      <w:proofErr w:type="gramStart"/>
      <w:r w:rsidRPr="00FA54F3">
        <w:rPr>
          <w:rFonts w:ascii="Verdana" w:eastAsia="Times New Roman" w:hAnsi="Verdana" w:cs="Times New Roman"/>
          <w:sz w:val="20"/>
          <w:szCs w:val="20"/>
        </w:rPr>
        <w:t>)(</w:t>
      </w:r>
      <w:proofErr w:type="gramEnd"/>
      <w:r w:rsidRPr="00FA54F3">
        <w:rPr>
          <w:rFonts w:ascii="Verdana" w:eastAsia="Times New Roman" w:hAnsi="Verdana" w:cs="Times New Roman"/>
          <w:sz w:val="20"/>
          <w:szCs w:val="20"/>
        </w:rPr>
        <w:t xml:space="preserve">ii). The High Court reversed the Tribunal’s decision and held that it was only a personal privilege to trade on the floor of the exchange and that such a privilege was not a "license" or "any other business or commercial right of a similar nature" under section 32(1)(ii). The SC reversed the decision of the High Court and held that on a consideration of the BSE Rules, that the right of membership was a "business or commercial right" and could be said to be owned by the </w:t>
      </w:r>
      <w:proofErr w:type="spellStart"/>
      <w:r w:rsidRPr="00FA54F3">
        <w:rPr>
          <w:rFonts w:ascii="Verdana" w:eastAsia="Times New Roman" w:hAnsi="Verdana" w:cs="Times New Roman"/>
          <w:sz w:val="20"/>
          <w:szCs w:val="20"/>
        </w:rPr>
        <w:t>assessee</w:t>
      </w:r>
      <w:proofErr w:type="spellEnd"/>
      <w:r w:rsidRPr="00FA54F3">
        <w:rPr>
          <w:rFonts w:ascii="Verdana" w:eastAsia="Times New Roman" w:hAnsi="Verdana" w:cs="Times New Roman"/>
          <w:sz w:val="20"/>
          <w:szCs w:val="20"/>
        </w:rPr>
        <w:t xml:space="preserve"> and used for business purposes in terms of section 32(1(ii). The right of membership, which included the right of nomination, was a "license" or "akin to license" which was one of the items under section 32(1</w:t>
      </w:r>
      <w:proofErr w:type="gramStart"/>
      <w:r w:rsidRPr="00FA54F3">
        <w:rPr>
          <w:rFonts w:ascii="Verdana" w:eastAsia="Times New Roman" w:hAnsi="Verdana" w:cs="Times New Roman"/>
          <w:sz w:val="20"/>
          <w:szCs w:val="20"/>
        </w:rPr>
        <w:t>)(</w:t>
      </w:r>
      <w:proofErr w:type="gramEnd"/>
      <w:r w:rsidRPr="00FA54F3">
        <w:rPr>
          <w:rFonts w:ascii="Verdana" w:eastAsia="Times New Roman" w:hAnsi="Verdana" w:cs="Times New Roman"/>
          <w:sz w:val="20"/>
          <w:szCs w:val="20"/>
        </w:rPr>
        <w:t xml:space="preserve">ii). The right to participate in the market had an economic and money value. It was an expense incurred by the </w:t>
      </w:r>
      <w:proofErr w:type="spellStart"/>
      <w:r w:rsidRPr="00FA54F3">
        <w:rPr>
          <w:rFonts w:ascii="Verdana" w:eastAsia="Times New Roman" w:hAnsi="Verdana" w:cs="Times New Roman"/>
          <w:sz w:val="20"/>
          <w:szCs w:val="20"/>
        </w:rPr>
        <w:t>assessee</w:t>
      </w:r>
      <w:proofErr w:type="spellEnd"/>
      <w:r w:rsidRPr="00FA54F3">
        <w:rPr>
          <w:rFonts w:ascii="Verdana" w:eastAsia="Times New Roman" w:hAnsi="Verdana" w:cs="Times New Roman"/>
          <w:sz w:val="20"/>
          <w:szCs w:val="20"/>
        </w:rPr>
        <w:t>, which satisfied the test of being a "license" or "any other business or commercial right of similar nature".</w:t>
      </w:r>
    </w:p>
    <w:p w:rsidR="00FA54F3" w:rsidRPr="00FA54F3" w:rsidRDefault="00FA54F3" w:rsidP="00815C67">
      <w:pPr>
        <w:spacing w:before="100" w:beforeAutospacing="1" w:after="100" w:afterAutospacing="1" w:line="240" w:lineRule="auto"/>
        <w:jc w:val="both"/>
        <w:rPr>
          <w:rFonts w:ascii="Times New Roman" w:eastAsia="Times New Roman" w:hAnsi="Times New Roman" w:cs="Times New Roman"/>
          <w:sz w:val="24"/>
          <w:szCs w:val="24"/>
        </w:rPr>
      </w:pPr>
      <w:r w:rsidRPr="00FA54F3">
        <w:rPr>
          <w:rFonts w:ascii="Verdana" w:eastAsia="Times New Roman" w:hAnsi="Verdana" w:cs="Times New Roman"/>
          <w:i/>
          <w:iCs/>
          <w:sz w:val="20"/>
          <w:szCs w:val="20"/>
        </w:rPr>
        <w:t>Techno Shares and Stocks Ltd. vs. CIT (2010) 327 ITR 323 / 193 Taxman 248 (SC)</w:t>
      </w:r>
    </w:p>
    <w:p w:rsidR="001B45B0" w:rsidRDefault="00FA54F3" w:rsidP="00815C67">
      <w:pPr>
        <w:pStyle w:val="NormalWeb"/>
        <w:jc w:val="both"/>
        <w:rPr>
          <w:rFonts w:ascii="Verdana" w:hAnsi="Verdana"/>
          <w:b/>
          <w:bCs/>
          <w:sz w:val="27"/>
          <w:szCs w:val="27"/>
        </w:rPr>
      </w:pPr>
      <w:r>
        <w:rPr>
          <w:rFonts w:ascii="Verdana" w:hAnsi="Verdana"/>
          <w:b/>
          <w:bCs/>
          <w:sz w:val="20"/>
          <w:szCs w:val="20"/>
        </w:rPr>
        <w:lastRenderedPageBreak/>
        <w:t>4</w:t>
      </w:r>
      <w:r w:rsidRPr="00FA54F3">
        <w:rPr>
          <w:rFonts w:ascii="Verdana" w:hAnsi="Verdana"/>
          <w:b/>
          <w:bCs/>
          <w:sz w:val="20"/>
          <w:szCs w:val="20"/>
        </w:rPr>
        <w:t xml:space="preserve">: </w:t>
      </w:r>
      <w:r w:rsidR="001B45B0">
        <w:rPr>
          <w:rFonts w:ascii="Verdana" w:hAnsi="Verdana"/>
          <w:b/>
          <w:bCs/>
          <w:sz w:val="20"/>
          <w:szCs w:val="20"/>
        </w:rPr>
        <w:t xml:space="preserve">S.94(7) : Loss – Set off – Loss on sale of units of mutual funds vis-à-vis dividend stripping transaction – Tax avoidance – Tax planning – </w:t>
      </w:r>
      <w:proofErr w:type="spellStart"/>
      <w:r w:rsidR="001B45B0">
        <w:rPr>
          <w:rFonts w:ascii="Verdana" w:hAnsi="Verdana"/>
          <w:b/>
          <w:bCs/>
          <w:sz w:val="20"/>
          <w:szCs w:val="20"/>
        </w:rPr>
        <w:t>Colourable</w:t>
      </w:r>
      <w:proofErr w:type="spellEnd"/>
      <w:r w:rsidR="001B45B0">
        <w:rPr>
          <w:rFonts w:ascii="Verdana" w:hAnsi="Verdana"/>
          <w:b/>
          <w:bCs/>
          <w:sz w:val="20"/>
          <w:szCs w:val="20"/>
        </w:rPr>
        <w:t xml:space="preserve"> Device – (Ss. 10(33), 14A)</w:t>
      </w:r>
    </w:p>
    <w:p w:rsidR="00FA54F3" w:rsidRPr="00FA54F3" w:rsidRDefault="00FA54F3" w:rsidP="00815C67">
      <w:pPr>
        <w:spacing w:beforeAutospacing="1" w:after="100" w:afterAutospacing="1" w:line="240" w:lineRule="auto"/>
        <w:jc w:val="both"/>
        <w:rPr>
          <w:rFonts w:ascii="Times New Roman" w:eastAsia="Times New Roman" w:hAnsi="Times New Roman" w:cs="Times New Roman"/>
          <w:sz w:val="24"/>
          <w:szCs w:val="24"/>
        </w:rPr>
      </w:pPr>
      <w:proofErr w:type="spellStart"/>
      <w:r w:rsidRPr="00FA54F3">
        <w:rPr>
          <w:rFonts w:ascii="Verdana" w:eastAsia="Times New Roman" w:hAnsi="Verdana" w:cs="Times New Roman"/>
          <w:sz w:val="20"/>
          <w:szCs w:val="20"/>
        </w:rPr>
        <w:t>Assessee</w:t>
      </w:r>
      <w:proofErr w:type="spellEnd"/>
      <w:r w:rsidRPr="00FA54F3">
        <w:rPr>
          <w:rFonts w:ascii="Verdana" w:eastAsia="Times New Roman" w:hAnsi="Verdana" w:cs="Times New Roman"/>
          <w:sz w:val="20"/>
          <w:szCs w:val="20"/>
        </w:rPr>
        <w:t xml:space="preserve"> purchased units of a mutual fund on the record date, earned dividend, sold all the units ex-dividend on the next working day and claimed set off of loss incurred on the sale of units. Contention of the Revenue that the differential price of the units being the cost of dividend, is expenditure incurred for obtaining exempt income and it should be netted against the dividend income in terms of section 14A cannot be accepted. Mandate of section 14A is to curb the practice to claim deduction of expenses incurred in relation to exempt income against the taxable income while claiming exemption of such income. Words "expenditure incurred" in section 14A refers to expenditure on rent, taxes, salaries, interest, etc. in respect of which allowances are provided for. A payback does not constitute an "expenditure incurred" in terms of section 14A. For attracting section 14A, there has to be a proximate cause for disallowance which has its relationship with the tax exempt income. Payback or return of investment not being such proximate cause, section 14A is not applicable to the facts of the case. Fact that the </w:t>
      </w:r>
      <w:proofErr w:type="spellStart"/>
      <w:r w:rsidRPr="00FA54F3">
        <w:rPr>
          <w:rFonts w:ascii="Verdana" w:eastAsia="Times New Roman" w:hAnsi="Verdana" w:cs="Times New Roman"/>
          <w:sz w:val="20"/>
          <w:szCs w:val="20"/>
        </w:rPr>
        <w:t>assessee</w:t>
      </w:r>
      <w:proofErr w:type="spellEnd"/>
      <w:r w:rsidRPr="00FA54F3">
        <w:rPr>
          <w:rFonts w:ascii="Verdana" w:eastAsia="Times New Roman" w:hAnsi="Verdana" w:cs="Times New Roman"/>
          <w:sz w:val="20"/>
          <w:szCs w:val="20"/>
        </w:rPr>
        <w:t xml:space="preserve"> received tax-free dividend and made use of the provision of section 10(33) cannot be said to be "abuse of law". Even assuming that the transaction was pre-planned, there is nothing to impeach the genuineness of the transaction. Hence, loss arising in such cases before the insertion of section 94(7) </w:t>
      </w:r>
      <w:proofErr w:type="spellStart"/>
      <w:r w:rsidRPr="00FA54F3">
        <w:rPr>
          <w:rFonts w:ascii="Verdana" w:eastAsia="Times New Roman" w:hAnsi="Verdana" w:cs="Times New Roman"/>
          <w:sz w:val="20"/>
          <w:szCs w:val="20"/>
        </w:rPr>
        <w:t>w.e.f</w:t>
      </w:r>
      <w:proofErr w:type="spellEnd"/>
      <w:r w:rsidRPr="00FA54F3">
        <w:rPr>
          <w:rFonts w:ascii="Verdana" w:eastAsia="Times New Roman" w:hAnsi="Verdana" w:cs="Times New Roman"/>
          <w:sz w:val="20"/>
          <w:szCs w:val="20"/>
        </w:rPr>
        <w:t xml:space="preserve">. 1st April 2002, cannot be disallowed. However, after 1st April 2002, such loss can be ignored by the Assessing Officer to the extent of dividend received by the </w:t>
      </w:r>
      <w:proofErr w:type="spellStart"/>
      <w:r w:rsidRPr="00FA54F3">
        <w:rPr>
          <w:rFonts w:ascii="Verdana" w:eastAsia="Times New Roman" w:hAnsi="Verdana" w:cs="Times New Roman"/>
          <w:sz w:val="20"/>
          <w:szCs w:val="20"/>
        </w:rPr>
        <w:t>assessee</w:t>
      </w:r>
      <w:proofErr w:type="spellEnd"/>
      <w:r w:rsidRPr="00FA54F3">
        <w:rPr>
          <w:rFonts w:ascii="Verdana" w:eastAsia="Times New Roman" w:hAnsi="Verdana" w:cs="Times New Roman"/>
          <w:sz w:val="20"/>
          <w:szCs w:val="20"/>
        </w:rPr>
        <w:t xml:space="preserve"> in view of section 94(7). Losses over and above the amount of the dividend received are still allowable. Parliament has not treated the dividend stripping transaction as sham or bogus. It has not treated the entire loss as fictitious or only a fiscal loss. If the argument of the Department is to be accepted, it would mean that before 1st April 2002, the entire loss would be disallowed, but after that date a part of it is allowable under section 94(7), which cannot be object of section 94(7) as it is inserted to curb tax avoidance by certain types of transactions in securities. </w:t>
      </w:r>
    </w:p>
    <w:p w:rsidR="00FA54F3" w:rsidRPr="00FA54F3" w:rsidRDefault="00FA54F3" w:rsidP="00815C67">
      <w:pPr>
        <w:spacing w:before="100" w:beforeAutospacing="1" w:after="100" w:afterAutospacing="1" w:line="240" w:lineRule="auto"/>
        <w:jc w:val="both"/>
        <w:rPr>
          <w:rFonts w:ascii="Times New Roman" w:eastAsia="Times New Roman" w:hAnsi="Times New Roman" w:cs="Times New Roman"/>
          <w:sz w:val="24"/>
          <w:szCs w:val="24"/>
        </w:rPr>
      </w:pPr>
      <w:r w:rsidRPr="00FA54F3">
        <w:rPr>
          <w:rFonts w:ascii="Verdana" w:eastAsia="Times New Roman" w:hAnsi="Verdana" w:cs="Times New Roman"/>
          <w:sz w:val="20"/>
          <w:szCs w:val="20"/>
        </w:rPr>
        <w:t xml:space="preserve">A citizen is free to carry on its business within the four corners of the law. </w:t>
      </w:r>
      <w:proofErr w:type="gramStart"/>
      <w:r w:rsidRPr="00FA54F3">
        <w:rPr>
          <w:rFonts w:ascii="Verdana" w:eastAsia="Times New Roman" w:hAnsi="Verdana" w:cs="Times New Roman"/>
          <w:sz w:val="20"/>
          <w:szCs w:val="20"/>
        </w:rPr>
        <w:t xml:space="preserve">Mere tax planning, without any motive to evade taxes through </w:t>
      </w:r>
      <w:proofErr w:type="spellStart"/>
      <w:r w:rsidRPr="00FA54F3">
        <w:rPr>
          <w:rFonts w:ascii="Verdana" w:eastAsia="Times New Roman" w:hAnsi="Verdana" w:cs="Times New Roman"/>
          <w:sz w:val="20"/>
          <w:szCs w:val="20"/>
        </w:rPr>
        <w:t>colourable</w:t>
      </w:r>
      <w:proofErr w:type="spellEnd"/>
      <w:r w:rsidRPr="00FA54F3">
        <w:rPr>
          <w:rFonts w:ascii="Verdana" w:eastAsia="Times New Roman" w:hAnsi="Verdana" w:cs="Times New Roman"/>
          <w:sz w:val="20"/>
          <w:szCs w:val="20"/>
        </w:rPr>
        <w:t xml:space="preserve"> devices is not frowned upon.</w:t>
      </w:r>
      <w:proofErr w:type="gramEnd"/>
    </w:p>
    <w:p w:rsidR="00FA54F3" w:rsidRPr="00FA54F3" w:rsidRDefault="00FA54F3" w:rsidP="00815C67">
      <w:pPr>
        <w:spacing w:before="100" w:beforeAutospacing="1" w:after="100" w:afterAutospacing="1" w:line="240" w:lineRule="auto"/>
        <w:jc w:val="both"/>
        <w:rPr>
          <w:rFonts w:ascii="Verdana" w:eastAsia="Times New Roman" w:hAnsi="Verdana" w:cs="Times New Roman"/>
          <w:i/>
          <w:iCs/>
          <w:sz w:val="20"/>
          <w:szCs w:val="20"/>
        </w:rPr>
      </w:pPr>
      <w:r w:rsidRPr="00FA54F3">
        <w:rPr>
          <w:rFonts w:ascii="Verdana" w:eastAsia="Times New Roman" w:hAnsi="Verdana" w:cs="Times New Roman"/>
          <w:i/>
          <w:iCs/>
          <w:sz w:val="20"/>
          <w:szCs w:val="20"/>
        </w:rPr>
        <w:t xml:space="preserve">CIT vs. </w:t>
      </w:r>
      <w:proofErr w:type="spellStart"/>
      <w:r w:rsidRPr="00FA54F3">
        <w:rPr>
          <w:rFonts w:ascii="Verdana" w:eastAsia="Times New Roman" w:hAnsi="Verdana" w:cs="Times New Roman"/>
          <w:i/>
          <w:iCs/>
          <w:sz w:val="20"/>
          <w:szCs w:val="20"/>
        </w:rPr>
        <w:t>Walfort</w:t>
      </w:r>
      <w:proofErr w:type="spellEnd"/>
      <w:r w:rsidRPr="00FA54F3">
        <w:rPr>
          <w:rFonts w:ascii="Verdana" w:eastAsia="Times New Roman" w:hAnsi="Verdana" w:cs="Times New Roman"/>
          <w:i/>
          <w:iCs/>
          <w:sz w:val="20"/>
          <w:szCs w:val="20"/>
        </w:rPr>
        <w:t xml:space="preserve"> Share &amp; Stock Brokers (P) Ltd. (2010) 41 DTR 233 / 326 ITR 1 (SC) / (2010) 8 SCC 137</w:t>
      </w:r>
    </w:p>
    <w:p w:rsidR="001B45B0" w:rsidRDefault="00FA54F3" w:rsidP="00815C67">
      <w:pPr>
        <w:pStyle w:val="NormalWeb"/>
        <w:jc w:val="both"/>
        <w:rPr>
          <w:rFonts w:ascii="Verdana" w:hAnsi="Verdana"/>
          <w:b/>
          <w:bCs/>
          <w:sz w:val="27"/>
          <w:szCs w:val="27"/>
        </w:rPr>
      </w:pPr>
      <w:r>
        <w:rPr>
          <w:rFonts w:ascii="Verdana" w:hAnsi="Verdana"/>
          <w:b/>
          <w:bCs/>
          <w:sz w:val="20"/>
          <w:szCs w:val="20"/>
        </w:rPr>
        <w:t>5</w:t>
      </w:r>
      <w:r w:rsidRPr="00FA54F3">
        <w:rPr>
          <w:rFonts w:ascii="Verdana" w:hAnsi="Verdana"/>
          <w:b/>
          <w:bCs/>
          <w:sz w:val="20"/>
          <w:szCs w:val="20"/>
        </w:rPr>
        <w:t xml:space="preserve">: </w:t>
      </w:r>
      <w:r w:rsidR="001B45B0">
        <w:rPr>
          <w:rFonts w:ascii="Verdana" w:hAnsi="Verdana"/>
          <w:b/>
          <w:bCs/>
          <w:sz w:val="20"/>
          <w:szCs w:val="20"/>
        </w:rPr>
        <w:t xml:space="preserve">S. </w:t>
      </w:r>
      <w:proofErr w:type="gramStart"/>
      <w:r w:rsidR="001B45B0">
        <w:rPr>
          <w:rFonts w:ascii="Verdana" w:hAnsi="Verdana"/>
          <w:b/>
          <w:bCs/>
          <w:sz w:val="20"/>
          <w:szCs w:val="20"/>
        </w:rPr>
        <w:t>115JB :</w:t>
      </w:r>
      <w:proofErr w:type="gramEnd"/>
      <w:r w:rsidR="001B45B0">
        <w:rPr>
          <w:rFonts w:ascii="Verdana" w:hAnsi="Verdana"/>
          <w:b/>
          <w:bCs/>
          <w:sz w:val="20"/>
          <w:szCs w:val="20"/>
        </w:rPr>
        <w:t xml:space="preserve"> Book Profit – Deduction – (S. 80HHC, 115JB)</w:t>
      </w:r>
    </w:p>
    <w:p w:rsidR="00FA54F3" w:rsidRPr="00FA54F3" w:rsidRDefault="00FA54F3" w:rsidP="00815C67">
      <w:pPr>
        <w:spacing w:before="100" w:beforeAutospacing="1" w:after="100" w:afterAutospacing="1" w:line="240" w:lineRule="auto"/>
        <w:jc w:val="both"/>
        <w:rPr>
          <w:rFonts w:ascii="Times New Roman" w:eastAsia="Times New Roman" w:hAnsi="Times New Roman" w:cs="Times New Roman"/>
          <w:sz w:val="24"/>
          <w:szCs w:val="24"/>
        </w:rPr>
      </w:pPr>
      <w:r w:rsidRPr="00FA54F3">
        <w:rPr>
          <w:rFonts w:ascii="Verdana" w:eastAsia="Times New Roman" w:hAnsi="Verdana" w:cs="Times New Roman"/>
          <w:sz w:val="20"/>
          <w:szCs w:val="20"/>
        </w:rPr>
        <w:t>Section 115JB is a self contained code. It refers to computation of "book profit" which has to be computed by making upward and downward adjustments. Cl. (</w:t>
      </w:r>
      <w:proofErr w:type="gramStart"/>
      <w:r w:rsidRPr="00FA54F3">
        <w:rPr>
          <w:rFonts w:ascii="Verdana" w:eastAsia="Times New Roman" w:hAnsi="Verdana" w:cs="Times New Roman"/>
          <w:sz w:val="20"/>
          <w:szCs w:val="20"/>
        </w:rPr>
        <w:t>iv</w:t>
      </w:r>
      <w:proofErr w:type="gramEnd"/>
      <w:r w:rsidRPr="00FA54F3">
        <w:rPr>
          <w:rFonts w:ascii="Verdana" w:eastAsia="Times New Roman" w:hAnsi="Verdana" w:cs="Times New Roman"/>
          <w:sz w:val="20"/>
          <w:szCs w:val="20"/>
        </w:rPr>
        <w:t xml:space="preserve">) of the Explanation to section 115JB seeks to exclude "profits eligible for deduction under section 80HHC". Section </w:t>
      </w:r>
      <w:proofErr w:type="gramStart"/>
      <w:r w:rsidRPr="00FA54F3">
        <w:rPr>
          <w:rFonts w:ascii="Verdana" w:eastAsia="Times New Roman" w:hAnsi="Verdana" w:cs="Times New Roman"/>
          <w:sz w:val="20"/>
          <w:szCs w:val="20"/>
        </w:rPr>
        <w:t>80HHC(</w:t>
      </w:r>
      <w:proofErr w:type="gramEnd"/>
      <w:r w:rsidRPr="00FA54F3">
        <w:rPr>
          <w:rFonts w:ascii="Verdana" w:eastAsia="Times New Roman" w:hAnsi="Verdana" w:cs="Times New Roman"/>
          <w:sz w:val="20"/>
          <w:szCs w:val="20"/>
        </w:rPr>
        <w:t xml:space="preserve">1) refers to eligibility whereas section 80HHC(1B) deals with the "extent of deduction". For the purposes of computation of book profit which is different from the normal computation under the Act, the upward and downward adjustments are to be kept in mind and thus cl. (iv) of the Explanation to section 115JB covers full export profits of 100% as "eligible profits" and the same cannot be reduced to 80% by relying on section </w:t>
      </w:r>
      <w:proofErr w:type="gramStart"/>
      <w:r w:rsidRPr="00FA54F3">
        <w:rPr>
          <w:rFonts w:ascii="Verdana" w:eastAsia="Times New Roman" w:hAnsi="Verdana" w:cs="Times New Roman"/>
          <w:sz w:val="20"/>
          <w:szCs w:val="20"/>
        </w:rPr>
        <w:t>80HHC(</w:t>
      </w:r>
      <w:proofErr w:type="gramEnd"/>
      <w:r w:rsidRPr="00FA54F3">
        <w:rPr>
          <w:rFonts w:ascii="Verdana" w:eastAsia="Times New Roman" w:hAnsi="Verdana" w:cs="Times New Roman"/>
          <w:sz w:val="20"/>
          <w:szCs w:val="20"/>
        </w:rPr>
        <w:t>1B). The argument of the Department that both "eligibility" as well as "deductibility" of the profit have to be considered together for working out the deduction as mentioned in cl. (iv) has no merit.</w:t>
      </w:r>
    </w:p>
    <w:p w:rsidR="00FA54F3" w:rsidRPr="00FA54F3" w:rsidRDefault="00FA54F3" w:rsidP="00815C67">
      <w:pPr>
        <w:spacing w:before="100" w:beforeAutospacing="1" w:after="100" w:afterAutospacing="1" w:line="240" w:lineRule="auto"/>
        <w:jc w:val="both"/>
        <w:rPr>
          <w:rFonts w:ascii="Times New Roman" w:eastAsia="Times New Roman" w:hAnsi="Times New Roman" w:cs="Times New Roman"/>
          <w:sz w:val="24"/>
          <w:szCs w:val="24"/>
        </w:rPr>
      </w:pPr>
      <w:r w:rsidRPr="00FA54F3">
        <w:rPr>
          <w:rFonts w:ascii="Verdana" w:eastAsia="Times New Roman" w:hAnsi="Verdana" w:cs="Times New Roman"/>
          <w:i/>
          <w:iCs/>
          <w:sz w:val="20"/>
          <w:szCs w:val="20"/>
        </w:rPr>
        <w:t xml:space="preserve">Ajanta </w:t>
      </w:r>
      <w:proofErr w:type="spellStart"/>
      <w:r w:rsidRPr="00FA54F3">
        <w:rPr>
          <w:rFonts w:ascii="Verdana" w:eastAsia="Times New Roman" w:hAnsi="Verdana" w:cs="Times New Roman"/>
          <w:i/>
          <w:iCs/>
          <w:sz w:val="20"/>
          <w:szCs w:val="20"/>
        </w:rPr>
        <w:t>Pharma</w:t>
      </w:r>
      <w:proofErr w:type="spellEnd"/>
      <w:r w:rsidRPr="00FA54F3">
        <w:rPr>
          <w:rFonts w:ascii="Verdana" w:eastAsia="Times New Roman" w:hAnsi="Verdana" w:cs="Times New Roman"/>
          <w:i/>
          <w:iCs/>
          <w:sz w:val="20"/>
          <w:szCs w:val="20"/>
        </w:rPr>
        <w:t xml:space="preserve"> Ltd. vs. CIT (2010) 44 DTR 1 / 327 ITR 305 (SC)</w:t>
      </w:r>
    </w:p>
    <w:p w:rsidR="0059677A" w:rsidRDefault="00FA54F3" w:rsidP="00815C67">
      <w:pPr>
        <w:pStyle w:val="NormalWeb"/>
        <w:jc w:val="both"/>
        <w:rPr>
          <w:rFonts w:ascii="Verdana" w:hAnsi="Verdana"/>
          <w:b/>
          <w:bCs/>
          <w:sz w:val="27"/>
          <w:szCs w:val="27"/>
        </w:rPr>
      </w:pPr>
      <w:r>
        <w:rPr>
          <w:rFonts w:ascii="Verdana" w:hAnsi="Verdana"/>
          <w:b/>
          <w:bCs/>
          <w:sz w:val="20"/>
          <w:szCs w:val="20"/>
        </w:rPr>
        <w:lastRenderedPageBreak/>
        <w:t>6</w:t>
      </w:r>
      <w:r w:rsidRPr="00FA54F3">
        <w:rPr>
          <w:rFonts w:ascii="Verdana" w:hAnsi="Verdana"/>
          <w:b/>
          <w:bCs/>
          <w:sz w:val="20"/>
          <w:szCs w:val="20"/>
        </w:rPr>
        <w:t xml:space="preserve">: </w:t>
      </w:r>
      <w:r w:rsidR="0059677A">
        <w:rPr>
          <w:rFonts w:ascii="Verdana" w:hAnsi="Verdana"/>
          <w:b/>
          <w:bCs/>
          <w:sz w:val="20"/>
          <w:szCs w:val="20"/>
        </w:rPr>
        <w:t xml:space="preserve">S. </w:t>
      </w:r>
      <w:proofErr w:type="gramStart"/>
      <w:r w:rsidR="0059677A">
        <w:rPr>
          <w:rFonts w:ascii="Verdana" w:hAnsi="Verdana"/>
          <w:b/>
          <w:bCs/>
          <w:sz w:val="20"/>
          <w:szCs w:val="20"/>
        </w:rPr>
        <w:t>192 :</w:t>
      </w:r>
      <w:proofErr w:type="gramEnd"/>
      <w:r w:rsidR="0059677A">
        <w:rPr>
          <w:rFonts w:ascii="Verdana" w:hAnsi="Verdana"/>
          <w:b/>
          <w:bCs/>
          <w:sz w:val="20"/>
          <w:szCs w:val="20"/>
        </w:rPr>
        <w:t xml:space="preserve"> Deduction of Tax at Source – </w:t>
      </w:r>
      <w:proofErr w:type="spellStart"/>
      <w:r w:rsidR="0059677A">
        <w:rPr>
          <w:rFonts w:ascii="Verdana" w:hAnsi="Verdana"/>
          <w:b/>
          <w:bCs/>
          <w:sz w:val="20"/>
          <w:szCs w:val="20"/>
        </w:rPr>
        <w:t>Assessee</w:t>
      </w:r>
      <w:proofErr w:type="spellEnd"/>
      <w:r w:rsidR="0059677A">
        <w:rPr>
          <w:rFonts w:ascii="Verdana" w:hAnsi="Verdana"/>
          <w:b/>
          <w:bCs/>
          <w:sz w:val="20"/>
          <w:szCs w:val="20"/>
        </w:rPr>
        <w:t xml:space="preserve"> in default – Payment of salary to non-residents vis-à-vis limitation – (S. 201)</w:t>
      </w:r>
    </w:p>
    <w:p w:rsidR="00FA54F3" w:rsidRPr="00FA54F3" w:rsidRDefault="00FA54F3" w:rsidP="00815C67">
      <w:pPr>
        <w:spacing w:before="100" w:beforeAutospacing="1" w:after="100" w:afterAutospacing="1" w:line="240" w:lineRule="auto"/>
        <w:jc w:val="both"/>
        <w:rPr>
          <w:rFonts w:ascii="Times New Roman" w:eastAsia="Times New Roman" w:hAnsi="Times New Roman" w:cs="Times New Roman"/>
          <w:sz w:val="24"/>
          <w:szCs w:val="24"/>
        </w:rPr>
      </w:pPr>
      <w:r w:rsidRPr="00FA54F3">
        <w:rPr>
          <w:rFonts w:ascii="Verdana" w:eastAsia="Times New Roman" w:hAnsi="Verdana" w:cs="Times New Roman"/>
          <w:sz w:val="20"/>
          <w:szCs w:val="20"/>
        </w:rPr>
        <w:t xml:space="preserve">At the relevant time, there was a debate on the question as to whether TDS was deductible on foreign salary payment as a component of the total salary paid to an expatriate working in India. Even assuming that the department is right on the issue of limitation still the question would arise whether on such debatable points, the </w:t>
      </w:r>
      <w:proofErr w:type="spellStart"/>
      <w:r w:rsidRPr="00FA54F3">
        <w:rPr>
          <w:rFonts w:ascii="Verdana" w:eastAsia="Times New Roman" w:hAnsi="Verdana" w:cs="Times New Roman"/>
          <w:sz w:val="20"/>
          <w:szCs w:val="20"/>
        </w:rPr>
        <w:t>assessee</w:t>
      </w:r>
      <w:proofErr w:type="spellEnd"/>
      <w:r w:rsidRPr="00FA54F3">
        <w:rPr>
          <w:rFonts w:ascii="Verdana" w:eastAsia="Times New Roman" w:hAnsi="Verdana" w:cs="Times New Roman"/>
          <w:sz w:val="20"/>
          <w:szCs w:val="20"/>
        </w:rPr>
        <w:t xml:space="preserve"> could be declared as </w:t>
      </w:r>
      <w:proofErr w:type="spellStart"/>
      <w:r w:rsidRPr="00FA54F3">
        <w:rPr>
          <w:rFonts w:ascii="Verdana" w:eastAsia="Times New Roman" w:hAnsi="Verdana" w:cs="Times New Roman"/>
          <w:sz w:val="20"/>
          <w:szCs w:val="20"/>
        </w:rPr>
        <w:t>assessee</w:t>
      </w:r>
      <w:proofErr w:type="spellEnd"/>
      <w:r w:rsidRPr="00FA54F3">
        <w:rPr>
          <w:rFonts w:ascii="Verdana" w:eastAsia="Times New Roman" w:hAnsi="Verdana" w:cs="Times New Roman"/>
          <w:sz w:val="20"/>
          <w:szCs w:val="20"/>
        </w:rPr>
        <w:t xml:space="preserve"> in default under section 192 r/w section 201. Further, the </w:t>
      </w:r>
      <w:proofErr w:type="spellStart"/>
      <w:r w:rsidRPr="00FA54F3">
        <w:rPr>
          <w:rFonts w:ascii="Verdana" w:eastAsia="Times New Roman" w:hAnsi="Verdana" w:cs="Times New Roman"/>
          <w:sz w:val="20"/>
          <w:szCs w:val="20"/>
        </w:rPr>
        <w:t>assessees</w:t>
      </w:r>
      <w:proofErr w:type="spellEnd"/>
      <w:r w:rsidRPr="00FA54F3">
        <w:rPr>
          <w:rFonts w:ascii="Verdana" w:eastAsia="Times New Roman" w:hAnsi="Verdana" w:cs="Times New Roman"/>
          <w:sz w:val="20"/>
          <w:szCs w:val="20"/>
        </w:rPr>
        <w:t xml:space="preserve"> have paid the differential tax and also the interest and they further undertake not to claim refund for the amounts paid. Question on limitation has become academic. CIT vs. Eli Lilly &amp; Co (India) (P) Ltd. 312 ITR 225 (SC) referred.</w:t>
      </w:r>
    </w:p>
    <w:p w:rsidR="00FA54F3" w:rsidRPr="00FA54F3" w:rsidRDefault="00FA54F3" w:rsidP="00815C67">
      <w:pPr>
        <w:spacing w:before="100" w:beforeAutospacing="1" w:after="100" w:afterAutospacing="1" w:line="240" w:lineRule="auto"/>
        <w:jc w:val="both"/>
        <w:rPr>
          <w:rFonts w:ascii="Verdana" w:eastAsia="Times New Roman" w:hAnsi="Verdana" w:cs="Times New Roman"/>
          <w:i/>
          <w:iCs/>
          <w:sz w:val="20"/>
          <w:szCs w:val="20"/>
        </w:rPr>
      </w:pPr>
      <w:r w:rsidRPr="00FA54F3">
        <w:rPr>
          <w:rFonts w:ascii="Verdana" w:eastAsia="Times New Roman" w:hAnsi="Verdana" w:cs="Times New Roman"/>
          <w:i/>
          <w:iCs/>
          <w:sz w:val="20"/>
          <w:szCs w:val="20"/>
        </w:rPr>
        <w:t>CIT vs. British Airways (2010) 41 DTR 121 (SC)</w:t>
      </w:r>
    </w:p>
    <w:p w:rsidR="00FA54F3" w:rsidRPr="00FA54F3" w:rsidRDefault="00FA54F3" w:rsidP="00815C67">
      <w:pPr>
        <w:spacing w:before="100" w:beforeAutospacing="1" w:after="100" w:afterAutospacing="1" w:line="240" w:lineRule="auto"/>
        <w:jc w:val="both"/>
        <w:rPr>
          <w:rFonts w:ascii="Verdana" w:eastAsia="Times New Roman" w:hAnsi="Verdana" w:cs="Times New Roman"/>
          <w:b/>
          <w:bCs/>
          <w:sz w:val="27"/>
          <w:szCs w:val="27"/>
        </w:rPr>
      </w:pPr>
      <w:r>
        <w:rPr>
          <w:rFonts w:ascii="Verdana" w:eastAsia="Times New Roman" w:hAnsi="Verdana" w:cs="Times New Roman"/>
          <w:b/>
          <w:bCs/>
          <w:sz w:val="20"/>
          <w:szCs w:val="20"/>
        </w:rPr>
        <w:t>7</w:t>
      </w:r>
      <w:r w:rsidRPr="00FA54F3">
        <w:rPr>
          <w:rFonts w:ascii="Verdana" w:eastAsia="Times New Roman" w:hAnsi="Verdana" w:cs="Times New Roman"/>
          <w:b/>
          <w:bCs/>
          <w:sz w:val="20"/>
          <w:szCs w:val="20"/>
        </w:rPr>
        <w:t xml:space="preserve">: </w:t>
      </w:r>
      <w:r w:rsidR="0059677A">
        <w:rPr>
          <w:rFonts w:ascii="Verdana" w:hAnsi="Verdana"/>
          <w:b/>
          <w:bCs/>
          <w:sz w:val="20"/>
          <w:szCs w:val="20"/>
        </w:rPr>
        <w:t xml:space="preserve">S. </w:t>
      </w:r>
      <w:proofErr w:type="gramStart"/>
      <w:r w:rsidR="0059677A">
        <w:rPr>
          <w:rFonts w:ascii="Verdana" w:hAnsi="Verdana"/>
          <w:b/>
          <w:bCs/>
          <w:sz w:val="20"/>
          <w:szCs w:val="20"/>
        </w:rPr>
        <w:t>195 :</w:t>
      </w:r>
      <w:proofErr w:type="gramEnd"/>
      <w:r w:rsidR="0059677A">
        <w:rPr>
          <w:rFonts w:ascii="Verdana" w:hAnsi="Verdana"/>
          <w:b/>
          <w:bCs/>
          <w:sz w:val="20"/>
          <w:szCs w:val="20"/>
        </w:rPr>
        <w:t xml:space="preserve"> Deduction of Tax at Source – Payment to Non-resident – [S. 5(2)]</w:t>
      </w:r>
    </w:p>
    <w:p w:rsidR="00FA54F3" w:rsidRPr="00FA54F3" w:rsidRDefault="00FA54F3" w:rsidP="00815C67">
      <w:pPr>
        <w:spacing w:beforeAutospacing="1" w:after="100" w:afterAutospacing="1" w:line="240" w:lineRule="auto"/>
        <w:jc w:val="both"/>
        <w:rPr>
          <w:rFonts w:ascii="Times New Roman" w:eastAsia="Times New Roman" w:hAnsi="Times New Roman" w:cs="Times New Roman"/>
          <w:sz w:val="24"/>
          <w:szCs w:val="24"/>
        </w:rPr>
      </w:pPr>
      <w:r w:rsidRPr="00FA54F3">
        <w:rPr>
          <w:rFonts w:ascii="Verdana" w:eastAsia="Times New Roman" w:hAnsi="Verdana" w:cs="Times New Roman"/>
          <w:sz w:val="20"/>
          <w:szCs w:val="20"/>
        </w:rPr>
        <w:t xml:space="preserve">Payment of hire charges of vessels to non-resident by way of fish catch. As per section 5(2), total income of a non-resident includes all income from whatever source derived, received or deemed to be received in India, including the income which accrues, arises or is deemed to accrue or arise to the non-resident in India. In the instant case, </w:t>
      </w:r>
      <w:proofErr w:type="spellStart"/>
      <w:r w:rsidRPr="00FA54F3">
        <w:rPr>
          <w:rFonts w:ascii="Verdana" w:eastAsia="Times New Roman" w:hAnsi="Verdana" w:cs="Times New Roman"/>
          <w:sz w:val="20"/>
          <w:szCs w:val="20"/>
        </w:rPr>
        <w:t>assesssee</w:t>
      </w:r>
      <w:proofErr w:type="spellEnd"/>
      <w:r w:rsidRPr="00FA54F3">
        <w:rPr>
          <w:rFonts w:ascii="Verdana" w:eastAsia="Times New Roman" w:hAnsi="Verdana" w:cs="Times New Roman"/>
          <w:sz w:val="20"/>
          <w:szCs w:val="20"/>
        </w:rPr>
        <w:t xml:space="preserve"> chartered two fishing vessels from a non-resident company. Charter fee was to be paid in terms of money i.e. USD 600,000 per vessel per annum "payable by way of 85% of gross earning from the fish sales". Chartered vessels with the entire catch were brought to an Indian port, the catch were certified for human consumption, valued and 85% of the catch was given to the non-resident after customs and port clearance, as per the terms of the agreement. So long as the catch was not apportioned, the entire catch was the property of the </w:t>
      </w:r>
      <w:proofErr w:type="spellStart"/>
      <w:r w:rsidRPr="00FA54F3">
        <w:rPr>
          <w:rFonts w:ascii="Verdana" w:eastAsia="Times New Roman" w:hAnsi="Verdana" w:cs="Times New Roman"/>
          <w:sz w:val="20"/>
          <w:szCs w:val="20"/>
        </w:rPr>
        <w:t>assessee</w:t>
      </w:r>
      <w:proofErr w:type="spellEnd"/>
      <w:r w:rsidRPr="00FA54F3">
        <w:rPr>
          <w:rFonts w:ascii="Verdana" w:eastAsia="Times New Roman" w:hAnsi="Verdana" w:cs="Times New Roman"/>
          <w:sz w:val="20"/>
          <w:szCs w:val="20"/>
        </w:rPr>
        <w:t xml:space="preserve"> and not of the non-resident. It is only after the non-resident was given its share of 85% of the catch; it did come within its control. Thus, the non-resident effectively received the charter fee in India and this being the first receipt in the eyes of law, it is chargeable to tax. Once 85 % of the catch was received by the non-resident in India, in sum and substance, it amounted to receipt of value of money. Therefore, income earned by the non-resident was chargeable to tax under section 5(2) and </w:t>
      </w:r>
      <w:proofErr w:type="spellStart"/>
      <w:r w:rsidRPr="00FA54F3">
        <w:rPr>
          <w:rFonts w:ascii="Verdana" w:eastAsia="Times New Roman" w:hAnsi="Verdana" w:cs="Times New Roman"/>
          <w:sz w:val="20"/>
          <w:szCs w:val="20"/>
        </w:rPr>
        <w:t>assessee</w:t>
      </w:r>
      <w:proofErr w:type="spellEnd"/>
      <w:r w:rsidRPr="00FA54F3">
        <w:rPr>
          <w:rFonts w:ascii="Verdana" w:eastAsia="Times New Roman" w:hAnsi="Verdana" w:cs="Times New Roman"/>
          <w:sz w:val="20"/>
          <w:szCs w:val="20"/>
        </w:rPr>
        <w:t xml:space="preserve"> was liable to deduct tax under section 195 on the payment made to the non-resident.</w:t>
      </w:r>
    </w:p>
    <w:p w:rsidR="00FA54F3" w:rsidRPr="00FA54F3" w:rsidRDefault="00FA54F3" w:rsidP="00815C67">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FA54F3">
        <w:rPr>
          <w:rFonts w:ascii="Verdana" w:eastAsia="Times New Roman" w:hAnsi="Verdana" w:cs="Times New Roman"/>
          <w:i/>
          <w:iCs/>
          <w:sz w:val="20"/>
          <w:szCs w:val="20"/>
        </w:rPr>
        <w:t>Kanchanganga</w:t>
      </w:r>
      <w:proofErr w:type="spellEnd"/>
      <w:r w:rsidRPr="00FA54F3">
        <w:rPr>
          <w:rFonts w:ascii="Verdana" w:eastAsia="Times New Roman" w:hAnsi="Verdana" w:cs="Times New Roman"/>
          <w:i/>
          <w:iCs/>
          <w:sz w:val="20"/>
          <w:szCs w:val="20"/>
        </w:rPr>
        <w:t xml:space="preserve"> Sea Foods Ltd. vs. CIT &amp; </w:t>
      </w:r>
      <w:proofErr w:type="spellStart"/>
      <w:r w:rsidRPr="00FA54F3">
        <w:rPr>
          <w:rFonts w:ascii="Verdana" w:eastAsia="Times New Roman" w:hAnsi="Verdana" w:cs="Times New Roman"/>
          <w:i/>
          <w:iCs/>
          <w:sz w:val="20"/>
          <w:szCs w:val="20"/>
        </w:rPr>
        <w:t>Anr</w:t>
      </w:r>
      <w:proofErr w:type="spellEnd"/>
      <w:r w:rsidRPr="00FA54F3">
        <w:rPr>
          <w:rFonts w:ascii="Verdana" w:eastAsia="Times New Roman" w:hAnsi="Verdana" w:cs="Times New Roman"/>
          <w:i/>
          <w:iCs/>
          <w:sz w:val="20"/>
          <w:szCs w:val="20"/>
        </w:rPr>
        <w:t>.</w:t>
      </w:r>
      <w:proofErr w:type="gramEnd"/>
      <w:r w:rsidRPr="00FA54F3">
        <w:rPr>
          <w:rFonts w:ascii="Verdana" w:eastAsia="Times New Roman" w:hAnsi="Verdana" w:cs="Times New Roman"/>
          <w:i/>
          <w:iCs/>
          <w:sz w:val="20"/>
          <w:szCs w:val="20"/>
        </w:rPr>
        <w:t xml:space="preserve"> (2010) 41 DTR 209 / 325 ITR 540 (SC)</w:t>
      </w:r>
    </w:p>
    <w:p w:rsidR="0059677A" w:rsidRDefault="00FA54F3" w:rsidP="00815C67">
      <w:pPr>
        <w:pStyle w:val="NormalWeb"/>
        <w:jc w:val="both"/>
        <w:rPr>
          <w:rFonts w:ascii="Verdana" w:hAnsi="Verdana"/>
          <w:b/>
          <w:bCs/>
          <w:sz w:val="27"/>
          <w:szCs w:val="27"/>
        </w:rPr>
      </w:pPr>
      <w:r>
        <w:rPr>
          <w:rFonts w:ascii="Verdana" w:hAnsi="Verdana"/>
          <w:b/>
          <w:bCs/>
          <w:sz w:val="20"/>
          <w:szCs w:val="20"/>
        </w:rPr>
        <w:t>8</w:t>
      </w:r>
      <w:r w:rsidRPr="00FA54F3">
        <w:rPr>
          <w:rFonts w:ascii="Verdana" w:hAnsi="Verdana"/>
          <w:b/>
          <w:bCs/>
          <w:sz w:val="20"/>
          <w:szCs w:val="20"/>
        </w:rPr>
        <w:t xml:space="preserve">: </w:t>
      </w:r>
      <w:r w:rsidR="0059677A">
        <w:rPr>
          <w:rFonts w:ascii="Verdana" w:hAnsi="Verdana"/>
          <w:b/>
          <w:bCs/>
          <w:sz w:val="20"/>
          <w:szCs w:val="20"/>
        </w:rPr>
        <w:t>S. 195 : Deduction of Tax at Source – Non-Resident – chargeable under the provisions of the Act – Mere remittance to non-resident – Duty to deduct does not arise unless remittance contains wholly or partly of taxable income</w:t>
      </w:r>
    </w:p>
    <w:p w:rsidR="00FA54F3" w:rsidRPr="00FA54F3" w:rsidRDefault="00FA54F3" w:rsidP="00815C67">
      <w:pPr>
        <w:spacing w:before="100" w:beforeAutospacing="1" w:after="100" w:afterAutospacing="1" w:line="240" w:lineRule="auto"/>
        <w:jc w:val="both"/>
        <w:rPr>
          <w:rFonts w:ascii="Times New Roman" w:eastAsia="Times New Roman" w:hAnsi="Times New Roman" w:cs="Times New Roman"/>
          <w:sz w:val="24"/>
          <w:szCs w:val="24"/>
        </w:rPr>
      </w:pPr>
      <w:r w:rsidRPr="00FA54F3">
        <w:rPr>
          <w:rFonts w:ascii="Verdana" w:eastAsia="Times New Roman" w:hAnsi="Verdana" w:cs="Times New Roman"/>
          <w:sz w:val="20"/>
          <w:szCs w:val="20"/>
        </w:rPr>
        <w:t xml:space="preserve">A person paying interest or any other sum to a non-resident is not liable to deduct tax if such sum is not chargeable to tax under the Act. </w:t>
      </w:r>
      <w:proofErr w:type="gramStart"/>
      <w:r w:rsidRPr="00FA54F3">
        <w:rPr>
          <w:rFonts w:ascii="Verdana" w:eastAsia="Times New Roman" w:hAnsi="Verdana" w:cs="Times New Roman"/>
          <w:sz w:val="20"/>
          <w:szCs w:val="20"/>
        </w:rPr>
        <w:t>Section 195 contemplate</w:t>
      </w:r>
      <w:proofErr w:type="gramEnd"/>
      <w:r w:rsidRPr="00FA54F3">
        <w:rPr>
          <w:rFonts w:ascii="Verdana" w:eastAsia="Times New Roman" w:hAnsi="Verdana" w:cs="Times New Roman"/>
          <w:sz w:val="20"/>
          <w:szCs w:val="20"/>
        </w:rPr>
        <w:t xml:space="preserve"> not merely amounts, the whole of which are pure income payments; it also covers composite payments which have an element of income embedded or incorporated in them. The obligation to deduct tax at source is, however, limited to appropriate proportion of income chargeable under the Act forming part of the gross sum of money payable to the non-resident.</w:t>
      </w:r>
    </w:p>
    <w:p w:rsidR="00FA54F3" w:rsidRPr="00FA54F3" w:rsidRDefault="00FA54F3" w:rsidP="00815C67">
      <w:pPr>
        <w:spacing w:before="100" w:beforeAutospacing="1" w:after="100" w:afterAutospacing="1" w:line="240" w:lineRule="auto"/>
        <w:jc w:val="both"/>
        <w:rPr>
          <w:rFonts w:ascii="Times New Roman" w:eastAsia="Times New Roman" w:hAnsi="Times New Roman" w:cs="Times New Roman"/>
          <w:sz w:val="24"/>
          <w:szCs w:val="24"/>
        </w:rPr>
      </w:pPr>
      <w:r w:rsidRPr="00FA54F3">
        <w:rPr>
          <w:rFonts w:ascii="Verdana" w:eastAsia="Times New Roman" w:hAnsi="Verdana" w:cs="Times New Roman"/>
          <w:sz w:val="20"/>
          <w:szCs w:val="20"/>
        </w:rPr>
        <w:t xml:space="preserve">CBDT Circular No. 728 dated October 31, 1995: The tax </w:t>
      </w:r>
      <w:proofErr w:type="spellStart"/>
      <w:r w:rsidRPr="00FA54F3">
        <w:rPr>
          <w:rFonts w:ascii="Verdana" w:eastAsia="Times New Roman" w:hAnsi="Verdana" w:cs="Times New Roman"/>
          <w:sz w:val="20"/>
          <w:szCs w:val="20"/>
        </w:rPr>
        <w:t>deductor</w:t>
      </w:r>
      <w:proofErr w:type="spellEnd"/>
      <w:r w:rsidRPr="00FA54F3">
        <w:rPr>
          <w:rFonts w:ascii="Verdana" w:eastAsia="Times New Roman" w:hAnsi="Verdana" w:cs="Times New Roman"/>
          <w:sz w:val="20"/>
          <w:szCs w:val="20"/>
        </w:rPr>
        <w:t xml:space="preserve"> can take into consideration the effect of the DTAA in respect of payments of royalties and technical fees while deducting tax at source.</w:t>
      </w:r>
    </w:p>
    <w:p w:rsidR="00FA54F3" w:rsidRPr="00FA54F3" w:rsidRDefault="00FA54F3" w:rsidP="00815C67">
      <w:pPr>
        <w:spacing w:before="100" w:beforeAutospacing="1" w:after="100" w:afterAutospacing="1" w:line="240" w:lineRule="auto"/>
        <w:jc w:val="both"/>
        <w:rPr>
          <w:rFonts w:ascii="Times New Roman" w:eastAsia="Times New Roman" w:hAnsi="Times New Roman" w:cs="Times New Roman"/>
          <w:sz w:val="24"/>
          <w:szCs w:val="24"/>
        </w:rPr>
      </w:pPr>
      <w:r w:rsidRPr="00FA54F3">
        <w:rPr>
          <w:rFonts w:ascii="Verdana" w:eastAsia="Times New Roman" w:hAnsi="Verdana" w:cs="Times New Roman"/>
          <w:sz w:val="20"/>
          <w:szCs w:val="20"/>
        </w:rPr>
        <w:lastRenderedPageBreak/>
        <w:t>The expression "chargeable under the provisions of the Act" in section 195(1) shows that the remittance has got to be of a trading receipt, the whole or a part of which is liable to tax in India. If tax is not so assessable, there is no question of tax deduction at source.</w:t>
      </w:r>
    </w:p>
    <w:p w:rsidR="00FA54F3" w:rsidRPr="00FA54F3" w:rsidRDefault="00FA54F3" w:rsidP="00815C67">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A54F3">
        <w:rPr>
          <w:rFonts w:ascii="Verdana" w:eastAsia="Times New Roman" w:hAnsi="Verdana" w:cs="Times New Roman"/>
          <w:i/>
          <w:iCs/>
          <w:sz w:val="20"/>
          <w:szCs w:val="20"/>
        </w:rPr>
        <w:t xml:space="preserve">GE Technology Centre P. Ltd. vs. CIT and </w:t>
      </w:r>
      <w:proofErr w:type="spellStart"/>
      <w:r w:rsidRPr="00FA54F3">
        <w:rPr>
          <w:rFonts w:ascii="Verdana" w:eastAsia="Times New Roman" w:hAnsi="Verdana" w:cs="Times New Roman"/>
          <w:i/>
          <w:iCs/>
          <w:sz w:val="20"/>
          <w:szCs w:val="20"/>
        </w:rPr>
        <w:t>Anr</w:t>
      </w:r>
      <w:proofErr w:type="spellEnd"/>
      <w:r w:rsidRPr="00FA54F3">
        <w:rPr>
          <w:rFonts w:ascii="Verdana" w:eastAsia="Times New Roman" w:hAnsi="Verdana" w:cs="Times New Roman"/>
          <w:i/>
          <w:iCs/>
          <w:sz w:val="20"/>
          <w:szCs w:val="20"/>
        </w:rPr>
        <w:t>.</w:t>
      </w:r>
      <w:proofErr w:type="gramEnd"/>
      <w:r w:rsidRPr="00FA54F3">
        <w:rPr>
          <w:rFonts w:ascii="Verdana" w:eastAsia="Times New Roman" w:hAnsi="Verdana" w:cs="Times New Roman"/>
          <w:i/>
          <w:iCs/>
          <w:sz w:val="20"/>
          <w:szCs w:val="20"/>
        </w:rPr>
        <w:t xml:space="preserve"> (2010) 327 ITR 456 (SC)</w:t>
      </w:r>
    </w:p>
    <w:p w:rsidR="0059677A" w:rsidRDefault="00FA54F3" w:rsidP="00815C67">
      <w:pPr>
        <w:pStyle w:val="NormalWeb"/>
        <w:jc w:val="both"/>
        <w:rPr>
          <w:rFonts w:ascii="Verdana" w:hAnsi="Verdana"/>
          <w:b/>
          <w:bCs/>
          <w:sz w:val="27"/>
          <w:szCs w:val="27"/>
        </w:rPr>
      </w:pPr>
      <w:r>
        <w:rPr>
          <w:rFonts w:ascii="Verdana" w:hAnsi="Verdana"/>
          <w:b/>
          <w:bCs/>
          <w:sz w:val="20"/>
          <w:szCs w:val="20"/>
        </w:rPr>
        <w:t>9</w:t>
      </w:r>
      <w:r w:rsidRPr="00FA54F3">
        <w:rPr>
          <w:rFonts w:ascii="Verdana" w:hAnsi="Verdana"/>
          <w:b/>
          <w:bCs/>
          <w:sz w:val="20"/>
          <w:szCs w:val="20"/>
        </w:rPr>
        <w:t xml:space="preserve">: </w:t>
      </w:r>
      <w:r w:rsidR="0059677A">
        <w:rPr>
          <w:rFonts w:ascii="Verdana" w:hAnsi="Verdana"/>
          <w:b/>
          <w:bCs/>
          <w:sz w:val="20"/>
          <w:szCs w:val="20"/>
        </w:rPr>
        <w:t xml:space="preserve">Cr. PC, 1973 – S. 482, IPC; 1860 – Ss. 406/120-B; Income-tax Act, 1961 – Ss. 192, 200, 206, 271-C, 276-B &amp; 276-BB: Quashing of proceedings relating to TDS – Dispute as to TDS – Appropriate remedy – Income tax – Criminal proceedings – </w:t>
      </w:r>
      <w:proofErr w:type="spellStart"/>
      <w:r w:rsidR="0059677A">
        <w:rPr>
          <w:rFonts w:ascii="Verdana" w:hAnsi="Verdana"/>
          <w:b/>
          <w:bCs/>
          <w:sz w:val="20"/>
          <w:szCs w:val="20"/>
        </w:rPr>
        <w:t>Quashment</w:t>
      </w:r>
      <w:proofErr w:type="spellEnd"/>
    </w:p>
    <w:p w:rsidR="00FA54F3" w:rsidRPr="00FA54F3" w:rsidRDefault="00FA54F3" w:rsidP="00815C67">
      <w:pPr>
        <w:spacing w:before="100" w:beforeAutospacing="1" w:after="100" w:afterAutospacing="1" w:line="240" w:lineRule="auto"/>
        <w:jc w:val="both"/>
        <w:rPr>
          <w:rFonts w:ascii="Verdana" w:eastAsia="Times New Roman" w:hAnsi="Verdana" w:cs="Times New Roman"/>
          <w:sz w:val="20"/>
          <w:szCs w:val="20"/>
        </w:rPr>
      </w:pPr>
      <w:r w:rsidRPr="00FA54F3">
        <w:rPr>
          <w:rFonts w:ascii="Verdana" w:eastAsia="Times New Roman" w:hAnsi="Verdana" w:cs="Times New Roman"/>
          <w:sz w:val="20"/>
          <w:szCs w:val="20"/>
        </w:rPr>
        <w:t xml:space="preserve">Where proceeding is of civil nature which cannot be adjudicated by a criminal court, the High Court would be justified in exercising its inherent jurisdiction and quashing the same. The High Court erred in refusing to exercise its jurisdiction u/s. 482 and passing a cryptic order without assigning any reasons </w:t>
      </w:r>
      <w:proofErr w:type="spellStart"/>
      <w:r w:rsidRPr="00FA54F3">
        <w:rPr>
          <w:rFonts w:ascii="Verdana" w:eastAsia="Times New Roman" w:hAnsi="Verdana" w:cs="Times New Roman"/>
          <w:sz w:val="20"/>
          <w:szCs w:val="20"/>
        </w:rPr>
        <w:t>therefor</w:t>
      </w:r>
      <w:proofErr w:type="spellEnd"/>
      <w:r w:rsidRPr="00FA54F3">
        <w:rPr>
          <w:rFonts w:ascii="Verdana" w:eastAsia="Times New Roman" w:hAnsi="Verdana" w:cs="Times New Roman"/>
          <w:sz w:val="20"/>
          <w:szCs w:val="20"/>
        </w:rPr>
        <w:t xml:space="preserve"> when complaint did not disclose any offence of criminal nature. In face of assertion made by appellants that deduction towards income tax were made from salaries of all employees liable to pay the same in view of the statutory provisions of the IT Act, appropriate remedy for respondent was to approach authority/officer concerned. Moreover, report of SI had indicated that the matter in issue was civil in nature. Proceedings against appellants were quashed.</w:t>
      </w:r>
    </w:p>
    <w:p w:rsidR="00FA54F3" w:rsidRPr="00FA54F3" w:rsidRDefault="00FA54F3" w:rsidP="00815C67">
      <w:pPr>
        <w:spacing w:before="100" w:beforeAutospacing="1" w:after="100" w:afterAutospacing="1" w:line="240" w:lineRule="auto"/>
        <w:jc w:val="both"/>
        <w:rPr>
          <w:rFonts w:ascii="Verdana" w:eastAsia="Times New Roman" w:hAnsi="Verdana" w:cs="Times New Roman"/>
          <w:sz w:val="20"/>
          <w:szCs w:val="20"/>
        </w:rPr>
      </w:pPr>
      <w:proofErr w:type="spellStart"/>
      <w:r w:rsidRPr="00FA54F3">
        <w:rPr>
          <w:rFonts w:ascii="Verdana" w:eastAsia="Times New Roman" w:hAnsi="Verdana" w:cs="Times New Roman"/>
          <w:i/>
          <w:iCs/>
          <w:sz w:val="20"/>
          <w:szCs w:val="20"/>
        </w:rPr>
        <w:t>Rajeswar</w:t>
      </w:r>
      <w:proofErr w:type="spellEnd"/>
      <w:r w:rsidRPr="00FA54F3">
        <w:rPr>
          <w:rFonts w:ascii="Verdana" w:eastAsia="Times New Roman" w:hAnsi="Verdana" w:cs="Times New Roman"/>
          <w:i/>
          <w:iCs/>
          <w:sz w:val="20"/>
          <w:szCs w:val="20"/>
        </w:rPr>
        <w:t xml:space="preserve"> </w:t>
      </w:r>
      <w:proofErr w:type="spellStart"/>
      <w:r w:rsidRPr="00FA54F3">
        <w:rPr>
          <w:rFonts w:ascii="Verdana" w:eastAsia="Times New Roman" w:hAnsi="Verdana" w:cs="Times New Roman"/>
          <w:i/>
          <w:iCs/>
          <w:sz w:val="20"/>
          <w:szCs w:val="20"/>
        </w:rPr>
        <w:t>Tiwari</w:t>
      </w:r>
      <w:proofErr w:type="spellEnd"/>
      <w:r w:rsidRPr="00FA54F3">
        <w:rPr>
          <w:rFonts w:ascii="Verdana" w:eastAsia="Times New Roman" w:hAnsi="Verdana" w:cs="Times New Roman"/>
          <w:i/>
          <w:iCs/>
          <w:sz w:val="20"/>
          <w:szCs w:val="20"/>
        </w:rPr>
        <w:t xml:space="preserve"> and Others vs. Nanda </w:t>
      </w:r>
      <w:proofErr w:type="spellStart"/>
      <w:r w:rsidRPr="00FA54F3">
        <w:rPr>
          <w:rFonts w:ascii="Verdana" w:eastAsia="Times New Roman" w:hAnsi="Verdana" w:cs="Times New Roman"/>
          <w:i/>
          <w:iCs/>
          <w:sz w:val="20"/>
          <w:szCs w:val="20"/>
        </w:rPr>
        <w:t>Kishore</w:t>
      </w:r>
      <w:proofErr w:type="spellEnd"/>
      <w:r w:rsidRPr="00FA54F3">
        <w:rPr>
          <w:rFonts w:ascii="Verdana" w:eastAsia="Times New Roman" w:hAnsi="Verdana" w:cs="Times New Roman"/>
          <w:i/>
          <w:iCs/>
          <w:sz w:val="20"/>
          <w:szCs w:val="20"/>
        </w:rPr>
        <w:t xml:space="preserve"> Roy (2010) 8 SCC 442</w:t>
      </w:r>
    </w:p>
    <w:p w:rsidR="00712B43" w:rsidRPr="00712B43" w:rsidRDefault="00712B43" w:rsidP="00815C67">
      <w:pPr>
        <w:spacing w:before="100" w:beforeAutospacing="1" w:after="100" w:afterAutospacing="1" w:line="240" w:lineRule="auto"/>
        <w:jc w:val="both"/>
        <w:rPr>
          <w:rFonts w:ascii="Verdana" w:eastAsia="Times New Roman" w:hAnsi="Verdana" w:cs="Times New Roman"/>
          <w:color w:val="221E1F"/>
          <w:sz w:val="20"/>
          <w:szCs w:val="20"/>
        </w:rPr>
      </w:pPr>
      <w:r>
        <w:rPr>
          <w:rFonts w:ascii="Verdana" w:eastAsia="Times New Roman" w:hAnsi="Verdana" w:cs="Times New Roman"/>
          <w:b/>
          <w:bCs/>
          <w:color w:val="221E1F"/>
          <w:sz w:val="20"/>
          <w:szCs w:val="20"/>
        </w:rPr>
        <w:t xml:space="preserve">10: </w:t>
      </w:r>
      <w:r w:rsidRPr="00712B43">
        <w:rPr>
          <w:rFonts w:ascii="Verdana" w:eastAsia="Times New Roman" w:hAnsi="Verdana" w:cs="Times New Roman"/>
          <w:b/>
          <w:bCs/>
          <w:color w:val="221E1F"/>
          <w:sz w:val="20"/>
          <w:szCs w:val="20"/>
        </w:rPr>
        <w:t xml:space="preserve">S. 31 – Business Expenditure – Current Repairs – Replacement of Machinery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color w:val="221E1F"/>
          <w:sz w:val="20"/>
          <w:szCs w:val="20"/>
        </w:rPr>
        <w:t xml:space="preserve">The question whether replacement of machinery is </w:t>
      </w:r>
      <w:proofErr w:type="gramStart"/>
      <w:r w:rsidRPr="00712B43">
        <w:rPr>
          <w:rFonts w:ascii="Verdana" w:eastAsia="Times New Roman" w:hAnsi="Verdana" w:cs="Times New Roman"/>
          <w:color w:val="221E1F"/>
          <w:sz w:val="20"/>
          <w:szCs w:val="20"/>
        </w:rPr>
        <w:t>a business</w:t>
      </w:r>
      <w:proofErr w:type="gramEnd"/>
      <w:r w:rsidRPr="00712B43">
        <w:rPr>
          <w:rFonts w:ascii="Verdana" w:eastAsia="Times New Roman" w:hAnsi="Verdana" w:cs="Times New Roman"/>
          <w:color w:val="221E1F"/>
          <w:sz w:val="20"/>
          <w:szCs w:val="20"/>
        </w:rPr>
        <w:t xml:space="preserve"> expenditure / current repairs was remitted to the High Court for de novo reconsideration of </w:t>
      </w:r>
      <w:proofErr w:type="spellStart"/>
      <w:r w:rsidRPr="00712B43">
        <w:rPr>
          <w:rFonts w:ascii="Verdana" w:eastAsia="Times New Roman" w:hAnsi="Verdana" w:cs="Times New Roman"/>
          <w:color w:val="221E1F"/>
          <w:sz w:val="20"/>
          <w:szCs w:val="20"/>
        </w:rPr>
        <w:t>assessee’s</w:t>
      </w:r>
      <w:proofErr w:type="spellEnd"/>
      <w:r w:rsidRPr="00712B43">
        <w:rPr>
          <w:rFonts w:ascii="Verdana" w:eastAsia="Times New Roman" w:hAnsi="Verdana" w:cs="Times New Roman"/>
          <w:color w:val="221E1F"/>
          <w:sz w:val="20"/>
          <w:szCs w:val="20"/>
        </w:rPr>
        <w:t xml:space="preserve"> claim for deduction.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i/>
          <w:iCs/>
          <w:color w:val="221E1F"/>
          <w:sz w:val="20"/>
          <w:szCs w:val="20"/>
        </w:rPr>
        <w:t>CIT vs. Hindustan Textiles (2010) 36 DTR 131 (SC)</w:t>
      </w:r>
    </w:p>
    <w:p w:rsidR="00712B43" w:rsidRPr="00712B43" w:rsidRDefault="00712B43" w:rsidP="00815C67">
      <w:pPr>
        <w:spacing w:before="100" w:beforeAutospacing="1" w:after="100" w:afterAutospacing="1" w:line="240" w:lineRule="auto"/>
        <w:jc w:val="both"/>
        <w:rPr>
          <w:rFonts w:ascii="Verdana" w:eastAsia="Times New Roman" w:hAnsi="Verdana" w:cs="Times New Roman"/>
          <w:color w:val="221E1F"/>
          <w:sz w:val="20"/>
          <w:szCs w:val="20"/>
        </w:rPr>
      </w:pPr>
      <w:r>
        <w:rPr>
          <w:rFonts w:ascii="Verdana" w:eastAsia="Times New Roman" w:hAnsi="Verdana" w:cs="Times New Roman"/>
          <w:b/>
          <w:bCs/>
          <w:color w:val="221E1F"/>
          <w:sz w:val="20"/>
          <w:szCs w:val="20"/>
        </w:rPr>
        <w:t xml:space="preserve">11: </w:t>
      </w:r>
      <w:r w:rsidRPr="00712B43">
        <w:rPr>
          <w:rFonts w:ascii="Verdana" w:eastAsia="Times New Roman" w:hAnsi="Verdana" w:cs="Times New Roman"/>
          <w:b/>
          <w:bCs/>
          <w:color w:val="221E1F"/>
          <w:sz w:val="20"/>
          <w:szCs w:val="20"/>
        </w:rPr>
        <w:t>S. 36(1</w:t>
      </w:r>
      <w:proofErr w:type="gramStart"/>
      <w:r w:rsidRPr="00712B43">
        <w:rPr>
          <w:rFonts w:ascii="Verdana" w:eastAsia="Times New Roman" w:hAnsi="Verdana" w:cs="Times New Roman"/>
          <w:b/>
          <w:bCs/>
          <w:color w:val="221E1F"/>
          <w:sz w:val="20"/>
          <w:szCs w:val="20"/>
        </w:rPr>
        <w:t>)(</w:t>
      </w:r>
      <w:proofErr w:type="gramEnd"/>
      <w:r w:rsidRPr="00712B43">
        <w:rPr>
          <w:rFonts w:ascii="Verdana" w:eastAsia="Times New Roman" w:hAnsi="Verdana" w:cs="Times New Roman"/>
          <w:b/>
          <w:bCs/>
          <w:color w:val="221E1F"/>
          <w:sz w:val="20"/>
          <w:szCs w:val="20"/>
        </w:rPr>
        <w:t xml:space="preserve">vii) – Bad Debts – Mere Write-Off Sufficient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color w:val="221E1F"/>
          <w:sz w:val="20"/>
          <w:szCs w:val="20"/>
        </w:rPr>
        <w:t xml:space="preserve">After 1st April, 1989, it is not necessary for the </w:t>
      </w:r>
      <w:proofErr w:type="spellStart"/>
      <w:r w:rsidRPr="00712B43">
        <w:rPr>
          <w:rFonts w:ascii="Verdana" w:eastAsia="Times New Roman" w:hAnsi="Verdana" w:cs="Times New Roman"/>
          <w:color w:val="221E1F"/>
          <w:sz w:val="20"/>
          <w:szCs w:val="20"/>
        </w:rPr>
        <w:t>assessee</w:t>
      </w:r>
      <w:proofErr w:type="spellEnd"/>
      <w:r w:rsidRPr="00712B43">
        <w:rPr>
          <w:rFonts w:ascii="Verdana" w:eastAsia="Times New Roman" w:hAnsi="Verdana" w:cs="Times New Roman"/>
          <w:color w:val="221E1F"/>
          <w:sz w:val="20"/>
          <w:szCs w:val="20"/>
        </w:rPr>
        <w:t xml:space="preserve"> to establish that the debts in fact have </w:t>
      </w:r>
      <w:proofErr w:type="gramStart"/>
      <w:r w:rsidRPr="00712B43">
        <w:rPr>
          <w:rFonts w:ascii="Verdana" w:eastAsia="Times New Roman" w:hAnsi="Verdana" w:cs="Times New Roman"/>
          <w:color w:val="221E1F"/>
          <w:sz w:val="20"/>
          <w:szCs w:val="20"/>
        </w:rPr>
        <w:t>became</w:t>
      </w:r>
      <w:proofErr w:type="gramEnd"/>
      <w:r w:rsidRPr="00712B43">
        <w:rPr>
          <w:rFonts w:ascii="Verdana" w:eastAsia="Times New Roman" w:hAnsi="Verdana" w:cs="Times New Roman"/>
          <w:color w:val="221E1F"/>
          <w:sz w:val="20"/>
          <w:szCs w:val="20"/>
        </w:rPr>
        <w:t xml:space="preserve"> irrecoverable. It is sufficient if they are written off as irrecoverable in the accounts of the </w:t>
      </w:r>
      <w:proofErr w:type="spellStart"/>
      <w:r w:rsidRPr="00712B43">
        <w:rPr>
          <w:rFonts w:ascii="Verdana" w:eastAsia="Times New Roman" w:hAnsi="Verdana" w:cs="Times New Roman"/>
          <w:color w:val="221E1F"/>
          <w:sz w:val="20"/>
          <w:szCs w:val="20"/>
        </w:rPr>
        <w:t>assessee</w:t>
      </w:r>
      <w:proofErr w:type="spellEnd"/>
      <w:r w:rsidRPr="00712B43">
        <w:rPr>
          <w:rFonts w:ascii="Verdana" w:eastAsia="Times New Roman" w:hAnsi="Verdana" w:cs="Times New Roman"/>
          <w:color w:val="221E1F"/>
          <w:sz w:val="20"/>
          <w:szCs w:val="20"/>
        </w:rPr>
        <w:t xml:space="preserve">.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i/>
          <w:iCs/>
          <w:color w:val="221E1F"/>
          <w:sz w:val="20"/>
          <w:szCs w:val="20"/>
        </w:rPr>
        <w:t>T. R. F. Limited vs. CIT (2010) 35 DTR 156 (SC) / 230 CTR 14 (SC)</w:t>
      </w:r>
    </w:p>
    <w:p w:rsidR="00712B43" w:rsidRPr="00712B43" w:rsidRDefault="00712B43" w:rsidP="00815C67">
      <w:pPr>
        <w:spacing w:before="100" w:beforeAutospacing="1" w:after="100" w:afterAutospacing="1" w:line="240" w:lineRule="auto"/>
        <w:jc w:val="both"/>
        <w:rPr>
          <w:rFonts w:ascii="Verdana" w:eastAsia="Times New Roman" w:hAnsi="Verdana" w:cs="Times New Roman"/>
          <w:color w:val="221E1F"/>
          <w:sz w:val="20"/>
          <w:szCs w:val="20"/>
        </w:rPr>
      </w:pPr>
      <w:r>
        <w:rPr>
          <w:rFonts w:ascii="Verdana" w:eastAsia="Times New Roman" w:hAnsi="Verdana" w:cs="Times New Roman"/>
          <w:b/>
          <w:bCs/>
          <w:color w:val="221E1F"/>
          <w:sz w:val="20"/>
          <w:szCs w:val="20"/>
        </w:rPr>
        <w:t xml:space="preserve">12: </w:t>
      </w:r>
      <w:r w:rsidRPr="00712B43">
        <w:rPr>
          <w:rFonts w:ascii="Verdana" w:eastAsia="Times New Roman" w:hAnsi="Verdana" w:cs="Times New Roman"/>
          <w:b/>
          <w:bCs/>
          <w:color w:val="221E1F"/>
          <w:sz w:val="20"/>
          <w:szCs w:val="20"/>
        </w:rPr>
        <w:t>S. 36(1</w:t>
      </w:r>
      <w:proofErr w:type="gramStart"/>
      <w:r w:rsidRPr="00712B43">
        <w:rPr>
          <w:rFonts w:ascii="Verdana" w:eastAsia="Times New Roman" w:hAnsi="Verdana" w:cs="Times New Roman"/>
          <w:b/>
          <w:bCs/>
          <w:color w:val="221E1F"/>
          <w:sz w:val="20"/>
          <w:szCs w:val="20"/>
        </w:rPr>
        <w:t>)(</w:t>
      </w:r>
      <w:proofErr w:type="gramEnd"/>
      <w:r w:rsidRPr="00712B43">
        <w:rPr>
          <w:rFonts w:ascii="Verdana" w:eastAsia="Times New Roman" w:hAnsi="Verdana" w:cs="Times New Roman"/>
          <w:b/>
          <w:bCs/>
          <w:color w:val="221E1F"/>
          <w:sz w:val="20"/>
          <w:szCs w:val="20"/>
        </w:rPr>
        <w:t xml:space="preserve">iii) – Roll Over Charges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color w:val="221E1F"/>
          <w:sz w:val="20"/>
          <w:szCs w:val="20"/>
        </w:rPr>
        <w:t>The Supreme Court on the facts of the case held that since the purpose of the loan was to finance the purchase of plant and machinery, the rollover premium charges would not be allowed as a deduction under section 36(1</w:t>
      </w:r>
      <w:proofErr w:type="gramStart"/>
      <w:r w:rsidRPr="00712B43">
        <w:rPr>
          <w:rFonts w:ascii="Verdana" w:eastAsia="Times New Roman" w:hAnsi="Verdana" w:cs="Times New Roman"/>
          <w:color w:val="221E1F"/>
          <w:sz w:val="20"/>
          <w:szCs w:val="20"/>
        </w:rPr>
        <w:t>)(</w:t>
      </w:r>
      <w:proofErr w:type="gramEnd"/>
      <w:r w:rsidRPr="00712B43">
        <w:rPr>
          <w:rFonts w:ascii="Verdana" w:eastAsia="Times New Roman" w:hAnsi="Verdana" w:cs="Times New Roman"/>
          <w:color w:val="221E1F"/>
          <w:sz w:val="20"/>
          <w:szCs w:val="20"/>
        </w:rPr>
        <w:t xml:space="preserve">iii) and that Explanation 3 to section 43A, as it stood prior to the amendment in 2002, would be applicable.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i/>
          <w:iCs/>
          <w:color w:val="221E1F"/>
          <w:sz w:val="20"/>
          <w:szCs w:val="20"/>
        </w:rPr>
        <w:t xml:space="preserve">ACIT vs. </w:t>
      </w:r>
      <w:proofErr w:type="spellStart"/>
      <w:r w:rsidRPr="00712B43">
        <w:rPr>
          <w:rFonts w:ascii="Verdana" w:eastAsia="Times New Roman" w:hAnsi="Verdana" w:cs="Times New Roman"/>
          <w:i/>
          <w:iCs/>
          <w:color w:val="221E1F"/>
          <w:sz w:val="20"/>
          <w:szCs w:val="20"/>
        </w:rPr>
        <w:t>Elecon</w:t>
      </w:r>
      <w:proofErr w:type="spellEnd"/>
      <w:r w:rsidRPr="00712B43">
        <w:rPr>
          <w:rFonts w:ascii="Verdana" w:eastAsia="Times New Roman" w:hAnsi="Verdana" w:cs="Times New Roman"/>
          <w:i/>
          <w:iCs/>
          <w:color w:val="221E1F"/>
          <w:sz w:val="20"/>
          <w:szCs w:val="20"/>
        </w:rPr>
        <w:t xml:space="preserve"> Engineering Co. Ltd. (2010) 322 ITR 20 (SC)</w:t>
      </w:r>
    </w:p>
    <w:p w:rsidR="00712B43" w:rsidRPr="00712B43" w:rsidRDefault="00712B43" w:rsidP="00815C67">
      <w:pPr>
        <w:spacing w:before="100" w:beforeAutospacing="1" w:after="100" w:afterAutospacing="1" w:line="240" w:lineRule="auto"/>
        <w:jc w:val="both"/>
        <w:rPr>
          <w:rFonts w:ascii="Verdana" w:eastAsia="Times New Roman" w:hAnsi="Verdana" w:cs="Times New Roman"/>
          <w:b/>
          <w:bCs/>
          <w:color w:val="221E1F"/>
          <w:sz w:val="20"/>
          <w:szCs w:val="20"/>
        </w:rPr>
      </w:pPr>
      <w:r>
        <w:rPr>
          <w:rFonts w:ascii="Verdana" w:eastAsia="Times New Roman" w:hAnsi="Verdana" w:cs="Times New Roman"/>
          <w:b/>
          <w:bCs/>
          <w:color w:val="221E1F"/>
          <w:sz w:val="20"/>
          <w:szCs w:val="20"/>
        </w:rPr>
        <w:t xml:space="preserve">13: </w:t>
      </w:r>
      <w:r w:rsidRPr="00712B43">
        <w:rPr>
          <w:rFonts w:ascii="Verdana" w:eastAsia="Times New Roman" w:hAnsi="Verdana" w:cs="Times New Roman"/>
          <w:b/>
          <w:bCs/>
          <w:color w:val="221E1F"/>
          <w:sz w:val="20"/>
          <w:szCs w:val="20"/>
        </w:rPr>
        <w:t>S. 36(1</w:t>
      </w:r>
      <w:proofErr w:type="gramStart"/>
      <w:r w:rsidRPr="00712B43">
        <w:rPr>
          <w:rFonts w:ascii="Verdana" w:eastAsia="Times New Roman" w:hAnsi="Verdana" w:cs="Times New Roman"/>
          <w:b/>
          <w:bCs/>
          <w:color w:val="221E1F"/>
          <w:sz w:val="20"/>
          <w:szCs w:val="20"/>
        </w:rPr>
        <w:t>)(</w:t>
      </w:r>
      <w:proofErr w:type="gramEnd"/>
      <w:r w:rsidRPr="00712B43">
        <w:rPr>
          <w:rFonts w:ascii="Verdana" w:eastAsia="Times New Roman" w:hAnsi="Verdana" w:cs="Times New Roman"/>
          <w:b/>
          <w:bCs/>
          <w:color w:val="221E1F"/>
          <w:sz w:val="20"/>
          <w:szCs w:val="20"/>
        </w:rPr>
        <w:t xml:space="preserve">vii) – Business Expenditure – Provision for </w:t>
      </w:r>
      <w:proofErr w:type="spellStart"/>
      <w:r w:rsidRPr="00712B43">
        <w:rPr>
          <w:rFonts w:ascii="Verdana" w:eastAsia="Times New Roman" w:hAnsi="Verdana" w:cs="Times New Roman"/>
          <w:b/>
          <w:bCs/>
          <w:color w:val="221E1F"/>
          <w:sz w:val="20"/>
          <w:szCs w:val="20"/>
        </w:rPr>
        <w:t>Npain</w:t>
      </w:r>
      <w:proofErr w:type="spellEnd"/>
      <w:r w:rsidRPr="00712B43">
        <w:rPr>
          <w:rFonts w:ascii="Verdana" w:eastAsia="Times New Roman" w:hAnsi="Verdana" w:cs="Times New Roman"/>
          <w:b/>
          <w:bCs/>
          <w:color w:val="221E1F"/>
          <w:sz w:val="20"/>
          <w:szCs w:val="20"/>
        </w:rPr>
        <w:t xml:space="preserve"> Terms of </w:t>
      </w:r>
      <w:proofErr w:type="spellStart"/>
      <w:r w:rsidRPr="00712B43">
        <w:rPr>
          <w:rFonts w:ascii="Verdana" w:eastAsia="Times New Roman" w:hAnsi="Verdana" w:cs="Times New Roman"/>
          <w:b/>
          <w:bCs/>
          <w:color w:val="221E1F"/>
          <w:sz w:val="20"/>
          <w:szCs w:val="20"/>
        </w:rPr>
        <w:t>Rbi</w:t>
      </w:r>
      <w:proofErr w:type="spellEnd"/>
      <w:r>
        <w:rPr>
          <w:rFonts w:ascii="Verdana" w:eastAsia="Times New Roman" w:hAnsi="Verdana" w:cs="Times New Roman"/>
          <w:b/>
          <w:bCs/>
          <w:color w:val="221E1F"/>
          <w:sz w:val="20"/>
          <w:szCs w:val="20"/>
        </w:rPr>
        <w:t xml:space="preserve"> </w:t>
      </w:r>
      <w:r w:rsidRPr="00712B43">
        <w:rPr>
          <w:rFonts w:ascii="Verdana" w:eastAsia="Times New Roman" w:hAnsi="Verdana" w:cs="Times New Roman"/>
          <w:b/>
          <w:bCs/>
          <w:color w:val="221E1F"/>
          <w:sz w:val="20"/>
          <w:szCs w:val="20"/>
        </w:rPr>
        <w:t xml:space="preserve">Directions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lastRenderedPageBreak/>
        <w:t xml:space="preserve">Provision for NPA made under NBFCs Prudential Norms (Reserve Bank) Directions, 1998 is not an "expense".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Provision for NPA made under NBFCs Prudential Norms (Reserve Bank) Directions, 1998 has to be added back in computing profits and gains and is not an "expense". Said provision is not deductible under section 36(1</w:t>
      </w:r>
      <w:proofErr w:type="gramStart"/>
      <w:r w:rsidRPr="00712B43">
        <w:rPr>
          <w:rFonts w:ascii="Verdana" w:eastAsia="Times New Roman" w:hAnsi="Verdana" w:cs="Times New Roman"/>
          <w:bCs/>
          <w:color w:val="221E1F"/>
          <w:sz w:val="20"/>
          <w:szCs w:val="20"/>
        </w:rPr>
        <w:t>)(</w:t>
      </w:r>
      <w:proofErr w:type="gramEnd"/>
      <w:r w:rsidRPr="00712B43">
        <w:rPr>
          <w:rFonts w:ascii="Verdana" w:eastAsia="Times New Roman" w:hAnsi="Verdana" w:cs="Times New Roman"/>
          <w:bCs/>
          <w:color w:val="221E1F"/>
          <w:sz w:val="20"/>
          <w:szCs w:val="20"/>
        </w:rPr>
        <w:t xml:space="preserve">vii) and is expressly disallowed by section 36(1)(vii) </w:t>
      </w:r>
      <w:proofErr w:type="spellStart"/>
      <w:r w:rsidRPr="00712B43">
        <w:rPr>
          <w:rFonts w:ascii="Verdana" w:eastAsia="Times New Roman" w:hAnsi="Verdana" w:cs="Times New Roman"/>
          <w:bCs/>
          <w:color w:val="221E1F"/>
          <w:sz w:val="20"/>
          <w:szCs w:val="20"/>
        </w:rPr>
        <w:t>Expln</w:t>
      </w:r>
      <w:proofErr w:type="spellEnd"/>
      <w:r w:rsidRPr="00712B43">
        <w:rPr>
          <w:rFonts w:ascii="Verdana" w:eastAsia="Times New Roman" w:hAnsi="Verdana" w:cs="Times New Roman"/>
          <w:bCs/>
          <w:color w:val="221E1F"/>
          <w:sz w:val="20"/>
          <w:szCs w:val="20"/>
        </w:rPr>
        <w:t>. (</w:t>
      </w:r>
      <w:proofErr w:type="gramStart"/>
      <w:r w:rsidRPr="00712B43">
        <w:rPr>
          <w:rFonts w:ascii="Verdana" w:eastAsia="Times New Roman" w:hAnsi="Verdana" w:cs="Times New Roman"/>
          <w:bCs/>
          <w:color w:val="221E1F"/>
          <w:sz w:val="20"/>
          <w:szCs w:val="20"/>
        </w:rPr>
        <w:t>inserted</w:t>
      </w:r>
      <w:proofErr w:type="gramEnd"/>
      <w:r w:rsidRPr="00712B43">
        <w:rPr>
          <w:rFonts w:ascii="Verdana" w:eastAsia="Times New Roman" w:hAnsi="Verdana" w:cs="Times New Roman"/>
          <w:bCs/>
          <w:color w:val="221E1F"/>
          <w:sz w:val="20"/>
          <w:szCs w:val="20"/>
        </w:rPr>
        <w:t xml:space="preserve"> by Act 14 of 2001 </w:t>
      </w:r>
      <w:proofErr w:type="spellStart"/>
      <w:r w:rsidRPr="00712B43">
        <w:rPr>
          <w:rFonts w:ascii="Verdana" w:eastAsia="Times New Roman" w:hAnsi="Verdana" w:cs="Times New Roman"/>
          <w:bCs/>
          <w:color w:val="221E1F"/>
          <w:sz w:val="20"/>
          <w:szCs w:val="20"/>
        </w:rPr>
        <w:t>w.e.f</w:t>
      </w:r>
      <w:proofErr w:type="spellEnd"/>
      <w:r w:rsidRPr="00712B43">
        <w:rPr>
          <w:rFonts w:ascii="Verdana" w:eastAsia="Times New Roman" w:hAnsi="Verdana" w:cs="Times New Roman"/>
          <w:bCs/>
          <w:color w:val="221E1F"/>
          <w:sz w:val="20"/>
          <w:szCs w:val="20"/>
        </w:rPr>
        <w:t xml:space="preserve">. 1-4-1989). Having been so disallowed it cannot be allowed under section 37 either.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Scope and applicability of section 37 – It applies only to item not falling under sections 30 to 36. Hence, an item not falling under sections 30 to 36 but excluded by section 36(1</w:t>
      </w:r>
      <w:proofErr w:type="gramStart"/>
      <w:r w:rsidRPr="00712B43">
        <w:rPr>
          <w:rFonts w:ascii="Verdana" w:eastAsia="Times New Roman" w:hAnsi="Verdana" w:cs="Times New Roman"/>
          <w:bCs/>
          <w:color w:val="221E1F"/>
          <w:sz w:val="20"/>
          <w:szCs w:val="20"/>
        </w:rPr>
        <w:t>)(</w:t>
      </w:r>
      <w:proofErr w:type="gramEnd"/>
      <w:r w:rsidRPr="00712B43">
        <w:rPr>
          <w:rFonts w:ascii="Verdana" w:eastAsia="Times New Roman" w:hAnsi="Verdana" w:cs="Times New Roman"/>
          <w:bCs/>
          <w:color w:val="221E1F"/>
          <w:sz w:val="20"/>
          <w:szCs w:val="20"/>
        </w:rPr>
        <w:t xml:space="preserve">vii) </w:t>
      </w:r>
      <w:proofErr w:type="spellStart"/>
      <w:r w:rsidRPr="00712B43">
        <w:rPr>
          <w:rFonts w:ascii="Verdana" w:eastAsia="Times New Roman" w:hAnsi="Verdana" w:cs="Times New Roman"/>
          <w:bCs/>
          <w:color w:val="221E1F"/>
          <w:sz w:val="20"/>
          <w:szCs w:val="20"/>
        </w:rPr>
        <w:t>Expln</w:t>
      </w:r>
      <w:proofErr w:type="spellEnd"/>
      <w:r w:rsidRPr="00712B43">
        <w:rPr>
          <w:rFonts w:ascii="Verdana" w:eastAsia="Times New Roman" w:hAnsi="Verdana" w:cs="Times New Roman"/>
          <w:bCs/>
          <w:color w:val="221E1F"/>
          <w:sz w:val="20"/>
          <w:szCs w:val="20"/>
        </w:rPr>
        <w:t xml:space="preserve">. </w:t>
      </w:r>
      <w:proofErr w:type="gramStart"/>
      <w:r w:rsidRPr="00712B43">
        <w:rPr>
          <w:rFonts w:ascii="Verdana" w:eastAsia="Times New Roman" w:hAnsi="Verdana" w:cs="Times New Roman"/>
          <w:bCs/>
          <w:color w:val="221E1F"/>
          <w:sz w:val="20"/>
          <w:szCs w:val="20"/>
        </w:rPr>
        <w:t>Cannot be covered by section 37.</w:t>
      </w:r>
      <w:proofErr w:type="gramEnd"/>
      <w:r w:rsidRPr="00712B43">
        <w:rPr>
          <w:rFonts w:ascii="Verdana" w:eastAsia="Times New Roman" w:hAnsi="Verdana" w:cs="Times New Roman"/>
          <w:bCs/>
          <w:color w:val="221E1F"/>
          <w:sz w:val="20"/>
          <w:szCs w:val="20"/>
        </w:rPr>
        <w:t xml:space="preserve"> </w:t>
      </w:r>
      <w:proofErr w:type="gramStart"/>
      <w:r w:rsidRPr="00712B43">
        <w:rPr>
          <w:rFonts w:ascii="Verdana" w:eastAsia="Times New Roman" w:hAnsi="Verdana" w:cs="Times New Roman"/>
          <w:bCs/>
          <w:color w:val="221E1F"/>
          <w:sz w:val="20"/>
          <w:szCs w:val="20"/>
        </w:rPr>
        <w:t xml:space="preserve">Therefore, the provision for doubtful debt made by NBFC having been kept outside the scope of "written off" by the said </w:t>
      </w:r>
      <w:proofErr w:type="spellStart"/>
      <w:r w:rsidRPr="00712B43">
        <w:rPr>
          <w:rFonts w:ascii="Verdana" w:eastAsia="Times New Roman" w:hAnsi="Verdana" w:cs="Times New Roman"/>
          <w:bCs/>
          <w:color w:val="221E1F"/>
          <w:sz w:val="20"/>
          <w:szCs w:val="20"/>
        </w:rPr>
        <w:t>Expln</w:t>
      </w:r>
      <w:proofErr w:type="spellEnd"/>
      <w:r w:rsidRPr="00712B43">
        <w:rPr>
          <w:rFonts w:ascii="Verdana" w:eastAsia="Times New Roman" w:hAnsi="Verdana" w:cs="Times New Roman"/>
          <w:bCs/>
          <w:color w:val="221E1F"/>
          <w:sz w:val="20"/>
          <w:szCs w:val="20"/>
        </w:rPr>
        <w:t>.</w:t>
      </w:r>
      <w:proofErr w:type="gramEnd"/>
      <w:r w:rsidRPr="00712B43">
        <w:rPr>
          <w:rFonts w:ascii="Verdana" w:eastAsia="Times New Roman" w:hAnsi="Verdana" w:cs="Times New Roman"/>
          <w:bCs/>
          <w:color w:val="221E1F"/>
          <w:sz w:val="20"/>
          <w:szCs w:val="20"/>
        </w:rPr>
        <w:t xml:space="preserve"> </w:t>
      </w:r>
      <w:proofErr w:type="gramStart"/>
      <w:r w:rsidRPr="00712B43">
        <w:rPr>
          <w:rFonts w:ascii="Verdana" w:eastAsia="Times New Roman" w:hAnsi="Verdana" w:cs="Times New Roman"/>
          <w:bCs/>
          <w:color w:val="221E1F"/>
          <w:sz w:val="20"/>
          <w:szCs w:val="20"/>
        </w:rPr>
        <w:t>did</w:t>
      </w:r>
      <w:proofErr w:type="gramEnd"/>
      <w:r w:rsidRPr="00712B43">
        <w:rPr>
          <w:rFonts w:ascii="Verdana" w:eastAsia="Times New Roman" w:hAnsi="Verdana" w:cs="Times New Roman"/>
          <w:bCs/>
          <w:color w:val="221E1F"/>
          <w:sz w:val="20"/>
          <w:szCs w:val="20"/>
        </w:rPr>
        <w:t xml:space="preserve"> not attract section 37.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Exclusion of NBFCs from the benefit of deductions available to banking companies does not violate articles 14 and 19 as it satisfies the test of "intelligible differentia" and the principle of "reasonable restriction", respectively.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Court’s acceptance of NBFCs’ plea to include NBFCs in section 36(1</w:t>
      </w:r>
      <w:proofErr w:type="gramStart"/>
      <w:r w:rsidRPr="00712B43">
        <w:rPr>
          <w:rFonts w:ascii="Verdana" w:eastAsia="Times New Roman" w:hAnsi="Verdana" w:cs="Times New Roman"/>
          <w:bCs/>
          <w:color w:val="221E1F"/>
          <w:sz w:val="20"/>
          <w:szCs w:val="20"/>
        </w:rPr>
        <w:t>)(</w:t>
      </w:r>
      <w:proofErr w:type="gramEnd"/>
      <w:r w:rsidRPr="00712B43">
        <w:rPr>
          <w:rFonts w:ascii="Verdana" w:eastAsia="Times New Roman" w:hAnsi="Verdana" w:cs="Times New Roman"/>
          <w:bCs/>
          <w:color w:val="221E1F"/>
          <w:sz w:val="20"/>
          <w:szCs w:val="20"/>
        </w:rPr>
        <w:t xml:space="preserve">vii-a) would amount to judicial legislation, which is impermissible. </w:t>
      </w:r>
    </w:p>
    <w:p w:rsidR="00712B43" w:rsidRPr="00712B43" w:rsidRDefault="00712B43" w:rsidP="00815C67">
      <w:pPr>
        <w:spacing w:before="100" w:beforeAutospacing="1" w:after="100" w:afterAutospacing="1" w:line="240" w:lineRule="auto"/>
        <w:jc w:val="both"/>
        <w:rPr>
          <w:rFonts w:ascii="Verdana" w:eastAsia="Times New Roman" w:hAnsi="Verdana" w:cs="Times New Roman"/>
          <w:bCs/>
          <w:i/>
          <w:iCs/>
          <w:color w:val="221E1F"/>
          <w:sz w:val="20"/>
          <w:szCs w:val="20"/>
        </w:rPr>
      </w:pPr>
      <w:r w:rsidRPr="00712B43">
        <w:rPr>
          <w:rFonts w:ascii="Verdana" w:eastAsia="Times New Roman" w:hAnsi="Verdana" w:cs="Times New Roman"/>
          <w:bCs/>
          <w:i/>
          <w:iCs/>
          <w:color w:val="221E1F"/>
          <w:sz w:val="20"/>
          <w:szCs w:val="20"/>
        </w:rPr>
        <w:t>Southern Technologies Ltd. vs. Jt. CIT, Coimbatore (2010) 2 SCC 548 / (2010) 320 ITR 577 (SC) / (2010) 228 CTR 440 (SC) / (2010) 187 Taxman 346 (SC) / (2010) 34 DTR 11 (SC)</w:t>
      </w:r>
    </w:p>
    <w:p w:rsidR="00712B43" w:rsidRPr="00712B43" w:rsidRDefault="00712B43" w:rsidP="00815C67">
      <w:pPr>
        <w:spacing w:before="100" w:beforeAutospacing="1" w:after="100" w:afterAutospacing="1" w:line="240" w:lineRule="auto"/>
        <w:jc w:val="both"/>
        <w:rPr>
          <w:rFonts w:ascii="Verdana" w:eastAsia="Times New Roman" w:hAnsi="Verdana" w:cs="Times New Roman"/>
          <w:b/>
          <w:bCs/>
          <w:color w:val="221E1F"/>
          <w:sz w:val="20"/>
          <w:szCs w:val="20"/>
        </w:rPr>
      </w:pPr>
      <w:r>
        <w:rPr>
          <w:rFonts w:ascii="Verdana" w:eastAsia="Times New Roman" w:hAnsi="Verdana" w:cs="Times New Roman"/>
          <w:b/>
          <w:bCs/>
          <w:color w:val="221E1F"/>
          <w:sz w:val="20"/>
          <w:szCs w:val="20"/>
        </w:rPr>
        <w:t xml:space="preserve">14: </w:t>
      </w:r>
      <w:r w:rsidRPr="00712B43">
        <w:rPr>
          <w:rFonts w:ascii="Verdana" w:eastAsia="Times New Roman" w:hAnsi="Verdana" w:cs="Times New Roman"/>
          <w:b/>
          <w:bCs/>
          <w:color w:val="221E1F"/>
          <w:sz w:val="20"/>
          <w:szCs w:val="20"/>
        </w:rPr>
        <w:t xml:space="preserve">S. 37 – Depreciation on Account of Enhanced Cost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The Supreme Court relying on its earlier decision in the case of </w:t>
      </w:r>
      <w:r w:rsidRPr="00712B43">
        <w:rPr>
          <w:rFonts w:ascii="Verdana" w:eastAsia="Times New Roman" w:hAnsi="Verdana" w:cs="Times New Roman"/>
          <w:bCs/>
          <w:i/>
          <w:iCs/>
          <w:color w:val="221E1F"/>
          <w:sz w:val="20"/>
          <w:szCs w:val="20"/>
        </w:rPr>
        <w:t xml:space="preserve">CIT vs. Woodward Governor India P. Ltd. </w:t>
      </w:r>
      <w:r w:rsidRPr="00712B43">
        <w:rPr>
          <w:rFonts w:ascii="Verdana" w:eastAsia="Times New Roman" w:hAnsi="Verdana" w:cs="Times New Roman"/>
          <w:bCs/>
          <w:color w:val="221E1F"/>
          <w:sz w:val="20"/>
          <w:szCs w:val="20"/>
        </w:rPr>
        <w:t xml:space="preserve">312 ITR 254 (SC) held that the claim for depreciation on account of enhanced cost due to fluctuation in the foreign exchange rate is admissible as a deduction under section 37 of the Act.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i/>
          <w:iCs/>
          <w:color w:val="221E1F"/>
          <w:sz w:val="20"/>
          <w:szCs w:val="20"/>
        </w:rPr>
        <w:t xml:space="preserve">CIT vs. </w:t>
      </w:r>
      <w:proofErr w:type="spellStart"/>
      <w:r w:rsidRPr="00712B43">
        <w:rPr>
          <w:rFonts w:ascii="Verdana" w:eastAsia="Times New Roman" w:hAnsi="Verdana" w:cs="Times New Roman"/>
          <w:bCs/>
          <w:i/>
          <w:iCs/>
          <w:color w:val="221E1F"/>
          <w:sz w:val="20"/>
          <w:szCs w:val="20"/>
        </w:rPr>
        <w:t>Maruti</w:t>
      </w:r>
      <w:proofErr w:type="spellEnd"/>
      <w:r w:rsidRPr="00712B43">
        <w:rPr>
          <w:rFonts w:ascii="Verdana" w:eastAsia="Times New Roman" w:hAnsi="Verdana" w:cs="Times New Roman"/>
          <w:bCs/>
          <w:i/>
          <w:iCs/>
          <w:color w:val="221E1F"/>
          <w:sz w:val="20"/>
          <w:szCs w:val="20"/>
        </w:rPr>
        <w:t xml:space="preserve"> </w:t>
      </w:r>
      <w:proofErr w:type="spellStart"/>
      <w:r w:rsidRPr="00712B43">
        <w:rPr>
          <w:rFonts w:ascii="Verdana" w:eastAsia="Times New Roman" w:hAnsi="Verdana" w:cs="Times New Roman"/>
          <w:bCs/>
          <w:i/>
          <w:iCs/>
          <w:color w:val="221E1F"/>
          <w:sz w:val="20"/>
          <w:szCs w:val="20"/>
        </w:rPr>
        <w:t>Udyog</w:t>
      </w:r>
      <w:proofErr w:type="spellEnd"/>
      <w:r w:rsidRPr="00712B43">
        <w:rPr>
          <w:rFonts w:ascii="Verdana" w:eastAsia="Times New Roman" w:hAnsi="Verdana" w:cs="Times New Roman"/>
          <w:bCs/>
          <w:i/>
          <w:iCs/>
          <w:color w:val="221E1F"/>
          <w:sz w:val="20"/>
          <w:szCs w:val="20"/>
        </w:rPr>
        <w:t xml:space="preserve"> Ltd. (2010) 320 ITR 729 (SC)</w:t>
      </w:r>
    </w:p>
    <w:p w:rsidR="00712B43" w:rsidRPr="00712B43" w:rsidRDefault="00712B43" w:rsidP="00815C67">
      <w:pPr>
        <w:spacing w:before="100" w:beforeAutospacing="1" w:after="100" w:afterAutospacing="1" w:line="240" w:lineRule="auto"/>
        <w:jc w:val="both"/>
        <w:rPr>
          <w:rFonts w:ascii="Verdana" w:eastAsia="Times New Roman" w:hAnsi="Verdana" w:cs="Times New Roman"/>
          <w:b/>
          <w:bCs/>
          <w:color w:val="221E1F"/>
          <w:sz w:val="20"/>
          <w:szCs w:val="20"/>
        </w:rPr>
      </w:pPr>
      <w:r>
        <w:rPr>
          <w:rFonts w:ascii="Verdana" w:eastAsia="Times New Roman" w:hAnsi="Verdana" w:cs="Times New Roman"/>
          <w:b/>
          <w:bCs/>
          <w:color w:val="221E1F"/>
          <w:sz w:val="20"/>
          <w:szCs w:val="20"/>
        </w:rPr>
        <w:t xml:space="preserve">15: </w:t>
      </w:r>
      <w:r w:rsidRPr="00712B43">
        <w:rPr>
          <w:rFonts w:ascii="Verdana" w:eastAsia="Times New Roman" w:hAnsi="Verdana" w:cs="Times New Roman"/>
          <w:b/>
          <w:bCs/>
          <w:color w:val="221E1F"/>
          <w:sz w:val="20"/>
          <w:szCs w:val="20"/>
        </w:rPr>
        <w:t xml:space="preserve">S. 37(1) – Foreign Exchange Fluctuation Loss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The Supreme Court has held that the loss claimed by the appellant on account of fluctuation in the rate of foreign exchange as on the date of the balance sheet was allowable as expenditure under section 37(1). The Supreme Court further held that when the imported asset is acquired in foreign currency then fluctuation in the rate of foreign exchange pending actual payment has to adjusted against the cost under section 43A, prior to the amendment by the Finance Act, 2002.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
          <w:bCs/>
          <w:i/>
          <w:iCs/>
          <w:color w:val="221E1F"/>
          <w:sz w:val="20"/>
          <w:szCs w:val="20"/>
        </w:rPr>
        <w:t>Liberty India vs. CIT (2010) 28 DTR 73 (SC)</w:t>
      </w:r>
    </w:p>
    <w:p w:rsidR="00712B43" w:rsidRPr="00712B43" w:rsidRDefault="00712B43" w:rsidP="00815C67">
      <w:pPr>
        <w:spacing w:before="100" w:beforeAutospacing="1" w:after="100" w:afterAutospacing="1" w:line="240" w:lineRule="auto"/>
        <w:jc w:val="both"/>
        <w:rPr>
          <w:rFonts w:ascii="Verdana" w:eastAsia="Times New Roman" w:hAnsi="Verdana" w:cs="Times New Roman"/>
          <w:b/>
          <w:bCs/>
          <w:color w:val="221E1F"/>
          <w:sz w:val="20"/>
          <w:szCs w:val="20"/>
        </w:rPr>
      </w:pPr>
      <w:r>
        <w:rPr>
          <w:rFonts w:ascii="Verdana" w:eastAsia="Times New Roman" w:hAnsi="Verdana" w:cs="Times New Roman"/>
          <w:b/>
          <w:bCs/>
          <w:color w:val="221E1F"/>
          <w:sz w:val="20"/>
          <w:szCs w:val="20"/>
        </w:rPr>
        <w:t xml:space="preserve">16: </w:t>
      </w:r>
      <w:r w:rsidRPr="00712B43">
        <w:rPr>
          <w:rFonts w:ascii="Verdana" w:eastAsia="Times New Roman" w:hAnsi="Verdana" w:cs="Times New Roman"/>
          <w:b/>
          <w:bCs/>
          <w:color w:val="221E1F"/>
          <w:sz w:val="20"/>
          <w:szCs w:val="20"/>
        </w:rPr>
        <w:t xml:space="preserve">S. 37(1) – Capital or Revenue – Royalty – (S. 33AB)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Matter is remitted to the High Court to carry out an </w:t>
      </w:r>
      <w:proofErr w:type="spellStart"/>
      <w:r w:rsidRPr="00712B43">
        <w:rPr>
          <w:rFonts w:ascii="Verdana" w:eastAsia="Times New Roman" w:hAnsi="Verdana" w:cs="Times New Roman"/>
          <w:bCs/>
          <w:color w:val="221E1F"/>
          <w:sz w:val="20"/>
          <w:szCs w:val="20"/>
        </w:rPr>
        <w:t>indepth</w:t>
      </w:r>
      <w:proofErr w:type="spellEnd"/>
      <w:r w:rsidRPr="00712B43">
        <w:rPr>
          <w:rFonts w:ascii="Verdana" w:eastAsia="Times New Roman" w:hAnsi="Verdana" w:cs="Times New Roman"/>
          <w:bCs/>
          <w:color w:val="221E1F"/>
          <w:sz w:val="20"/>
          <w:szCs w:val="20"/>
        </w:rPr>
        <w:t xml:space="preserve"> exercise to understand the actual expenses undertaken by the </w:t>
      </w:r>
      <w:proofErr w:type="spellStart"/>
      <w:r w:rsidRPr="00712B43">
        <w:rPr>
          <w:rFonts w:ascii="Verdana" w:eastAsia="Times New Roman" w:hAnsi="Verdana" w:cs="Times New Roman"/>
          <w:bCs/>
          <w:color w:val="221E1F"/>
          <w:sz w:val="20"/>
          <w:szCs w:val="20"/>
        </w:rPr>
        <w:t>assessee</w:t>
      </w:r>
      <w:proofErr w:type="spellEnd"/>
      <w:r w:rsidRPr="00712B43">
        <w:rPr>
          <w:rFonts w:ascii="Verdana" w:eastAsia="Times New Roman" w:hAnsi="Verdana" w:cs="Times New Roman"/>
          <w:bCs/>
          <w:color w:val="221E1F"/>
          <w:sz w:val="20"/>
          <w:szCs w:val="20"/>
        </w:rPr>
        <w:t xml:space="preserve"> in "duplication" of software provided by it by the American company and then answer the question as to whether the royalty paid by the </w:t>
      </w:r>
      <w:proofErr w:type="spellStart"/>
      <w:r w:rsidRPr="00712B43">
        <w:rPr>
          <w:rFonts w:ascii="Verdana" w:eastAsia="Times New Roman" w:hAnsi="Verdana" w:cs="Times New Roman"/>
          <w:bCs/>
          <w:color w:val="221E1F"/>
          <w:sz w:val="20"/>
          <w:szCs w:val="20"/>
        </w:rPr>
        <w:lastRenderedPageBreak/>
        <w:t>assessee</w:t>
      </w:r>
      <w:proofErr w:type="spellEnd"/>
      <w:r w:rsidRPr="00712B43">
        <w:rPr>
          <w:rFonts w:ascii="Verdana" w:eastAsia="Times New Roman" w:hAnsi="Verdana" w:cs="Times New Roman"/>
          <w:bCs/>
          <w:color w:val="221E1F"/>
          <w:sz w:val="20"/>
          <w:szCs w:val="20"/>
        </w:rPr>
        <w:t xml:space="preserve"> to the American Company is allowable in its entirety under section 37 or only one sixth thereof is allowable under section 35AB.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i/>
          <w:iCs/>
          <w:color w:val="221E1F"/>
          <w:sz w:val="20"/>
          <w:szCs w:val="20"/>
        </w:rPr>
        <w:t xml:space="preserve">CIT vs. </w:t>
      </w:r>
      <w:proofErr w:type="spellStart"/>
      <w:r w:rsidRPr="00712B43">
        <w:rPr>
          <w:rFonts w:ascii="Verdana" w:eastAsia="Times New Roman" w:hAnsi="Verdana" w:cs="Times New Roman"/>
          <w:bCs/>
          <w:i/>
          <w:iCs/>
          <w:color w:val="221E1F"/>
          <w:sz w:val="20"/>
          <w:szCs w:val="20"/>
        </w:rPr>
        <w:t>Mastek</w:t>
      </w:r>
      <w:proofErr w:type="spellEnd"/>
      <w:r w:rsidRPr="00712B43">
        <w:rPr>
          <w:rFonts w:ascii="Verdana" w:eastAsia="Times New Roman" w:hAnsi="Verdana" w:cs="Times New Roman"/>
          <w:bCs/>
          <w:i/>
          <w:iCs/>
          <w:color w:val="221E1F"/>
          <w:sz w:val="20"/>
          <w:szCs w:val="20"/>
        </w:rPr>
        <w:t xml:space="preserve"> Ltd. (2010) 35 DTR 106 (SC)</w:t>
      </w:r>
    </w:p>
    <w:p w:rsidR="00712B43" w:rsidRPr="00712B43" w:rsidRDefault="00712B43" w:rsidP="00815C67">
      <w:pPr>
        <w:spacing w:before="100" w:beforeAutospacing="1" w:after="100" w:afterAutospacing="1" w:line="240" w:lineRule="auto"/>
        <w:jc w:val="both"/>
        <w:rPr>
          <w:rFonts w:ascii="Verdana" w:eastAsia="Times New Roman" w:hAnsi="Verdana" w:cs="Times New Roman"/>
          <w:b/>
          <w:bCs/>
          <w:color w:val="221E1F"/>
          <w:sz w:val="20"/>
          <w:szCs w:val="20"/>
        </w:rPr>
      </w:pPr>
      <w:r>
        <w:rPr>
          <w:rFonts w:ascii="Verdana" w:eastAsia="Times New Roman" w:hAnsi="Verdana" w:cs="Times New Roman"/>
          <w:b/>
          <w:bCs/>
          <w:color w:val="221E1F"/>
          <w:sz w:val="20"/>
          <w:szCs w:val="20"/>
        </w:rPr>
        <w:t xml:space="preserve">17: </w:t>
      </w:r>
      <w:r w:rsidRPr="00712B43">
        <w:rPr>
          <w:rFonts w:ascii="Verdana" w:eastAsia="Times New Roman" w:hAnsi="Verdana" w:cs="Times New Roman"/>
          <w:b/>
          <w:bCs/>
          <w:color w:val="221E1F"/>
          <w:sz w:val="20"/>
          <w:szCs w:val="20"/>
        </w:rPr>
        <w:t xml:space="preserve">S. 43B – Business Expenditure – Contribution to Provident Fund – Deduction on Actual Payment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Retrospective effect to be given to the deletion of the second proviso to section 43B brought about by the Finance Act, 2003.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Deletion of the second proviso and consequent amendment in the first proviso to section 43B by the Finance Act, 2003 </w:t>
      </w:r>
      <w:proofErr w:type="spellStart"/>
      <w:r w:rsidRPr="00712B43">
        <w:rPr>
          <w:rFonts w:ascii="Verdana" w:eastAsia="Times New Roman" w:hAnsi="Verdana" w:cs="Times New Roman"/>
          <w:bCs/>
          <w:color w:val="221E1F"/>
          <w:sz w:val="20"/>
          <w:szCs w:val="20"/>
        </w:rPr>
        <w:t>w.e.f</w:t>
      </w:r>
      <w:proofErr w:type="spellEnd"/>
      <w:r w:rsidRPr="00712B43">
        <w:rPr>
          <w:rFonts w:ascii="Verdana" w:eastAsia="Times New Roman" w:hAnsi="Verdana" w:cs="Times New Roman"/>
          <w:bCs/>
          <w:color w:val="221E1F"/>
          <w:sz w:val="20"/>
          <w:szCs w:val="20"/>
        </w:rPr>
        <w:t xml:space="preserve">. 1-4-2004 equating tax, duty, </w:t>
      </w:r>
      <w:proofErr w:type="spellStart"/>
      <w:r w:rsidRPr="00712B43">
        <w:rPr>
          <w:rFonts w:ascii="Verdana" w:eastAsia="Times New Roman" w:hAnsi="Verdana" w:cs="Times New Roman"/>
          <w:bCs/>
          <w:color w:val="221E1F"/>
          <w:sz w:val="20"/>
          <w:szCs w:val="20"/>
        </w:rPr>
        <w:t>cess</w:t>
      </w:r>
      <w:proofErr w:type="spellEnd"/>
      <w:r w:rsidRPr="00712B43">
        <w:rPr>
          <w:rFonts w:ascii="Verdana" w:eastAsia="Times New Roman" w:hAnsi="Verdana" w:cs="Times New Roman"/>
          <w:bCs/>
          <w:color w:val="221E1F"/>
          <w:sz w:val="20"/>
          <w:szCs w:val="20"/>
        </w:rPr>
        <w:t xml:space="preserve"> and fee with contribution to welfare funds was to overcome implementation problems. Once this uniformity is brought about in first proviso, the Finance Act, 2003 would become curative in nature. Hence, the change brought about by the Finance Act, 2003 would apply retrospectively </w:t>
      </w:r>
      <w:proofErr w:type="spellStart"/>
      <w:r w:rsidRPr="00712B43">
        <w:rPr>
          <w:rFonts w:ascii="Verdana" w:eastAsia="Times New Roman" w:hAnsi="Verdana" w:cs="Times New Roman"/>
          <w:bCs/>
          <w:color w:val="221E1F"/>
          <w:sz w:val="20"/>
          <w:szCs w:val="20"/>
        </w:rPr>
        <w:t>w.e.f</w:t>
      </w:r>
      <w:proofErr w:type="spellEnd"/>
      <w:r w:rsidRPr="00712B43">
        <w:rPr>
          <w:rFonts w:ascii="Verdana" w:eastAsia="Times New Roman" w:hAnsi="Verdana" w:cs="Times New Roman"/>
          <w:bCs/>
          <w:color w:val="221E1F"/>
          <w:sz w:val="20"/>
          <w:szCs w:val="20"/>
        </w:rPr>
        <w:t xml:space="preserve">. 1-4-1988 when the first proviso was inserted. </w:t>
      </w:r>
    </w:p>
    <w:p w:rsidR="00712B43" w:rsidRPr="00712B43" w:rsidRDefault="00712B43" w:rsidP="00815C67">
      <w:pPr>
        <w:spacing w:before="100" w:beforeAutospacing="1" w:after="100" w:afterAutospacing="1" w:line="240" w:lineRule="auto"/>
        <w:jc w:val="both"/>
        <w:rPr>
          <w:rFonts w:ascii="Verdana" w:eastAsia="Times New Roman" w:hAnsi="Verdana" w:cs="Times New Roman"/>
          <w:bCs/>
          <w:i/>
          <w:iCs/>
          <w:color w:val="221E1F"/>
          <w:sz w:val="20"/>
          <w:szCs w:val="20"/>
        </w:rPr>
      </w:pPr>
      <w:r w:rsidRPr="00712B43">
        <w:rPr>
          <w:rFonts w:ascii="Verdana" w:eastAsia="Times New Roman" w:hAnsi="Verdana" w:cs="Times New Roman"/>
          <w:bCs/>
          <w:i/>
          <w:iCs/>
          <w:color w:val="221E1F"/>
          <w:sz w:val="20"/>
          <w:szCs w:val="20"/>
        </w:rPr>
        <w:t xml:space="preserve">CIT vs. </w:t>
      </w:r>
      <w:proofErr w:type="spellStart"/>
      <w:r w:rsidRPr="00712B43">
        <w:rPr>
          <w:rFonts w:ascii="Verdana" w:eastAsia="Times New Roman" w:hAnsi="Verdana" w:cs="Times New Roman"/>
          <w:bCs/>
          <w:i/>
          <w:iCs/>
          <w:color w:val="221E1F"/>
          <w:sz w:val="20"/>
          <w:szCs w:val="20"/>
        </w:rPr>
        <w:t>Alom</w:t>
      </w:r>
      <w:proofErr w:type="spellEnd"/>
      <w:r w:rsidRPr="00712B43">
        <w:rPr>
          <w:rFonts w:ascii="Verdana" w:eastAsia="Times New Roman" w:hAnsi="Verdana" w:cs="Times New Roman"/>
          <w:bCs/>
          <w:i/>
          <w:iCs/>
          <w:color w:val="221E1F"/>
          <w:sz w:val="20"/>
          <w:szCs w:val="20"/>
        </w:rPr>
        <w:t xml:space="preserve"> Extrusions Ltd. (2010) 1 SCC 489 / (2009) 319 ITR 306 (SC)</w:t>
      </w:r>
    </w:p>
    <w:p w:rsidR="00712B43" w:rsidRPr="00712B43" w:rsidRDefault="00712B43" w:rsidP="00815C67">
      <w:pPr>
        <w:spacing w:before="100" w:beforeAutospacing="1" w:after="100" w:afterAutospacing="1" w:line="240" w:lineRule="auto"/>
        <w:jc w:val="both"/>
        <w:rPr>
          <w:rFonts w:ascii="Verdana" w:eastAsia="Times New Roman" w:hAnsi="Verdana" w:cs="Times New Roman"/>
          <w:b/>
          <w:bCs/>
          <w:color w:val="221E1F"/>
          <w:sz w:val="20"/>
          <w:szCs w:val="20"/>
        </w:rPr>
      </w:pPr>
      <w:r>
        <w:rPr>
          <w:rFonts w:ascii="Verdana" w:eastAsia="Times New Roman" w:hAnsi="Verdana" w:cs="Times New Roman"/>
          <w:b/>
          <w:bCs/>
          <w:color w:val="221E1F"/>
          <w:sz w:val="20"/>
          <w:szCs w:val="20"/>
        </w:rPr>
        <w:t xml:space="preserve">18: </w:t>
      </w:r>
      <w:r w:rsidRPr="00712B43">
        <w:rPr>
          <w:rFonts w:ascii="Verdana" w:eastAsia="Times New Roman" w:hAnsi="Verdana" w:cs="Times New Roman"/>
          <w:b/>
          <w:bCs/>
          <w:color w:val="221E1F"/>
          <w:sz w:val="20"/>
          <w:szCs w:val="20"/>
        </w:rPr>
        <w:t xml:space="preserve">S. 48(2) – Capital Gains – Short Term or Long Term – Renouncement of Right to Receive Right Shares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proofErr w:type="gramStart"/>
      <w:r w:rsidRPr="00712B43">
        <w:rPr>
          <w:rFonts w:ascii="Verdana" w:eastAsia="Times New Roman" w:hAnsi="Verdana" w:cs="Times New Roman"/>
          <w:bCs/>
          <w:color w:val="221E1F"/>
          <w:sz w:val="20"/>
          <w:szCs w:val="20"/>
        </w:rPr>
        <w:t>Computation of gain / loss resulting from renunciation of option to subscribe to right shares.</w:t>
      </w:r>
      <w:proofErr w:type="gramEnd"/>
      <w:r w:rsidRPr="00712B43">
        <w:rPr>
          <w:rFonts w:ascii="Verdana" w:eastAsia="Times New Roman" w:hAnsi="Verdana" w:cs="Times New Roman"/>
          <w:bCs/>
          <w:color w:val="221E1F"/>
          <w:sz w:val="20"/>
          <w:szCs w:val="20"/>
        </w:rPr>
        <w:t xml:space="preserve">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For the computation of gain / loss resulting from renunciation of option given to the existing shareholder’s a right to subscribe to offer additional shares / debentures, the crucial dates for determination of nature of capital gains / loss (short term / long term) are the date of coming into existence of such right and date of renunciation thereof. Said right comes into existence when the offer is made and it is distinct and separate capable of being transferred independently of the original shareholding. Hence, where the </w:t>
      </w:r>
      <w:proofErr w:type="spellStart"/>
      <w:r w:rsidRPr="00712B43">
        <w:rPr>
          <w:rFonts w:ascii="Verdana" w:eastAsia="Times New Roman" w:hAnsi="Verdana" w:cs="Times New Roman"/>
          <w:bCs/>
          <w:color w:val="221E1F"/>
          <w:sz w:val="20"/>
          <w:szCs w:val="20"/>
        </w:rPr>
        <w:t>assessee</w:t>
      </w:r>
      <w:proofErr w:type="spellEnd"/>
      <w:r w:rsidRPr="00712B43">
        <w:rPr>
          <w:rFonts w:ascii="Verdana" w:eastAsia="Times New Roman" w:hAnsi="Verdana" w:cs="Times New Roman"/>
          <w:bCs/>
          <w:color w:val="221E1F"/>
          <w:sz w:val="20"/>
          <w:szCs w:val="20"/>
        </w:rPr>
        <w:t xml:space="preserve"> renounced that right in </w:t>
      </w:r>
      <w:proofErr w:type="spellStart"/>
      <w:r w:rsidRPr="00712B43">
        <w:rPr>
          <w:rFonts w:ascii="Verdana" w:eastAsia="Times New Roman" w:hAnsi="Verdana" w:cs="Times New Roman"/>
          <w:bCs/>
          <w:color w:val="221E1F"/>
          <w:sz w:val="20"/>
          <w:szCs w:val="20"/>
        </w:rPr>
        <w:t>favour</w:t>
      </w:r>
      <w:proofErr w:type="spellEnd"/>
      <w:r w:rsidRPr="00712B43">
        <w:rPr>
          <w:rFonts w:ascii="Verdana" w:eastAsia="Times New Roman" w:hAnsi="Verdana" w:cs="Times New Roman"/>
          <w:bCs/>
          <w:color w:val="221E1F"/>
          <w:sz w:val="20"/>
          <w:szCs w:val="20"/>
        </w:rPr>
        <w:t xml:space="preserve"> of a third party for money in the AY and consequently suffered loss of a higher amount due to diminution in the value of original shares, the net loss so suffered was a short-term capital loss. Hence, the </w:t>
      </w:r>
      <w:proofErr w:type="spellStart"/>
      <w:r w:rsidRPr="00712B43">
        <w:rPr>
          <w:rFonts w:ascii="Verdana" w:eastAsia="Times New Roman" w:hAnsi="Verdana" w:cs="Times New Roman"/>
          <w:bCs/>
          <w:color w:val="221E1F"/>
          <w:sz w:val="20"/>
          <w:szCs w:val="20"/>
        </w:rPr>
        <w:t>assessee</w:t>
      </w:r>
      <w:proofErr w:type="spellEnd"/>
      <w:r w:rsidRPr="00712B43">
        <w:rPr>
          <w:rFonts w:ascii="Verdana" w:eastAsia="Times New Roman" w:hAnsi="Verdana" w:cs="Times New Roman"/>
          <w:bCs/>
          <w:color w:val="221E1F"/>
          <w:sz w:val="20"/>
          <w:szCs w:val="20"/>
        </w:rPr>
        <w:t xml:space="preserve"> rightly applied deduction under section 48(2) to amount of long-term capital gains earned during the year and then from the remainder deducted the said short-term capital loss. Department erred in deducting the said short-term loss from long-term gains and then applying section 48(2) to the remainder.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An important principle for computation of capital gains under section 48 is that computation is an integral part of chargeability.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12B43">
        <w:rPr>
          <w:rFonts w:ascii="Verdana" w:eastAsia="Times New Roman" w:hAnsi="Verdana" w:cs="Times New Roman"/>
          <w:bCs/>
          <w:i/>
          <w:iCs/>
          <w:color w:val="221E1F"/>
          <w:sz w:val="20"/>
          <w:szCs w:val="20"/>
        </w:rPr>
        <w:t>Navin</w:t>
      </w:r>
      <w:proofErr w:type="spellEnd"/>
      <w:r w:rsidRPr="00712B43">
        <w:rPr>
          <w:rFonts w:ascii="Verdana" w:eastAsia="Times New Roman" w:hAnsi="Verdana" w:cs="Times New Roman"/>
          <w:bCs/>
          <w:i/>
          <w:iCs/>
          <w:color w:val="221E1F"/>
          <w:sz w:val="20"/>
          <w:szCs w:val="20"/>
        </w:rPr>
        <w:t xml:space="preserve"> </w:t>
      </w:r>
      <w:proofErr w:type="spellStart"/>
      <w:r w:rsidRPr="00712B43">
        <w:rPr>
          <w:rFonts w:ascii="Verdana" w:eastAsia="Times New Roman" w:hAnsi="Verdana" w:cs="Times New Roman"/>
          <w:bCs/>
          <w:i/>
          <w:iCs/>
          <w:color w:val="221E1F"/>
          <w:sz w:val="20"/>
          <w:szCs w:val="20"/>
        </w:rPr>
        <w:t>Jindal</w:t>
      </w:r>
      <w:proofErr w:type="spellEnd"/>
      <w:r w:rsidRPr="00712B43">
        <w:rPr>
          <w:rFonts w:ascii="Verdana" w:eastAsia="Times New Roman" w:hAnsi="Verdana" w:cs="Times New Roman"/>
          <w:bCs/>
          <w:i/>
          <w:iCs/>
          <w:color w:val="221E1F"/>
          <w:sz w:val="20"/>
          <w:szCs w:val="20"/>
        </w:rPr>
        <w:t xml:space="preserve"> vs. ACIT (2010) 2 SCC 525 / (2010) 320 ITR 708 (SC) / (2010) 228 CTR 478 (SC) / 34 DTR 1 (SC)</w:t>
      </w:r>
    </w:p>
    <w:p w:rsidR="00712B43" w:rsidRPr="00712B43" w:rsidRDefault="00712B43" w:rsidP="00815C67">
      <w:pPr>
        <w:spacing w:before="100" w:beforeAutospacing="1" w:after="100" w:afterAutospacing="1" w:line="240" w:lineRule="auto"/>
        <w:jc w:val="both"/>
        <w:rPr>
          <w:rFonts w:ascii="Verdana" w:eastAsia="Times New Roman" w:hAnsi="Verdana" w:cs="Times New Roman"/>
          <w:bCs/>
          <w:color w:val="221E1F"/>
          <w:sz w:val="20"/>
          <w:szCs w:val="20"/>
        </w:rPr>
      </w:pPr>
      <w:r>
        <w:rPr>
          <w:rFonts w:ascii="Verdana" w:eastAsia="Times New Roman" w:hAnsi="Verdana" w:cs="Times New Roman"/>
          <w:b/>
          <w:bCs/>
          <w:color w:val="221E1F"/>
          <w:sz w:val="20"/>
          <w:szCs w:val="20"/>
        </w:rPr>
        <w:t xml:space="preserve">19: </w:t>
      </w:r>
      <w:r w:rsidRPr="00712B43">
        <w:rPr>
          <w:rFonts w:ascii="Verdana" w:eastAsia="Times New Roman" w:hAnsi="Verdana" w:cs="Times New Roman"/>
          <w:b/>
          <w:bCs/>
          <w:color w:val="221E1F"/>
          <w:sz w:val="20"/>
          <w:szCs w:val="20"/>
        </w:rPr>
        <w:t xml:space="preserve">80P – Co-operative Societies – Deduction – Interest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The words "whole of the amounts of the profits and gains of business" must mean that the deduction would be allowed in respect of the operational income of the society and not other income which accrues to the society. Interest income earned from short-term deposit of the surplus money would not be eligible for deduction in case of co-operative society carrying </w:t>
      </w:r>
      <w:r w:rsidRPr="00712B43">
        <w:rPr>
          <w:rFonts w:ascii="Verdana" w:eastAsia="Times New Roman" w:hAnsi="Verdana" w:cs="Times New Roman"/>
          <w:bCs/>
          <w:color w:val="221E1F"/>
          <w:sz w:val="20"/>
          <w:szCs w:val="20"/>
        </w:rPr>
        <w:lastRenderedPageBreak/>
        <w:t>on the business of providing credit facility to the members under section 80P(2)(a)(</w:t>
      </w:r>
      <w:proofErr w:type="spellStart"/>
      <w:r w:rsidRPr="00712B43">
        <w:rPr>
          <w:rFonts w:ascii="Verdana" w:eastAsia="Times New Roman" w:hAnsi="Verdana" w:cs="Times New Roman"/>
          <w:bCs/>
          <w:color w:val="221E1F"/>
          <w:sz w:val="20"/>
          <w:szCs w:val="20"/>
        </w:rPr>
        <w:t>i</w:t>
      </w:r>
      <w:proofErr w:type="spellEnd"/>
      <w:r w:rsidRPr="00712B43">
        <w:rPr>
          <w:rFonts w:ascii="Verdana" w:eastAsia="Times New Roman" w:hAnsi="Verdana" w:cs="Times New Roman"/>
          <w:bCs/>
          <w:color w:val="221E1F"/>
          <w:sz w:val="20"/>
          <w:szCs w:val="20"/>
        </w:rPr>
        <w:t xml:space="preserve">) or marketing of agricultural produce of its members under section 80P(2)(a)(ii).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12B43">
        <w:rPr>
          <w:rFonts w:ascii="Verdana" w:eastAsia="Times New Roman" w:hAnsi="Verdana" w:cs="Times New Roman"/>
          <w:bCs/>
          <w:i/>
          <w:iCs/>
          <w:color w:val="221E1F"/>
          <w:sz w:val="20"/>
          <w:szCs w:val="20"/>
        </w:rPr>
        <w:t>Totgar’s</w:t>
      </w:r>
      <w:proofErr w:type="spellEnd"/>
      <w:r w:rsidRPr="00712B43">
        <w:rPr>
          <w:rFonts w:ascii="Verdana" w:eastAsia="Times New Roman" w:hAnsi="Verdana" w:cs="Times New Roman"/>
          <w:bCs/>
          <w:i/>
          <w:iCs/>
          <w:color w:val="221E1F"/>
          <w:sz w:val="20"/>
          <w:szCs w:val="20"/>
        </w:rPr>
        <w:t xml:space="preserve"> Co-operative sale society Ltd. vs. ITO (2010) 322 ITR 283 (SC)</w:t>
      </w:r>
    </w:p>
    <w:p w:rsidR="00712B43" w:rsidRPr="00712B43" w:rsidRDefault="00712B43" w:rsidP="00815C67">
      <w:pPr>
        <w:spacing w:before="100" w:beforeAutospacing="1" w:after="100" w:afterAutospacing="1" w:line="240" w:lineRule="auto"/>
        <w:jc w:val="both"/>
        <w:rPr>
          <w:rFonts w:ascii="Verdana" w:eastAsia="Times New Roman" w:hAnsi="Verdana" w:cs="Times New Roman"/>
          <w:bCs/>
          <w:color w:val="221E1F"/>
          <w:sz w:val="20"/>
          <w:szCs w:val="20"/>
        </w:rPr>
      </w:pPr>
      <w:r>
        <w:rPr>
          <w:rFonts w:ascii="Verdana" w:eastAsia="Times New Roman" w:hAnsi="Verdana" w:cs="Times New Roman"/>
          <w:b/>
          <w:bCs/>
          <w:color w:val="221E1F"/>
          <w:sz w:val="20"/>
          <w:szCs w:val="20"/>
        </w:rPr>
        <w:t xml:space="preserve">20: </w:t>
      </w:r>
      <w:r w:rsidRPr="00712B43">
        <w:rPr>
          <w:rFonts w:ascii="Verdana" w:eastAsia="Times New Roman" w:hAnsi="Verdana" w:cs="Times New Roman"/>
          <w:b/>
          <w:bCs/>
          <w:color w:val="221E1F"/>
          <w:sz w:val="20"/>
          <w:szCs w:val="20"/>
        </w:rPr>
        <w:t xml:space="preserve">S. 80–IA – Manufacturing or Processing of Goods – Duplication of Master Media Software – [S. 12(b)]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"Manufacturing or processing of goods" u/s. 80-</w:t>
      </w:r>
      <w:proofErr w:type="gramStart"/>
      <w:r w:rsidRPr="00712B43">
        <w:rPr>
          <w:rFonts w:ascii="Verdana" w:eastAsia="Times New Roman" w:hAnsi="Verdana" w:cs="Times New Roman"/>
          <w:bCs/>
          <w:color w:val="221E1F"/>
          <w:sz w:val="20"/>
          <w:szCs w:val="20"/>
        </w:rPr>
        <w:t>IA(</w:t>
      </w:r>
      <w:proofErr w:type="gramEnd"/>
      <w:r w:rsidRPr="00712B43">
        <w:rPr>
          <w:rFonts w:ascii="Verdana" w:eastAsia="Times New Roman" w:hAnsi="Verdana" w:cs="Times New Roman"/>
          <w:bCs/>
          <w:color w:val="221E1F"/>
          <w:sz w:val="20"/>
          <w:szCs w:val="20"/>
        </w:rPr>
        <w:t xml:space="preserve">12)(b) </w:t>
      </w:r>
      <w:proofErr w:type="spellStart"/>
      <w:r w:rsidRPr="00712B43">
        <w:rPr>
          <w:rFonts w:ascii="Verdana" w:eastAsia="Times New Roman" w:hAnsi="Verdana" w:cs="Times New Roman"/>
          <w:bCs/>
          <w:color w:val="221E1F"/>
          <w:sz w:val="20"/>
          <w:szCs w:val="20"/>
        </w:rPr>
        <w:t>r.w.s</w:t>
      </w:r>
      <w:proofErr w:type="spellEnd"/>
      <w:r w:rsidRPr="00712B43">
        <w:rPr>
          <w:rFonts w:ascii="Verdana" w:eastAsia="Times New Roman" w:hAnsi="Verdana" w:cs="Times New Roman"/>
          <w:bCs/>
          <w:color w:val="221E1F"/>
          <w:sz w:val="20"/>
          <w:szCs w:val="20"/>
        </w:rPr>
        <w:t xml:space="preserve">. 33B.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Duplicating process carried out to prepare a recorded CD from the master media changes the basic character of a blank CD, dedicating it to a specific use and, therefore, the process by which a blank CD is transferred into software loaded disc constitutes "manufacturing or processing of goods" in terms of section 80-IA(12)(b) </w:t>
      </w:r>
      <w:proofErr w:type="spellStart"/>
      <w:r w:rsidRPr="00712B43">
        <w:rPr>
          <w:rFonts w:ascii="Verdana" w:eastAsia="Times New Roman" w:hAnsi="Verdana" w:cs="Times New Roman"/>
          <w:bCs/>
          <w:color w:val="221E1F"/>
          <w:sz w:val="20"/>
          <w:szCs w:val="20"/>
        </w:rPr>
        <w:t>r.w.s</w:t>
      </w:r>
      <w:proofErr w:type="spellEnd"/>
      <w:r w:rsidRPr="00712B43">
        <w:rPr>
          <w:rFonts w:ascii="Verdana" w:eastAsia="Times New Roman" w:hAnsi="Verdana" w:cs="Times New Roman"/>
          <w:bCs/>
          <w:color w:val="221E1F"/>
          <w:sz w:val="20"/>
          <w:szCs w:val="20"/>
        </w:rPr>
        <w:t xml:space="preserve">. 33B.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Chapter VI-A and section 80-IA is a code by itself providing special deductions for setting up industrial undertakings in backward areas and for earning profits in foreign exchange. Unlimited deductions are not permissible. Hence, "manufacture or processing of goods" must be interpreted in that background. In present case, process undertaken by the </w:t>
      </w:r>
      <w:proofErr w:type="spellStart"/>
      <w:r w:rsidRPr="00712B43">
        <w:rPr>
          <w:rFonts w:ascii="Verdana" w:eastAsia="Times New Roman" w:hAnsi="Verdana" w:cs="Times New Roman"/>
          <w:bCs/>
          <w:color w:val="221E1F"/>
          <w:sz w:val="20"/>
          <w:szCs w:val="20"/>
        </w:rPr>
        <w:t>assessee</w:t>
      </w:r>
      <w:proofErr w:type="spellEnd"/>
      <w:r w:rsidRPr="00712B43">
        <w:rPr>
          <w:rFonts w:ascii="Verdana" w:eastAsia="Times New Roman" w:hAnsi="Verdana" w:cs="Times New Roman"/>
          <w:bCs/>
          <w:color w:val="221E1F"/>
          <w:sz w:val="20"/>
          <w:szCs w:val="20"/>
        </w:rPr>
        <w:t xml:space="preserve"> was duplication of master media software on to blank CDs. Said process of duplication may be done at home or for commercial duplication. Department, therefore, should study actual process undertaken and ground realities of business when new technology is involved in a process. </w:t>
      </w:r>
    </w:p>
    <w:p w:rsidR="00712B43" w:rsidRPr="00712B43" w:rsidRDefault="00712B43" w:rsidP="00815C67">
      <w:pPr>
        <w:spacing w:before="100" w:beforeAutospacing="1" w:after="100" w:afterAutospacing="1" w:line="240" w:lineRule="auto"/>
        <w:jc w:val="both"/>
        <w:rPr>
          <w:rFonts w:ascii="Verdana" w:eastAsia="Times New Roman" w:hAnsi="Verdana" w:cs="Times New Roman"/>
          <w:bCs/>
          <w:i/>
          <w:iCs/>
          <w:color w:val="221E1F"/>
          <w:sz w:val="20"/>
          <w:szCs w:val="20"/>
        </w:rPr>
      </w:pPr>
      <w:r w:rsidRPr="00712B43">
        <w:rPr>
          <w:rFonts w:ascii="Verdana" w:eastAsia="Times New Roman" w:hAnsi="Verdana" w:cs="Times New Roman"/>
          <w:bCs/>
          <w:i/>
          <w:iCs/>
          <w:color w:val="221E1F"/>
          <w:sz w:val="20"/>
          <w:szCs w:val="20"/>
        </w:rPr>
        <w:t>CIT vs. Oracle Software India Ltd. (2010) 320 ITR 546 (SC) / (2010) SCC 677 / (2010) 228 CTR 433 (SC) / 33 DTR 297 (SC)</w:t>
      </w:r>
    </w:p>
    <w:p w:rsidR="00712B43" w:rsidRPr="00712B43" w:rsidRDefault="00712B43" w:rsidP="00815C67">
      <w:pPr>
        <w:spacing w:before="100" w:beforeAutospacing="1" w:after="100" w:afterAutospacing="1" w:line="240" w:lineRule="auto"/>
        <w:jc w:val="both"/>
        <w:rPr>
          <w:rFonts w:ascii="Verdana" w:eastAsia="Times New Roman" w:hAnsi="Verdana" w:cs="Times New Roman"/>
          <w:bCs/>
          <w:color w:val="221E1F"/>
          <w:sz w:val="20"/>
          <w:szCs w:val="20"/>
        </w:rPr>
      </w:pPr>
      <w:r>
        <w:rPr>
          <w:rFonts w:ascii="Verdana" w:eastAsia="Times New Roman" w:hAnsi="Verdana" w:cs="Times New Roman"/>
          <w:b/>
          <w:bCs/>
          <w:color w:val="221E1F"/>
          <w:sz w:val="20"/>
          <w:szCs w:val="20"/>
        </w:rPr>
        <w:t xml:space="preserve">21: </w:t>
      </w:r>
      <w:r w:rsidRPr="00712B43">
        <w:rPr>
          <w:rFonts w:ascii="Verdana" w:eastAsia="Times New Roman" w:hAnsi="Verdana" w:cs="Times New Roman"/>
          <w:b/>
          <w:bCs/>
          <w:color w:val="221E1F"/>
          <w:sz w:val="20"/>
          <w:szCs w:val="20"/>
        </w:rPr>
        <w:t xml:space="preserve">S. 80–IA – Deduction – Export Incentive – Eligible Income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proofErr w:type="gramStart"/>
      <w:r w:rsidRPr="00712B43">
        <w:rPr>
          <w:rFonts w:ascii="Verdana" w:eastAsia="Times New Roman" w:hAnsi="Verdana" w:cs="Times New Roman"/>
          <w:bCs/>
          <w:color w:val="221E1F"/>
          <w:sz w:val="20"/>
          <w:szCs w:val="20"/>
        </w:rPr>
        <w:t>Entitlement to deduction u/s. 80-IA without reducing amount of export incentive – a substantial question of law.</w:t>
      </w:r>
      <w:proofErr w:type="gramEnd"/>
      <w:r w:rsidRPr="00712B43">
        <w:rPr>
          <w:rFonts w:ascii="Verdana" w:eastAsia="Times New Roman" w:hAnsi="Verdana" w:cs="Times New Roman"/>
          <w:bCs/>
          <w:color w:val="221E1F"/>
          <w:sz w:val="20"/>
          <w:szCs w:val="20"/>
        </w:rPr>
        <w:t xml:space="preserve">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Question whether the </w:t>
      </w:r>
      <w:proofErr w:type="spellStart"/>
      <w:r w:rsidRPr="00712B43">
        <w:rPr>
          <w:rFonts w:ascii="Verdana" w:eastAsia="Times New Roman" w:hAnsi="Verdana" w:cs="Times New Roman"/>
          <w:bCs/>
          <w:color w:val="221E1F"/>
          <w:sz w:val="20"/>
          <w:szCs w:val="20"/>
        </w:rPr>
        <w:t>assessee</w:t>
      </w:r>
      <w:proofErr w:type="spellEnd"/>
      <w:r w:rsidRPr="00712B43">
        <w:rPr>
          <w:rFonts w:ascii="Verdana" w:eastAsia="Times New Roman" w:hAnsi="Verdana" w:cs="Times New Roman"/>
          <w:bCs/>
          <w:color w:val="221E1F"/>
          <w:sz w:val="20"/>
          <w:szCs w:val="20"/>
        </w:rPr>
        <w:t xml:space="preserve"> was entitled to deduction under section 80-IA on the amount of entire eligible income without reducing the amount of export incentive from the same is an important question of law and interpretation of section 80-IA arise for determination; High Court directed to decide the same.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i/>
          <w:iCs/>
          <w:color w:val="221E1F"/>
          <w:sz w:val="20"/>
          <w:szCs w:val="20"/>
        </w:rPr>
        <w:t xml:space="preserve">ACIT vs. Neo Sack (P) Ltd. (2009) 319 ITR 124 (SC) / (2010) 228 CTR 351 (SC) / (2010) 33 DTR 233 (SC) </w:t>
      </w:r>
    </w:p>
    <w:p w:rsidR="00712B43" w:rsidRPr="00712B43" w:rsidRDefault="00712B43" w:rsidP="00815C67">
      <w:pPr>
        <w:spacing w:before="100" w:beforeAutospacing="1" w:after="100" w:afterAutospacing="1" w:line="240" w:lineRule="auto"/>
        <w:jc w:val="both"/>
        <w:rPr>
          <w:rFonts w:ascii="Verdana" w:eastAsia="Times New Roman" w:hAnsi="Verdana" w:cs="Times New Roman"/>
          <w:bCs/>
          <w:color w:val="221E1F"/>
          <w:sz w:val="20"/>
          <w:szCs w:val="20"/>
        </w:rPr>
      </w:pPr>
      <w:r>
        <w:rPr>
          <w:rFonts w:ascii="Verdana" w:eastAsia="Times New Roman" w:hAnsi="Verdana" w:cs="Times New Roman"/>
          <w:b/>
          <w:bCs/>
          <w:color w:val="221E1F"/>
          <w:sz w:val="20"/>
          <w:szCs w:val="20"/>
        </w:rPr>
        <w:t xml:space="preserve">22: </w:t>
      </w:r>
      <w:r w:rsidRPr="00712B43">
        <w:rPr>
          <w:rFonts w:ascii="Verdana" w:eastAsia="Times New Roman" w:hAnsi="Verdana" w:cs="Times New Roman"/>
          <w:b/>
          <w:bCs/>
          <w:color w:val="221E1F"/>
          <w:sz w:val="20"/>
          <w:szCs w:val="20"/>
        </w:rPr>
        <w:t xml:space="preserve">S. 80–IA – Manufacturing or Production – Conversions of Raw Marble Blocks into Polished Marble Slabs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Conversion of raw marble blocks into polished marble slabs or tiles constitutes "manufacture or production" under section 80-IA.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The conversion of raw marble blocks into final product of polished marble slabs or tiles in a factory constitutes "manufacture or production" under section 80-</w:t>
      </w:r>
      <w:proofErr w:type="gramStart"/>
      <w:r w:rsidRPr="00712B43">
        <w:rPr>
          <w:rFonts w:ascii="Verdana" w:eastAsia="Times New Roman" w:hAnsi="Verdana" w:cs="Times New Roman"/>
          <w:bCs/>
          <w:color w:val="221E1F"/>
          <w:sz w:val="20"/>
          <w:szCs w:val="20"/>
        </w:rPr>
        <w:t>IA(</w:t>
      </w:r>
      <w:proofErr w:type="gramEnd"/>
      <w:r w:rsidRPr="00712B43">
        <w:rPr>
          <w:rFonts w:ascii="Verdana" w:eastAsia="Times New Roman" w:hAnsi="Verdana" w:cs="Times New Roman"/>
          <w:bCs/>
          <w:color w:val="221E1F"/>
          <w:sz w:val="20"/>
          <w:szCs w:val="20"/>
        </w:rPr>
        <w:t xml:space="preserve">2)(iii) (prior to 1-4-2000) – AY 2001-02. The activity carried out in the present case is not only manufacture but also an activity beyond manufacture that brings about a new product into existence. If it </w:t>
      </w:r>
      <w:r w:rsidRPr="00712B43">
        <w:rPr>
          <w:rFonts w:ascii="Verdana" w:eastAsia="Times New Roman" w:hAnsi="Verdana" w:cs="Times New Roman"/>
          <w:bCs/>
          <w:color w:val="221E1F"/>
          <w:sz w:val="20"/>
          <w:szCs w:val="20"/>
        </w:rPr>
        <w:lastRenderedPageBreak/>
        <w:t xml:space="preserve">were held not to be "manufacture", it would lead to disastrous consequences as the </w:t>
      </w:r>
      <w:proofErr w:type="spellStart"/>
      <w:r w:rsidRPr="00712B43">
        <w:rPr>
          <w:rFonts w:ascii="Verdana" w:eastAsia="Times New Roman" w:hAnsi="Verdana" w:cs="Times New Roman"/>
          <w:bCs/>
          <w:color w:val="221E1F"/>
          <w:sz w:val="20"/>
          <w:szCs w:val="20"/>
        </w:rPr>
        <w:t>assessee</w:t>
      </w:r>
      <w:proofErr w:type="spellEnd"/>
      <w:r w:rsidRPr="00712B43">
        <w:rPr>
          <w:rFonts w:ascii="Verdana" w:eastAsia="Times New Roman" w:hAnsi="Verdana" w:cs="Times New Roman"/>
          <w:bCs/>
          <w:color w:val="221E1F"/>
          <w:sz w:val="20"/>
          <w:szCs w:val="20"/>
        </w:rPr>
        <w:t xml:space="preserve"> would not be liable to pay other taxes like excise duty etc.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"Production" is wider in meaning compared to "manufacture". Word "production" means manufacture plus something in addition thereto. While every manufacture constitutes production, every production does not amount to manufacture of goods.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i/>
          <w:iCs/>
          <w:color w:val="221E1F"/>
          <w:sz w:val="20"/>
          <w:szCs w:val="20"/>
        </w:rPr>
        <w:t xml:space="preserve">ITO, Udaipur vs. </w:t>
      </w:r>
      <w:proofErr w:type="spellStart"/>
      <w:r w:rsidRPr="00712B43">
        <w:rPr>
          <w:rFonts w:ascii="Verdana" w:eastAsia="Times New Roman" w:hAnsi="Verdana" w:cs="Times New Roman"/>
          <w:bCs/>
          <w:i/>
          <w:iCs/>
          <w:color w:val="221E1F"/>
          <w:sz w:val="20"/>
          <w:szCs w:val="20"/>
        </w:rPr>
        <w:t>Arihant</w:t>
      </w:r>
      <w:proofErr w:type="spellEnd"/>
      <w:r w:rsidRPr="00712B43">
        <w:rPr>
          <w:rFonts w:ascii="Verdana" w:eastAsia="Times New Roman" w:hAnsi="Verdana" w:cs="Times New Roman"/>
          <w:bCs/>
          <w:i/>
          <w:iCs/>
          <w:color w:val="221E1F"/>
          <w:sz w:val="20"/>
          <w:szCs w:val="20"/>
        </w:rPr>
        <w:t xml:space="preserve"> Tiles and Marbles (P) Ltd. (2010) 2 SCC 699 / (2010) 320 ITR 79 (SC) / (2009) 227 CTR 513 (SC)</w:t>
      </w:r>
    </w:p>
    <w:p w:rsidR="00712B43" w:rsidRPr="00712B43" w:rsidRDefault="00712B43" w:rsidP="00815C67">
      <w:pPr>
        <w:spacing w:before="100" w:beforeAutospacing="1" w:after="100" w:afterAutospacing="1" w:line="240" w:lineRule="auto"/>
        <w:jc w:val="both"/>
        <w:rPr>
          <w:rFonts w:ascii="Verdana" w:eastAsia="Times New Roman" w:hAnsi="Verdana" w:cs="Times New Roman"/>
          <w:bCs/>
          <w:color w:val="221E1F"/>
          <w:sz w:val="20"/>
          <w:szCs w:val="20"/>
        </w:rPr>
      </w:pPr>
      <w:r>
        <w:rPr>
          <w:rFonts w:ascii="Verdana" w:eastAsia="Times New Roman" w:hAnsi="Verdana" w:cs="Times New Roman"/>
          <w:b/>
          <w:bCs/>
          <w:color w:val="221E1F"/>
          <w:sz w:val="20"/>
          <w:szCs w:val="20"/>
        </w:rPr>
        <w:t xml:space="preserve">23: </w:t>
      </w:r>
      <w:r w:rsidRPr="00712B43">
        <w:rPr>
          <w:rFonts w:ascii="Verdana" w:eastAsia="Times New Roman" w:hAnsi="Verdana" w:cs="Times New Roman"/>
          <w:b/>
          <w:bCs/>
          <w:color w:val="221E1F"/>
          <w:sz w:val="20"/>
          <w:szCs w:val="20"/>
        </w:rPr>
        <w:t xml:space="preserve">S. 80–IA – Manufacturing Production – Twisting </w:t>
      </w:r>
      <w:proofErr w:type="gramStart"/>
      <w:r w:rsidRPr="00712B43">
        <w:rPr>
          <w:rFonts w:ascii="Verdana" w:eastAsia="Times New Roman" w:hAnsi="Verdana" w:cs="Times New Roman"/>
          <w:b/>
          <w:bCs/>
          <w:color w:val="221E1F"/>
          <w:sz w:val="20"/>
          <w:szCs w:val="20"/>
        </w:rPr>
        <w:t>And</w:t>
      </w:r>
      <w:proofErr w:type="gramEnd"/>
      <w:r w:rsidRPr="00712B43">
        <w:rPr>
          <w:rFonts w:ascii="Verdana" w:eastAsia="Times New Roman" w:hAnsi="Verdana" w:cs="Times New Roman"/>
          <w:b/>
          <w:bCs/>
          <w:color w:val="221E1F"/>
          <w:sz w:val="20"/>
          <w:szCs w:val="20"/>
        </w:rPr>
        <w:t xml:space="preserve"> </w:t>
      </w:r>
      <w:proofErr w:type="spellStart"/>
      <w:r w:rsidRPr="00712B43">
        <w:rPr>
          <w:rFonts w:ascii="Verdana" w:eastAsia="Times New Roman" w:hAnsi="Verdana" w:cs="Times New Roman"/>
          <w:b/>
          <w:bCs/>
          <w:color w:val="221E1F"/>
          <w:sz w:val="20"/>
          <w:szCs w:val="20"/>
        </w:rPr>
        <w:t>Texturizing</w:t>
      </w:r>
      <w:proofErr w:type="spellEnd"/>
      <w:r w:rsidRPr="00712B43">
        <w:rPr>
          <w:rFonts w:ascii="Verdana" w:eastAsia="Times New Roman" w:hAnsi="Verdana" w:cs="Times New Roman"/>
          <w:b/>
          <w:bCs/>
          <w:color w:val="221E1F"/>
          <w:sz w:val="20"/>
          <w:szCs w:val="20"/>
        </w:rPr>
        <w:t xml:space="preserve"> of </w:t>
      </w:r>
      <w:proofErr w:type="spellStart"/>
      <w:r w:rsidRPr="00712B43">
        <w:rPr>
          <w:rFonts w:ascii="Verdana" w:eastAsia="Times New Roman" w:hAnsi="Verdana" w:cs="Times New Roman"/>
          <w:b/>
          <w:bCs/>
          <w:color w:val="221E1F"/>
          <w:sz w:val="20"/>
          <w:szCs w:val="20"/>
        </w:rPr>
        <w:t>Poy</w:t>
      </w:r>
      <w:proofErr w:type="spellEnd"/>
      <w:r w:rsidRPr="00712B43">
        <w:rPr>
          <w:rFonts w:ascii="Verdana" w:eastAsia="Times New Roman" w:hAnsi="Verdana" w:cs="Times New Roman"/>
          <w:b/>
          <w:bCs/>
          <w:color w:val="221E1F"/>
          <w:sz w:val="20"/>
          <w:szCs w:val="20"/>
        </w:rPr>
        <w:t xml:space="preserve">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Twisting and </w:t>
      </w:r>
      <w:proofErr w:type="spellStart"/>
      <w:r w:rsidRPr="00712B43">
        <w:rPr>
          <w:rFonts w:ascii="Verdana" w:eastAsia="Times New Roman" w:hAnsi="Verdana" w:cs="Times New Roman"/>
          <w:bCs/>
          <w:color w:val="221E1F"/>
          <w:sz w:val="20"/>
          <w:szCs w:val="20"/>
        </w:rPr>
        <w:t>texturizing</w:t>
      </w:r>
      <w:proofErr w:type="spellEnd"/>
      <w:r w:rsidRPr="00712B43">
        <w:rPr>
          <w:rFonts w:ascii="Verdana" w:eastAsia="Times New Roman" w:hAnsi="Verdana" w:cs="Times New Roman"/>
          <w:bCs/>
          <w:color w:val="221E1F"/>
          <w:sz w:val="20"/>
          <w:szCs w:val="20"/>
        </w:rPr>
        <w:t xml:space="preserve"> of partially oriented yarn (POY), when constitutes "manufacture".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Twisting and </w:t>
      </w:r>
      <w:proofErr w:type="spellStart"/>
      <w:r w:rsidRPr="00712B43">
        <w:rPr>
          <w:rFonts w:ascii="Verdana" w:eastAsia="Times New Roman" w:hAnsi="Verdana" w:cs="Times New Roman"/>
          <w:bCs/>
          <w:color w:val="221E1F"/>
          <w:sz w:val="20"/>
          <w:szCs w:val="20"/>
        </w:rPr>
        <w:t>texturizing</w:t>
      </w:r>
      <w:proofErr w:type="spellEnd"/>
      <w:r w:rsidRPr="00712B43">
        <w:rPr>
          <w:rFonts w:ascii="Verdana" w:eastAsia="Times New Roman" w:hAnsi="Verdana" w:cs="Times New Roman"/>
          <w:bCs/>
          <w:color w:val="221E1F"/>
          <w:sz w:val="20"/>
          <w:szCs w:val="20"/>
        </w:rPr>
        <w:t xml:space="preserve"> of partially oriented yarn (POY), held, applying test in Oracle case (2010) 2 SCC 677, POY </w:t>
      </w:r>
      <w:proofErr w:type="spellStart"/>
      <w:r w:rsidRPr="00712B43">
        <w:rPr>
          <w:rFonts w:ascii="Verdana" w:eastAsia="Times New Roman" w:hAnsi="Verdana" w:cs="Times New Roman"/>
          <w:bCs/>
          <w:color w:val="221E1F"/>
          <w:sz w:val="20"/>
          <w:szCs w:val="20"/>
        </w:rPr>
        <w:t>simpliciter</w:t>
      </w:r>
      <w:proofErr w:type="spellEnd"/>
      <w:r w:rsidRPr="00712B43">
        <w:rPr>
          <w:rFonts w:ascii="Verdana" w:eastAsia="Times New Roman" w:hAnsi="Verdana" w:cs="Times New Roman"/>
          <w:bCs/>
          <w:color w:val="221E1F"/>
          <w:sz w:val="20"/>
          <w:szCs w:val="20"/>
        </w:rPr>
        <w:t xml:space="preserve"> is not fit for being used in manufacture of fabric. It becomes usable only after undergoing thermo-mechanical process that converts POY into </w:t>
      </w:r>
      <w:proofErr w:type="spellStart"/>
      <w:r w:rsidRPr="00712B43">
        <w:rPr>
          <w:rFonts w:ascii="Verdana" w:eastAsia="Times New Roman" w:hAnsi="Verdana" w:cs="Times New Roman"/>
          <w:bCs/>
          <w:color w:val="221E1F"/>
          <w:sz w:val="20"/>
          <w:szCs w:val="20"/>
        </w:rPr>
        <w:t>texturized</w:t>
      </w:r>
      <w:proofErr w:type="spellEnd"/>
      <w:r w:rsidRPr="00712B43">
        <w:rPr>
          <w:rFonts w:ascii="Verdana" w:eastAsia="Times New Roman" w:hAnsi="Verdana" w:cs="Times New Roman"/>
          <w:bCs/>
          <w:color w:val="221E1F"/>
          <w:sz w:val="20"/>
          <w:szCs w:val="20"/>
        </w:rPr>
        <w:t xml:space="preserve"> yarn, which is used in manufacture of fabric. Hence, it constitutes "manufacture". Further clarified, however, </w:t>
      </w:r>
      <w:proofErr w:type="spellStart"/>
      <w:r w:rsidRPr="00712B43">
        <w:rPr>
          <w:rFonts w:ascii="Verdana" w:eastAsia="Times New Roman" w:hAnsi="Verdana" w:cs="Times New Roman"/>
          <w:bCs/>
          <w:color w:val="221E1F"/>
          <w:sz w:val="20"/>
          <w:szCs w:val="20"/>
        </w:rPr>
        <w:t>texturizing</w:t>
      </w:r>
      <w:proofErr w:type="spellEnd"/>
      <w:r w:rsidRPr="00712B43">
        <w:rPr>
          <w:rFonts w:ascii="Verdana" w:eastAsia="Times New Roman" w:hAnsi="Verdana" w:cs="Times New Roman"/>
          <w:bCs/>
          <w:color w:val="221E1F"/>
          <w:sz w:val="20"/>
          <w:szCs w:val="20"/>
        </w:rPr>
        <w:t xml:space="preserve"> or twisting per se in every matter does not amount to manufacture.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i/>
          <w:iCs/>
          <w:color w:val="221E1F"/>
          <w:sz w:val="20"/>
          <w:szCs w:val="20"/>
        </w:rPr>
        <w:t xml:space="preserve">CIT, Mumbai vs. </w:t>
      </w:r>
      <w:proofErr w:type="spellStart"/>
      <w:r w:rsidRPr="00712B43">
        <w:rPr>
          <w:rFonts w:ascii="Verdana" w:eastAsia="Times New Roman" w:hAnsi="Verdana" w:cs="Times New Roman"/>
          <w:bCs/>
          <w:i/>
          <w:iCs/>
          <w:color w:val="221E1F"/>
          <w:sz w:val="20"/>
          <w:szCs w:val="20"/>
        </w:rPr>
        <w:t>Emptee</w:t>
      </w:r>
      <w:proofErr w:type="spellEnd"/>
      <w:r w:rsidRPr="00712B43">
        <w:rPr>
          <w:rFonts w:ascii="Verdana" w:eastAsia="Times New Roman" w:hAnsi="Verdana" w:cs="Times New Roman"/>
          <w:bCs/>
          <w:i/>
          <w:iCs/>
          <w:color w:val="221E1F"/>
          <w:sz w:val="20"/>
          <w:szCs w:val="20"/>
        </w:rPr>
        <w:t xml:space="preserve"> Poly-Yarn (P) Ltd. (2010) 2 SCC 720 / (2010) 320 ITR 665 (SC) / (2010) 229 CTR 1 (SC)</w:t>
      </w:r>
    </w:p>
    <w:p w:rsidR="00712B43" w:rsidRPr="00712B43" w:rsidRDefault="00712B43" w:rsidP="00815C67">
      <w:pPr>
        <w:spacing w:before="100" w:beforeAutospacing="1" w:after="100" w:afterAutospacing="1" w:line="240" w:lineRule="auto"/>
        <w:jc w:val="both"/>
        <w:rPr>
          <w:rFonts w:ascii="Verdana" w:eastAsia="Times New Roman" w:hAnsi="Verdana" w:cs="Times New Roman"/>
          <w:bCs/>
          <w:color w:val="221E1F"/>
          <w:sz w:val="20"/>
          <w:szCs w:val="20"/>
        </w:rPr>
      </w:pPr>
      <w:r>
        <w:rPr>
          <w:rFonts w:ascii="Verdana" w:eastAsia="Times New Roman" w:hAnsi="Verdana" w:cs="Times New Roman"/>
          <w:b/>
          <w:bCs/>
          <w:color w:val="221E1F"/>
          <w:sz w:val="20"/>
          <w:szCs w:val="20"/>
        </w:rPr>
        <w:t xml:space="preserve">24: </w:t>
      </w:r>
      <w:r w:rsidRPr="00712B43">
        <w:rPr>
          <w:rFonts w:ascii="Verdana" w:eastAsia="Times New Roman" w:hAnsi="Verdana" w:cs="Times New Roman"/>
          <w:b/>
          <w:bCs/>
          <w:color w:val="221E1F"/>
          <w:sz w:val="20"/>
          <w:szCs w:val="20"/>
        </w:rPr>
        <w:t xml:space="preserve">S. 92C – International Taxation – Transfer Pricing – Alternative Dispute Resolution Mechanism – (S. 144C)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Competent Authority has been directed to decide the matter, notwithstanding the pendency of the appeal before </w:t>
      </w:r>
      <w:proofErr w:type="gramStart"/>
      <w:r w:rsidRPr="00712B43">
        <w:rPr>
          <w:rFonts w:ascii="Verdana" w:eastAsia="Times New Roman" w:hAnsi="Verdana" w:cs="Times New Roman"/>
          <w:bCs/>
          <w:color w:val="221E1F"/>
          <w:sz w:val="20"/>
          <w:szCs w:val="20"/>
        </w:rPr>
        <w:t>CIT(</w:t>
      </w:r>
      <w:proofErr w:type="gramEnd"/>
      <w:r w:rsidRPr="00712B43">
        <w:rPr>
          <w:rFonts w:ascii="Verdana" w:eastAsia="Times New Roman" w:hAnsi="Verdana" w:cs="Times New Roman"/>
          <w:bCs/>
          <w:color w:val="221E1F"/>
          <w:sz w:val="20"/>
          <w:szCs w:val="20"/>
        </w:rPr>
        <w:t xml:space="preserve">A). </w:t>
      </w:r>
    </w:p>
    <w:p w:rsidR="00712B43" w:rsidRPr="00712B43" w:rsidRDefault="00712B43" w:rsidP="00815C67">
      <w:pPr>
        <w:spacing w:before="100" w:beforeAutospacing="1" w:after="100" w:afterAutospacing="1" w:line="240" w:lineRule="auto"/>
        <w:jc w:val="both"/>
        <w:rPr>
          <w:rFonts w:ascii="Verdana" w:eastAsia="Times New Roman" w:hAnsi="Verdana" w:cs="Times New Roman"/>
          <w:bCs/>
          <w:i/>
          <w:iCs/>
          <w:color w:val="221E1F"/>
          <w:sz w:val="20"/>
          <w:szCs w:val="20"/>
        </w:rPr>
      </w:pPr>
      <w:r w:rsidRPr="00712B43">
        <w:rPr>
          <w:rFonts w:ascii="Verdana" w:eastAsia="Times New Roman" w:hAnsi="Verdana" w:cs="Times New Roman"/>
          <w:bCs/>
          <w:i/>
          <w:iCs/>
          <w:color w:val="221E1F"/>
          <w:sz w:val="20"/>
          <w:szCs w:val="20"/>
        </w:rPr>
        <w:t>Addl. CIT vs. HCL Technologies Ltd. (2010) 188 Taxman 72 (SC)</w:t>
      </w:r>
    </w:p>
    <w:p w:rsidR="00712B43" w:rsidRPr="00712B43" w:rsidRDefault="00712B43" w:rsidP="00815C67">
      <w:pPr>
        <w:spacing w:before="100" w:beforeAutospacing="1" w:after="100" w:afterAutospacing="1" w:line="240" w:lineRule="auto"/>
        <w:jc w:val="both"/>
        <w:rPr>
          <w:rFonts w:ascii="Verdana" w:eastAsia="Times New Roman" w:hAnsi="Verdana" w:cs="Times New Roman"/>
          <w:b/>
          <w:bCs/>
          <w:color w:val="221E1F"/>
          <w:sz w:val="20"/>
          <w:szCs w:val="20"/>
        </w:rPr>
      </w:pPr>
      <w:r>
        <w:rPr>
          <w:rFonts w:ascii="Verdana" w:eastAsia="Times New Roman" w:hAnsi="Verdana" w:cs="Times New Roman"/>
          <w:b/>
          <w:bCs/>
          <w:color w:val="221E1F"/>
          <w:sz w:val="20"/>
          <w:szCs w:val="20"/>
        </w:rPr>
        <w:t xml:space="preserve">25: </w:t>
      </w:r>
      <w:r w:rsidRPr="00712B43">
        <w:rPr>
          <w:rFonts w:ascii="Verdana" w:eastAsia="Times New Roman" w:hAnsi="Verdana" w:cs="Times New Roman"/>
          <w:b/>
          <w:bCs/>
          <w:color w:val="221E1F"/>
          <w:sz w:val="20"/>
          <w:szCs w:val="20"/>
        </w:rPr>
        <w:t xml:space="preserve">S. 115JB – Book Profit – Adjustment for Advance </w:t>
      </w:r>
      <w:proofErr w:type="gramStart"/>
      <w:r w:rsidRPr="00712B43">
        <w:rPr>
          <w:rFonts w:ascii="Verdana" w:eastAsia="Times New Roman" w:hAnsi="Verdana" w:cs="Times New Roman"/>
          <w:b/>
          <w:bCs/>
          <w:color w:val="221E1F"/>
          <w:sz w:val="20"/>
          <w:szCs w:val="20"/>
        </w:rPr>
        <w:t>Against</w:t>
      </w:r>
      <w:proofErr w:type="gramEnd"/>
      <w:r w:rsidRPr="00712B43">
        <w:rPr>
          <w:rFonts w:ascii="Verdana" w:eastAsia="Times New Roman" w:hAnsi="Verdana" w:cs="Times New Roman"/>
          <w:b/>
          <w:bCs/>
          <w:color w:val="221E1F"/>
          <w:sz w:val="20"/>
          <w:szCs w:val="20"/>
        </w:rPr>
        <w:t xml:space="preserve"> Depreciation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Advance against Depreciation is timing difference, it is not a reserve, it is not carried through Profit &amp; Loss Account, and it is "income received in advance" subject to adjustment in future and therefore clause (b) of Explanation 1 to section 115JB is not applicable.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12B43">
        <w:rPr>
          <w:rFonts w:ascii="Verdana" w:eastAsia="Times New Roman" w:hAnsi="Verdana" w:cs="Times New Roman"/>
          <w:bCs/>
          <w:i/>
          <w:iCs/>
          <w:color w:val="221E1F"/>
          <w:sz w:val="20"/>
          <w:szCs w:val="20"/>
        </w:rPr>
        <w:t xml:space="preserve">National Hydroelectric Power </w:t>
      </w:r>
      <w:proofErr w:type="spellStart"/>
      <w:r w:rsidRPr="00712B43">
        <w:rPr>
          <w:rFonts w:ascii="Verdana" w:eastAsia="Times New Roman" w:hAnsi="Verdana" w:cs="Times New Roman"/>
          <w:bCs/>
          <w:i/>
          <w:iCs/>
          <w:color w:val="221E1F"/>
          <w:sz w:val="20"/>
          <w:szCs w:val="20"/>
        </w:rPr>
        <w:t>Corpn</w:t>
      </w:r>
      <w:proofErr w:type="spellEnd"/>
      <w:r w:rsidRPr="00712B43">
        <w:rPr>
          <w:rFonts w:ascii="Verdana" w:eastAsia="Times New Roman" w:hAnsi="Verdana" w:cs="Times New Roman"/>
          <w:bCs/>
          <w:i/>
          <w:iCs/>
          <w:color w:val="221E1F"/>
          <w:sz w:val="20"/>
          <w:szCs w:val="20"/>
        </w:rPr>
        <w:t>.</w:t>
      </w:r>
      <w:proofErr w:type="gramEnd"/>
      <w:r w:rsidRPr="00712B43">
        <w:rPr>
          <w:rFonts w:ascii="Verdana" w:eastAsia="Times New Roman" w:hAnsi="Verdana" w:cs="Times New Roman"/>
          <w:bCs/>
          <w:i/>
          <w:iCs/>
          <w:color w:val="221E1F"/>
          <w:sz w:val="20"/>
          <w:szCs w:val="20"/>
        </w:rPr>
        <w:t xml:space="preserve"> Ltd vs. CIT (2010) 34 DTR 65 (SC) 320 ITR 374 (SC)</w:t>
      </w:r>
    </w:p>
    <w:p w:rsidR="00712B43" w:rsidRPr="00712B43" w:rsidRDefault="00712B43" w:rsidP="00815C67">
      <w:pPr>
        <w:spacing w:before="100" w:beforeAutospacing="1" w:after="100" w:afterAutospacing="1" w:line="240" w:lineRule="auto"/>
        <w:jc w:val="both"/>
        <w:rPr>
          <w:rFonts w:ascii="Verdana" w:eastAsia="Times New Roman" w:hAnsi="Verdana" w:cs="Times New Roman"/>
          <w:bCs/>
          <w:color w:val="221E1F"/>
          <w:sz w:val="20"/>
          <w:szCs w:val="20"/>
        </w:rPr>
      </w:pPr>
      <w:r>
        <w:rPr>
          <w:rFonts w:ascii="Verdana" w:eastAsia="Times New Roman" w:hAnsi="Verdana" w:cs="Times New Roman"/>
          <w:b/>
          <w:bCs/>
          <w:color w:val="221E1F"/>
          <w:sz w:val="20"/>
          <w:szCs w:val="20"/>
        </w:rPr>
        <w:t xml:space="preserve">26: </w:t>
      </w:r>
      <w:r w:rsidRPr="00712B43">
        <w:rPr>
          <w:rFonts w:ascii="Verdana" w:eastAsia="Times New Roman" w:hAnsi="Verdana" w:cs="Times New Roman"/>
          <w:b/>
          <w:bCs/>
          <w:color w:val="221E1F"/>
          <w:sz w:val="20"/>
          <w:szCs w:val="20"/>
        </w:rPr>
        <w:t xml:space="preserve">S. 115J – MAT – Depreciation – Larger Bench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Whether for the purposes of computation of minimum alternate tax under section 115J, depreciation could be allowed as per income-tax rules has been referred to the larger bench by the Supreme Court doubting the earlier decision of the Supreme Court in the case of </w:t>
      </w:r>
      <w:proofErr w:type="spellStart"/>
      <w:r w:rsidRPr="00712B43">
        <w:rPr>
          <w:rFonts w:ascii="Verdana" w:eastAsia="Times New Roman" w:hAnsi="Verdana" w:cs="Times New Roman"/>
          <w:bCs/>
          <w:i/>
          <w:iCs/>
          <w:color w:val="221E1F"/>
          <w:sz w:val="20"/>
          <w:szCs w:val="20"/>
        </w:rPr>
        <w:t>Malayala</w:t>
      </w:r>
      <w:proofErr w:type="spellEnd"/>
      <w:r w:rsidRPr="00712B43">
        <w:rPr>
          <w:rFonts w:ascii="Verdana" w:eastAsia="Times New Roman" w:hAnsi="Verdana" w:cs="Times New Roman"/>
          <w:bCs/>
          <w:i/>
          <w:iCs/>
          <w:color w:val="221E1F"/>
          <w:sz w:val="20"/>
          <w:szCs w:val="20"/>
        </w:rPr>
        <w:t xml:space="preserve"> </w:t>
      </w:r>
      <w:proofErr w:type="spellStart"/>
      <w:r w:rsidRPr="00712B43">
        <w:rPr>
          <w:rFonts w:ascii="Verdana" w:eastAsia="Times New Roman" w:hAnsi="Verdana" w:cs="Times New Roman"/>
          <w:bCs/>
          <w:i/>
          <w:iCs/>
          <w:color w:val="221E1F"/>
          <w:sz w:val="20"/>
          <w:szCs w:val="20"/>
        </w:rPr>
        <w:t>Manorma</w:t>
      </w:r>
      <w:proofErr w:type="spellEnd"/>
      <w:r w:rsidRPr="00712B43">
        <w:rPr>
          <w:rFonts w:ascii="Verdana" w:eastAsia="Times New Roman" w:hAnsi="Verdana" w:cs="Times New Roman"/>
          <w:bCs/>
          <w:i/>
          <w:iCs/>
          <w:color w:val="221E1F"/>
          <w:sz w:val="20"/>
          <w:szCs w:val="20"/>
        </w:rPr>
        <w:t xml:space="preserve"> Co. Ltd. vs. CIT 300 ITR 251 (SC).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i/>
          <w:iCs/>
          <w:color w:val="221E1F"/>
          <w:sz w:val="20"/>
          <w:szCs w:val="20"/>
        </w:rPr>
        <w:t>Dynamic Orthopedics P. Ltd. vs. CIT (2010) 321 ITR 300 (SC)</w:t>
      </w:r>
    </w:p>
    <w:p w:rsidR="00712B43" w:rsidRPr="00712B43" w:rsidRDefault="00712B43" w:rsidP="00815C67">
      <w:pPr>
        <w:spacing w:before="100" w:beforeAutospacing="1" w:after="100" w:afterAutospacing="1" w:line="240" w:lineRule="auto"/>
        <w:jc w:val="both"/>
        <w:rPr>
          <w:rFonts w:ascii="Verdana" w:eastAsia="Times New Roman" w:hAnsi="Verdana" w:cs="Times New Roman"/>
          <w:bCs/>
          <w:color w:val="221E1F"/>
          <w:sz w:val="20"/>
          <w:szCs w:val="20"/>
        </w:rPr>
      </w:pPr>
      <w:r>
        <w:rPr>
          <w:rFonts w:ascii="Verdana" w:eastAsia="Times New Roman" w:hAnsi="Verdana" w:cs="Times New Roman"/>
          <w:b/>
          <w:bCs/>
          <w:color w:val="221E1F"/>
          <w:sz w:val="20"/>
          <w:szCs w:val="20"/>
        </w:rPr>
        <w:lastRenderedPageBreak/>
        <w:t xml:space="preserve">27: </w:t>
      </w:r>
      <w:r w:rsidRPr="00712B43">
        <w:rPr>
          <w:rFonts w:ascii="Verdana" w:eastAsia="Times New Roman" w:hAnsi="Verdana" w:cs="Times New Roman"/>
          <w:b/>
          <w:bCs/>
          <w:color w:val="221E1F"/>
          <w:sz w:val="20"/>
          <w:szCs w:val="20"/>
        </w:rPr>
        <w:t xml:space="preserve">S. 119 – Investigation – Duty of Officer – Passenger Travelling by Air-Circular of Board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Guidelines issued by CBDT dated November 18, 2009, to be followed by AIR Intelligence Units or Investigation Units dealing with air passengers with valuables at the airport of embarkation or destination, to avoid any harassment and undue inconvenience to them, keeping confidential any premature disclosure to the media and dropping the passenger at the place he wanted to go, etc.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Air passengers should accept with grace, patience and discipline search and seizure by the authorities.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12B43">
        <w:rPr>
          <w:rFonts w:ascii="Verdana" w:eastAsia="Times New Roman" w:hAnsi="Verdana" w:cs="Times New Roman"/>
          <w:bCs/>
          <w:i/>
          <w:iCs/>
          <w:color w:val="221E1F"/>
          <w:sz w:val="20"/>
          <w:szCs w:val="20"/>
        </w:rPr>
        <w:t>Rajendran</w:t>
      </w:r>
      <w:proofErr w:type="spellEnd"/>
      <w:r w:rsidRPr="00712B43">
        <w:rPr>
          <w:rFonts w:ascii="Verdana" w:eastAsia="Times New Roman" w:hAnsi="Verdana" w:cs="Times New Roman"/>
          <w:bCs/>
          <w:i/>
          <w:iCs/>
          <w:color w:val="221E1F"/>
          <w:sz w:val="20"/>
          <w:szCs w:val="20"/>
        </w:rPr>
        <w:t xml:space="preserve"> </w:t>
      </w:r>
      <w:proofErr w:type="spellStart"/>
      <w:r w:rsidRPr="00712B43">
        <w:rPr>
          <w:rFonts w:ascii="Verdana" w:eastAsia="Times New Roman" w:hAnsi="Verdana" w:cs="Times New Roman"/>
          <w:bCs/>
          <w:i/>
          <w:iCs/>
          <w:color w:val="221E1F"/>
          <w:sz w:val="20"/>
          <w:szCs w:val="20"/>
        </w:rPr>
        <w:t>Chingaravelu</w:t>
      </w:r>
      <w:proofErr w:type="spellEnd"/>
      <w:r w:rsidRPr="00712B43">
        <w:rPr>
          <w:rFonts w:ascii="Verdana" w:eastAsia="Times New Roman" w:hAnsi="Verdana" w:cs="Times New Roman"/>
          <w:bCs/>
          <w:i/>
          <w:iCs/>
          <w:color w:val="221E1F"/>
          <w:sz w:val="20"/>
          <w:szCs w:val="20"/>
        </w:rPr>
        <w:t xml:space="preserve"> vs. R. K. </w:t>
      </w:r>
      <w:proofErr w:type="spellStart"/>
      <w:r w:rsidRPr="00712B43">
        <w:rPr>
          <w:rFonts w:ascii="Verdana" w:eastAsia="Times New Roman" w:hAnsi="Verdana" w:cs="Times New Roman"/>
          <w:bCs/>
          <w:i/>
          <w:iCs/>
          <w:color w:val="221E1F"/>
          <w:sz w:val="20"/>
          <w:szCs w:val="20"/>
        </w:rPr>
        <w:t>Mishra</w:t>
      </w:r>
      <w:proofErr w:type="spellEnd"/>
      <w:r w:rsidRPr="00712B43">
        <w:rPr>
          <w:rFonts w:ascii="Verdana" w:eastAsia="Times New Roman" w:hAnsi="Verdana" w:cs="Times New Roman"/>
          <w:bCs/>
          <w:i/>
          <w:iCs/>
          <w:color w:val="221E1F"/>
          <w:sz w:val="20"/>
          <w:szCs w:val="20"/>
        </w:rPr>
        <w:t>, Addl. CIT (2010) 320 ITR 1 (SC) (2010) I SCC 457</w:t>
      </w:r>
    </w:p>
    <w:p w:rsidR="00712B43" w:rsidRPr="00712B43" w:rsidRDefault="00712B43" w:rsidP="00815C67">
      <w:pPr>
        <w:spacing w:before="100" w:beforeAutospacing="1" w:after="100" w:afterAutospacing="1" w:line="240" w:lineRule="auto"/>
        <w:jc w:val="both"/>
        <w:rPr>
          <w:rFonts w:ascii="Verdana" w:eastAsia="Times New Roman" w:hAnsi="Verdana" w:cs="Times New Roman"/>
          <w:b/>
          <w:bCs/>
          <w:color w:val="221E1F"/>
          <w:sz w:val="20"/>
          <w:szCs w:val="20"/>
        </w:rPr>
      </w:pPr>
      <w:r>
        <w:rPr>
          <w:rFonts w:ascii="Verdana" w:eastAsia="Times New Roman" w:hAnsi="Verdana" w:cs="Times New Roman"/>
          <w:b/>
          <w:bCs/>
          <w:color w:val="221E1F"/>
          <w:sz w:val="20"/>
          <w:szCs w:val="20"/>
        </w:rPr>
        <w:t xml:space="preserve">28: </w:t>
      </w:r>
      <w:r w:rsidRPr="00712B43">
        <w:rPr>
          <w:rFonts w:ascii="Verdana" w:eastAsia="Times New Roman" w:hAnsi="Verdana" w:cs="Times New Roman"/>
          <w:b/>
          <w:bCs/>
          <w:color w:val="221E1F"/>
          <w:sz w:val="20"/>
          <w:szCs w:val="20"/>
        </w:rPr>
        <w:t xml:space="preserve">S. 143(2) – Block Assessment – Notice (S.158BC)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If an assessment is to be completed under section 143(3) </w:t>
      </w:r>
      <w:proofErr w:type="spellStart"/>
      <w:proofErr w:type="gramStart"/>
      <w:r w:rsidRPr="00712B43">
        <w:rPr>
          <w:rFonts w:ascii="Verdana" w:eastAsia="Times New Roman" w:hAnsi="Verdana" w:cs="Times New Roman"/>
          <w:bCs/>
          <w:color w:val="221E1F"/>
          <w:sz w:val="20"/>
          <w:szCs w:val="20"/>
        </w:rPr>
        <w:t>r.w</w:t>
      </w:r>
      <w:proofErr w:type="spellEnd"/>
      <w:proofErr w:type="gramEnd"/>
      <w:r w:rsidRPr="00712B43">
        <w:rPr>
          <w:rFonts w:ascii="Verdana" w:eastAsia="Times New Roman" w:hAnsi="Verdana" w:cs="Times New Roman"/>
          <w:bCs/>
          <w:color w:val="221E1F"/>
          <w:sz w:val="20"/>
          <w:szCs w:val="20"/>
        </w:rPr>
        <w:t xml:space="preserve">. section 158BC, issue of notice under section 143(2) is mandatory and that the non issue of the notice is not a procedural irregularity and cannot be cured.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i/>
          <w:iCs/>
          <w:color w:val="221E1F"/>
          <w:sz w:val="20"/>
          <w:szCs w:val="20"/>
        </w:rPr>
        <w:t>ACIT vs. Hotel Blue Moon (2010) 321 ITR 362 (SC)</w:t>
      </w:r>
    </w:p>
    <w:p w:rsidR="00712B43" w:rsidRPr="00712B43" w:rsidRDefault="00712B43" w:rsidP="00815C67">
      <w:pPr>
        <w:spacing w:before="100" w:beforeAutospacing="1" w:after="100" w:afterAutospacing="1" w:line="240" w:lineRule="auto"/>
        <w:jc w:val="both"/>
        <w:rPr>
          <w:rFonts w:ascii="Verdana" w:eastAsia="Times New Roman" w:hAnsi="Verdana" w:cs="Times New Roman"/>
          <w:bCs/>
          <w:color w:val="221E1F"/>
          <w:sz w:val="20"/>
          <w:szCs w:val="20"/>
        </w:rPr>
      </w:pPr>
      <w:r>
        <w:rPr>
          <w:rFonts w:ascii="Verdana" w:eastAsia="Times New Roman" w:hAnsi="Verdana" w:cs="Times New Roman"/>
          <w:b/>
          <w:bCs/>
          <w:color w:val="221E1F"/>
          <w:sz w:val="20"/>
          <w:szCs w:val="20"/>
        </w:rPr>
        <w:t xml:space="preserve">29: </w:t>
      </w:r>
      <w:r w:rsidRPr="00712B43">
        <w:rPr>
          <w:rFonts w:ascii="Verdana" w:eastAsia="Times New Roman" w:hAnsi="Verdana" w:cs="Times New Roman"/>
          <w:b/>
          <w:bCs/>
          <w:color w:val="221E1F"/>
          <w:sz w:val="20"/>
          <w:szCs w:val="20"/>
        </w:rPr>
        <w:t xml:space="preserve">S. 145 – Accounts – Closing Stock – (S. 154)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Closing stock of earlier year has to be treated as opening stock of current year and therefore where the opening stock of current year shows a lower value than the value of closing stock of earlier year as finally determined by the Assessing Officer, the same is amenable to rectification under section 154.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i/>
          <w:iCs/>
          <w:color w:val="221E1F"/>
          <w:sz w:val="20"/>
          <w:szCs w:val="20"/>
        </w:rPr>
        <w:t>V. K. J. Builders &amp; Contractors (P) Ltd. vs. CIT (2010) 228 CTR 143 (SC)</w:t>
      </w:r>
    </w:p>
    <w:p w:rsidR="00712B43" w:rsidRPr="009425D8" w:rsidRDefault="009425D8" w:rsidP="00815C67">
      <w:pPr>
        <w:spacing w:before="100" w:beforeAutospacing="1" w:after="100" w:afterAutospacing="1" w:line="240" w:lineRule="auto"/>
        <w:jc w:val="both"/>
        <w:rPr>
          <w:rFonts w:ascii="Verdana" w:eastAsia="Times New Roman" w:hAnsi="Verdana" w:cs="Times New Roman"/>
          <w:b/>
          <w:bCs/>
          <w:color w:val="221E1F"/>
          <w:sz w:val="20"/>
          <w:szCs w:val="20"/>
        </w:rPr>
      </w:pPr>
      <w:r>
        <w:rPr>
          <w:rFonts w:ascii="Verdana" w:eastAsia="Times New Roman" w:hAnsi="Verdana" w:cs="Times New Roman"/>
          <w:b/>
          <w:bCs/>
          <w:color w:val="221E1F"/>
          <w:sz w:val="20"/>
          <w:szCs w:val="20"/>
        </w:rPr>
        <w:t xml:space="preserve">30: </w:t>
      </w:r>
      <w:r w:rsidR="00712B43" w:rsidRPr="009425D8">
        <w:rPr>
          <w:rFonts w:ascii="Verdana" w:eastAsia="Times New Roman" w:hAnsi="Verdana" w:cs="Times New Roman"/>
          <w:b/>
          <w:bCs/>
          <w:color w:val="221E1F"/>
          <w:sz w:val="20"/>
          <w:szCs w:val="20"/>
        </w:rPr>
        <w:t xml:space="preserve">S. 147 – Change of Opinion Not Sufficient for Reassessment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Under Circular No. 549 dated 31-10-1989, the Assessing Officer has no power to review but only to reassess. After amendment of 1989, the Assessing Officer can reopen assessment provided he has "reason to believe" that income has escaped assessment, based on tangible material. Mere "change of opinion" does not empower the Assessing Officer to review assessment in the garb of reassessment. </w:t>
      </w:r>
    </w:p>
    <w:p w:rsidR="00712B43" w:rsidRPr="00712B43" w:rsidRDefault="00712B43" w:rsidP="00815C67">
      <w:pPr>
        <w:spacing w:before="100" w:beforeAutospacing="1" w:after="100" w:afterAutospacing="1" w:line="240" w:lineRule="auto"/>
        <w:jc w:val="both"/>
        <w:rPr>
          <w:rFonts w:ascii="Verdana" w:eastAsia="Times New Roman" w:hAnsi="Verdana" w:cs="Times New Roman"/>
          <w:bCs/>
          <w:i/>
          <w:iCs/>
          <w:color w:val="221E1F"/>
          <w:sz w:val="20"/>
          <w:szCs w:val="20"/>
        </w:rPr>
      </w:pPr>
      <w:r w:rsidRPr="00712B43">
        <w:rPr>
          <w:rFonts w:ascii="Verdana" w:eastAsia="Times New Roman" w:hAnsi="Verdana" w:cs="Times New Roman"/>
          <w:bCs/>
          <w:i/>
          <w:iCs/>
          <w:color w:val="221E1F"/>
          <w:sz w:val="20"/>
          <w:szCs w:val="20"/>
        </w:rPr>
        <w:t>CIT, Delhi vs. Kelvinator of India Ltd. (2010) 2 SCC 723 / (2010) 320 ITR 561 / (2010) 228 CTR 488 (SC)</w:t>
      </w:r>
    </w:p>
    <w:p w:rsidR="00712B43" w:rsidRPr="00712B43" w:rsidRDefault="009425D8" w:rsidP="00815C67">
      <w:pPr>
        <w:spacing w:before="100" w:beforeAutospacing="1" w:after="100" w:afterAutospacing="1" w:line="240" w:lineRule="auto"/>
        <w:jc w:val="both"/>
        <w:rPr>
          <w:rFonts w:ascii="Verdana" w:eastAsia="Times New Roman" w:hAnsi="Verdana" w:cs="Times New Roman"/>
          <w:b/>
          <w:bCs/>
          <w:color w:val="221E1F"/>
          <w:sz w:val="20"/>
          <w:szCs w:val="20"/>
        </w:rPr>
      </w:pPr>
      <w:r>
        <w:rPr>
          <w:rFonts w:ascii="Verdana" w:eastAsia="Times New Roman" w:hAnsi="Verdana" w:cs="Times New Roman"/>
          <w:b/>
          <w:bCs/>
          <w:color w:val="221E1F"/>
          <w:sz w:val="20"/>
          <w:szCs w:val="20"/>
        </w:rPr>
        <w:t xml:space="preserve">31: </w:t>
      </w:r>
      <w:r w:rsidR="00712B43" w:rsidRPr="00712B43">
        <w:rPr>
          <w:rFonts w:ascii="Verdana" w:eastAsia="Times New Roman" w:hAnsi="Verdana" w:cs="Times New Roman"/>
          <w:b/>
          <w:bCs/>
          <w:color w:val="221E1F"/>
          <w:sz w:val="20"/>
          <w:szCs w:val="20"/>
        </w:rPr>
        <w:t xml:space="preserve">S. 154 – Rectification of Mistake –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Rectification of mistake –</w:t>
      </w:r>
    </w:p>
    <w:p w:rsidR="00712B43" w:rsidRPr="00712B43" w:rsidRDefault="00712B43" w:rsidP="00815C67">
      <w:pPr>
        <w:numPr>
          <w:ilvl w:val="0"/>
          <w:numId w:val="23"/>
        </w:numPr>
        <w:spacing w:before="150" w:after="150" w:line="240" w:lineRule="auto"/>
        <w:ind w:hanging="270"/>
        <w:jc w:val="both"/>
        <w:rPr>
          <w:rFonts w:ascii="Verdana" w:eastAsia="Times New Roman" w:hAnsi="Verdana" w:cs="Times New Roman"/>
          <w:bCs/>
          <w:color w:val="221E1F"/>
          <w:sz w:val="20"/>
          <w:szCs w:val="20"/>
        </w:rPr>
      </w:pPr>
      <w:r w:rsidRPr="00712B43">
        <w:rPr>
          <w:rFonts w:ascii="Verdana" w:eastAsia="Times New Roman" w:hAnsi="Verdana" w:cs="Times New Roman"/>
          <w:bCs/>
          <w:color w:val="221E1F"/>
          <w:sz w:val="20"/>
          <w:szCs w:val="20"/>
        </w:rPr>
        <w:t xml:space="preserve">Subsequent decision of the Supreme Court resolving conflict of opinion does not obliterate decision taken prior to it. Section 154 cannot be invoked to rectify the same. </w:t>
      </w:r>
    </w:p>
    <w:p w:rsidR="00712B43" w:rsidRPr="00712B43" w:rsidRDefault="00712B43" w:rsidP="00815C67">
      <w:pPr>
        <w:numPr>
          <w:ilvl w:val="0"/>
          <w:numId w:val="23"/>
        </w:numPr>
        <w:tabs>
          <w:tab w:val="clear" w:pos="720"/>
          <w:tab w:val="num" w:pos="360"/>
        </w:tabs>
        <w:spacing w:before="150" w:after="150" w:line="240" w:lineRule="auto"/>
        <w:ind w:hanging="270"/>
        <w:jc w:val="both"/>
        <w:rPr>
          <w:rFonts w:ascii="Verdana" w:eastAsia="Times New Roman" w:hAnsi="Verdana" w:cs="Times New Roman"/>
          <w:bCs/>
          <w:color w:val="221E1F"/>
          <w:sz w:val="20"/>
          <w:szCs w:val="20"/>
        </w:rPr>
      </w:pPr>
      <w:r w:rsidRPr="00712B43">
        <w:rPr>
          <w:rFonts w:ascii="Verdana" w:eastAsia="Times New Roman" w:hAnsi="Verdana" w:cs="Times New Roman"/>
          <w:bCs/>
          <w:color w:val="221E1F"/>
          <w:sz w:val="20"/>
          <w:szCs w:val="20"/>
        </w:rPr>
        <w:t xml:space="preserve">It is a change of opinion but not rectification of mistake. </w:t>
      </w:r>
    </w:p>
    <w:p w:rsidR="00712B43" w:rsidRPr="00712B43" w:rsidRDefault="00712B43" w:rsidP="00815C67">
      <w:pPr>
        <w:numPr>
          <w:ilvl w:val="0"/>
          <w:numId w:val="23"/>
        </w:numPr>
        <w:tabs>
          <w:tab w:val="clear" w:pos="720"/>
          <w:tab w:val="num" w:pos="360"/>
        </w:tabs>
        <w:spacing w:before="150" w:after="150" w:line="240" w:lineRule="auto"/>
        <w:ind w:hanging="270"/>
        <w:jc w:val="both"/>
        <w:rPr>
          <w:rFonts w:ascii="Verdana" w:eastAsia="Times New Roman" w:hAnsi="Verdana" w:cs="Times New Roman"/>
          <w:bCs/>
          <w:color w:val="221E1F"/>
          <w:sz w:val="20"/>
          <w:szCs w:val="20"/>
        </w:rPr>
      </w:pPr>
      <w:r w:rsidRPr="00712B43">
        <w:rPr>
          <w:rFonts w:ascii="Verdana" w:eastAsia="Times New Roman" w:hAnsi="Verdana" w:cs="Times New Roman"/>
          <w:bCs/>
          <w:color w:val="221E1F"/>
          <w:sz w:val="20"/>
          <w:szCs w:val="20"/>
        </w:rPr>
        <w:lastRenderedPageBreak/>
        <w:t xml:space="preserve">"Rectifiable Mistake" is a mistake that is obvious and not something that has to be established by a long drawn process of reasoning or where two opinions are possible. </w:t>
      </w:r>
    </w:p>
    <w:p w:rsidR="00712B43" w:rsidRPr="00712B43" w:rsidRDefault="00712B43" w:rsidP="00815C67">
      <w:pPr>
        <w:numPr>
          <w:ilvl w:val="0"/>
          <w:numId w:val="23"/>
        </w:numPr>
        <w:tabs>
          <w:tab w:val="clear" w:pos="720"/>
          <w:tab w:val="num" w:pos="360"/>
        </w:tabs>
        <w:spacing w:before="150" w:after="150" w:line="240" w:lineRule="auto"/>
        <w:ind w:hanging="270"/>
        <w:jc w:val="both"/>
        <w:rPr>
          <w:rFonts w:ascii="Verdana" w:eastAsia="Times New Roman" w:hAnsi="Verdana" w:cs="Times New Roman"/>
          <w:bCs/>
          <w:color w:val="221E1F"/>
          <w:sz w:val="20"/>
          <w:szCs w:val="20"/>
        </w:rPr>
      </w:pPr>
      <w:r w:rsidRPr="00712B43">
        <w:rPr>
          <w:rFonts w:ascii="Verdana" w:eastAsia="Times New Roman" w:hAnsi="Verdana" w:cs="Times New Roman"/>
          <w:bCs/>
          <w:color w:val="221E1F"/>
          <w:sz w:val="20"/>
          <w:szCs w:val="20"/>
        </w:rPr>
        <w:t xml:space="preserve">Examination of the nature of subsidy is not rectification of mistake. Such exercise cannot be made under section 154. </w:t>
      </w:r>
    </w:p>
    <w:p w:rsidR="00712B43" w:rsidRPr="00712B43" w:rsidRDefault="00712B43" w:rsidP="00815C67">
      <w:pPr>
        <w:numPr>
          <w:ilvl w:val="0"/>
          <w:numId w:val="23"/>
        </w:numPr>
        <w:tabs>
          <w:tab w:val="clear" w:pos="720"/>
          <w:tab w:val="num" w:pos="360"/>
        </w:tabs>
        <w:spacing w:before="150" w:after="150" w:line="240" w:lineRule="auto"/>
        <w:ind w:hanging="270"/>
        <w:jc w:val="both"/>
        <w:rPr>
          <w:rFonts w:ascii="Verdana" w:eastAsia="Times New Roman" w:hAnsi="Verdana" w:cs="Times New Roman"/>
          <w:bCs/>
          <w:color w:val="221E1F"/>
          <w:sz w:val="20"/>
          <w:szCs w:val="20"/>
        </w:rPr>
      </w:pPr>
      <w:r w:rsidRPr="00712B43">
        <w:rPr>
          <w:rFonts w:ascii="Verdana" w:eastAsia="Times New Roman" w:hAnsi="Verdana" w:cs="Times New Roman"/>
          <w:bCs/>
          <w:color w:val="221E1F"/>
          <w:sz w:val="20"/>
          <w:szCs w:val="20"/>
        </w:rPr>
        <w:t xml:space="preserve">Department erred in invoking section 154. </w:t>
      </w:r>
    </w:p>
    <w:p w:rsidR="00712B43" w:rsidRPr="00712B43" w:rsidRDefault="00712B43" w:rsidP="00815C67">
      <w:pPr>
        <w:numPr>
          <w:ilvl w:val="0"/>
          <w:numId w:val="23"/>
        </w:numPr>
        <w:tabs>
          <w:tab w:val="clear" w:pos="720"/>
          <w:tab w:val="num" w:pos="360"/>
        </w:tabs>
        <w:spacing w:before="150" w:after="150" w:line="240" w:lineRule="auto"/>
        <w:ind w:hanging="270"/>
        <w:jc w:val="both"/>
        <w:rPr>
          <w:rFonts w:ascii="Verdana" w:eastAsia="Times New Roman" w:hAnsi="Verdana" w:cs="Times New Roman"/>
          <w:bCs/>
          <w:color w:val="221E1F"/>
          <w:sz w:val="20"/>
          <w:szCs w:val="20"/>
        </w:rPr>
      </w:pPr>
      <w:r w:rsidRPr="00712B43">
        <w:rPr>
          <w:rFonts w:ascii="Verdana" w:eastAsia="Times New Roman" w:hAnsi="Verdana" w:cs="Times New Roman"/>
          <w:bCs/>
          <w:color w:val="221E1F"/>
          <w:sz w:val="20"/>
          <w:szCs w:val="20"/>
        </w:rPr>
        <w:t xml:space="preserve">Section 154 provides for the rectification of any mistake apparent from record, while section 147 deals with reassessment where income charged to tax escaped assessment for any assessment year. </w:t>
      </w:r>
    </w:p>
    <w:p w:rsidR="00712B43" w:rsidRPr="00712B43" w:rsidRDefault="00712B43" w:rsidP="00815C67">
      <w:pPr>
        <w:numPr>
          <w:ilvl w:val="0"/>
          <w:numId w:val="23"/>
        </w:numPr>
        <w:tabs>
          <w:tab w:val="clear" w:pos="720"/>
          <w:tab w:val="num" w:pos="360"/>
        </w:tabs>
        <w:spacing w:before="150" w:after="150" w:line="240" w:lineRule="auto"/>
        <w:ind w:hanging="270"/>
        <w:jc w:val="both"/>
        <w:rPr>
          <w:rFonts w:ascii="Verdana" w:eastAsia="Times New Roman" w:hAnsi="Verdana" w:cs="Times New Roman"/>
          <w:bCs/>
          <w:color w:val="221E1F"/>
          <w:sz w:val="20"/>
          <w:szCs w:val="20"/>
        </w:rPr>
      </w:pPr>
      <w:r w:rsidRPr="00712B43">
        <w:rPr>
          <w:rFonts w:ascii="Verdana" w:eastAsia="Times New Roman" w:hAnsi="Verdana" w:cs="Times New Roman"/>
          <w:bCs/>
          <w:color w:val="221E1F"/>
          <w:sz w:val="20"/>
          <w:szCs w:val="20"/>
        </w:rPr>
        <w:t xml:space="preserve">Whether subsidy is capital or revenue would depend on the facts of each case.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12B43">
        <w:rPr>
          <w:rFonts w:ascii="Verdana" w:eastAsia="Times New Roman" w:hAnsi="Verdana" w:cs="Times New Roman"/>
          <w:bCs/>
          <w:i/>
          <w:iCs/>
          <w:color w:val="221E1F"/>
          <w:sz w:val="20"/>
          <w:szCs w:val="20"/>
        </w:rPr>
        <w:t>Mepco</w:t>
      </w:r>
      <w:proofErr w:type="spellEnd"/>
      <w:r w:rsidRPr="00712B43">
        <w:rPr>
          <w:rFonts w:ascii="Verdana" w:eastAsia="Times New Roman" w:hAnsi="Verdana" w:cs="Times New Roman"/>
          <w:bCs/>
          <w:i/>
          <w:iCs/>
          <w:color w:val="221E1F"/>
          <w:sz w:val="20"/>
          <w:szCs w:val="20"/>
        </w:rPr>
        <w:t xml:space="preserve"> Industries Ltd., Madurai vs. CIT (2010) 1 SCC 434 / (2009) 319 ITR 208 (SC) / (2009) 227 CTR 313 (SC)</w:t>
      </w:r>
    </w:p>
    <w:p w:rsidR="00712B43" w:rsidRPr="00712B43" w:rsidRDefault="009425D8" w:rsidP="00815C67">
      <w:pPr>
        <w:spacing w:before="100" w:beforeAutospacing="1" w:after="100" w:afterAutospacing="1" w:line="240" w:lineRule="auto"/>
        <w:jc w:val="both"/>
        <w:rPr>
          <w:rFonts w:ascii="Verdana" w:eastAsia="Times New Roman" w:hAnsi="Verdana" w:cs="Times New Roman"/>
          <w:b/>
          <w:bCs/>
          <w:color w:val="221E1F"/>
          <w:sz w:val="20"/>
          <w:szCs w:val="20"/>
        </w:rPr>
      </w:pPr>
      <w:r>
        <w:rPr>
          <w:rFonts w:ascii="Verdana" w:eastAsia="Times New Roman" w:hAnsi="Verdana" w:cs="Times New Roman"/>
          <w:b/>
          <w:bCs/>
          <w:color w:val="221E1F"/>
          <w:sz w:val="20"/>
          <w:szCs w:val="20"/>
        </w:rPr>
        <w:t xml:space="preserve">32: </w:t>
      </w:r>
      <w:r w:rsidR="00712B43" w:rsidRPr="00712B43">
        <w:rPr>
          <w:rFonts w:ascii="Verdana" w:eastAsia="Times New Roman" w:hAnsi="Verdana" w:cs="Times New Roman"/>
          <w:b/>
          <w:bCs/>
          <w:color w:val="221E1F"/>
          <w:sz w:val="20"/>
          <w:szCs w:val="20"/>
        </w:rPr>
        <w:t xml:space="preserve">S. 158BC – Block Assessment – Income Disclosed In Regular Assessment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Any material or evidence unrelated to search could not form the basis of the computation of undisclosed income especially when the income had been disclosed by the </w:t>
      </w:r>
      <w:proofErr w:type="spellStart"/>
      <w:r w:rsidRPr="00712B43">
        <w:rPr>
          <w:rFonts w:ascii="Verdana" w:eastAsia="Times New Roman" w:hAnsi="Verdana" w:cs="Times New Roman"/>
          <w:bCs/>
          <w:color w:val="221E1F"/>
          <w:sz w:val="20"/>
          <w:szCs w:val="20"/>
        </w:rPr>
        <w:t>assessee</w:t>
      </w:r>
      <w:proofErr w:type="spellEnd"/>
      <w:r w:rsidRPr="00712B43">
        <w:rPr>
          <w:rFonts w:ascii="Verdana" w:eastAsia="Times New Roman" w:hAnsi="Verdana" w:cs="Times New Roman"/>
          <w:bCs/>
          <w:color w:val="221E1F"/>
          <w:sz w:val="20"/>
          <w:szCs w:val="20"/>
        </w:rPr>
        <w:t xml:space="preserve"> in regular assessment and had been assessed by Dept. SLP of the Revenue dismissed.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i/>
          <w:iCs/>
          <w:color w:val="221E1F"/>
          <w:sz w:val="20"/>
          <w:szCs w:val="20"/>
        </w:rPr>
        <w:t xml:space="preserve">CIT vs. Krishna Kumar R. </w:t>
      </w:r>
      <w:proofErr w:type="spellStart"/>
      <w:r w:rsidRPr="00712B43">
        <w:rPr>
          <w:rFonts w:ascii="Verdana" w:eastAsia="Times New Roman" w:hAnsi="Verdana" w:cs="Times New Roman"/>
          <w:bCs/>
          <w:i/>
          <w:iCs/>
          <w:color w:val="221E1F"/>
          <w:sz w:val="20"/>
          <w:szCs w:val="20"/>
        </w:rPr>
        <w:t>Parmar</w:t>
      </w:r>
      <w:proofErr w:type="spellEnd"/>
      <w:r w:rsidRPr="00712B43">
        <w:rPr>
          <w:rFonts w:ascii="Verdana" w:eastAsia="Times New Roman" w:hAnsi="Verdana" w:cs="Times New Roman"/>
          <w:bCs/>
          <w:i/>
          <w:iCs/>
          <w:color w:val="221E1F"/>
          <w:sz w:val="20"/>
          <w:szCs w:val="20"/>
        </w:rPr>
        <w:t xml:space="preserve"> (2010) 322 ITR (St.) 2 (SC)</w:t>
      </w:r>
    </w:p>
    <w:p w:rsidR="00712B43" w:rsidRPr="00712B43" w:rsidRDefault="009425D8" w:rsidP="00815C67">
      <w:pPr>
        <w:spacing w:before="100" w:beforeAutospacing="1" w:after="100" w:afterAutospacing="1" w:line="240" w:lineRule="auto"/>
        <w:jc w:val="both"/>
        <w:rPr>
          <w:rFonts w:ascii="Verdana" w:eastAsia="Times New Roman" w:hAnsi="Verdana" w:cs="Times New Roman"/>
          <w:b/>
          <w:bCs/>
          <w:color w:val="221E1F"/>
          <w:sz w:val="20"/>
          <w:szCs w:val="20"/>
        </w:rPr>
      </w:pPr>
      <w:r>
        <w:rPr>
          <w:rFonts w:ascii="Verdana" w:eastAsia="Times New Roman" w:hAnsi="Verdana" w:cs="Times New Roman"/>
          <w:b/>
          <w:bCs/>
          <w:color w:val="221E1F"/>
          <w:sz w:val="20"/>
          <w:szCs w:val="20"/>
        </w:rPr>
        <w:t xml:space="preserve">33: </w:t>
      </w:r>
      <w:r w:rsidR="00712B43" w:rsidRPr="00712B43">
        <w:rPr>
          <w:rFonts w:ascii="Verdana" w:eastAsia="Times New Roman" w:hAnsi="Verdana" w:cs="Times New Roman"/>
          <w:b/>
          <w:bCs/>
          <w:color w:val="221E1F"/>
          <w:sz w:val="20"/>
          <w:szCs w:val="20"/>
        </w:rPr>
        <w:t xml:space="preserve">S. 158BE – Block Assessment – Limitation – Last </w:t>
      </w:r>
      <w:proofErr w:type="spellStart"/>
      <w:r w:rsidR="00712B43" w:rsidRPr="00712B43">
        <w:rPr>
          <w:rFonts w:ascii="Verdana" w:eastAsia="Times New Roman" w:hAnsi="Verdana" w:cs="Times New Roman"/>
          <w:b/>
          <w:bCs/>
          <w:color w:val="221E1F"/>
          <w:sz w:val="20"/>
          <w:szCs w:val="20"/>
        </w:rPr>
        <w:t>Panchanama</w:t>
      </w:r>
      <w:proofErr w:type="spellEnd"/>
      <w:r w:rsidR="00712B43" w:rsidRPr="00712B43">
        <w:rPr>
          <w:rFonts w:ascii="Verdana" w:eastAsia="Times New Roman" w:hAnsi="Verdana" w:cs="Times New Roman"/>
          <w:b/>
          <w:bCs/>
          <w:color w:val="221E1F"/>
          <w:sz w:val="20"/>
          <w:szCs w:val="20"/>
        </w:rPr>
        <w:t xml:space="preserve">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Limitation starts from date of Last </w:t>
      </w:r>
      <w:proofErr w:type="spellStart"/>
      <w:r w:rsidRPr="00712B43">
        <w:rPr>
          <w:rFonts w:ascii="Verdana" w:eastAsia="Times New Roman" w:hAnsi="Verdana" w:cs="Times New Roman"/>
          <w:bCs/>
          <w:color w:val="221E1F"/>
          <w:sz w:val="20"/>
          <w:szCs w:val="20"/>
        </w:rPr>
        <w:t>Panchanama</w:t>
      </w:r>
      <w:proofErr w:type="spellEnd"/>
      <w:r w:rsidRPr="00712B43">
        <w:rPr>
          <w:rFonts w:ascii="Verdana" w:eastAsia="Times New Roman" w:hAnsi="Verdana" w:cs="Times New Roman"/>
          <w:bCs/>
          <w:color w:val="221E1F"/>
          <w:sz w:val="20"/>
          <w:szCs w:val="20"/>
        </w:rPr>
        <w:t xml:space="preserve"> and not from date till prohibitory order is in operation. </w:t>
      </w:r>
    </w:p>
    <w:p w:rsidR="00712B43" w:rsidRPr="00712B43" w:rsidRDefault="00712B43" w:rsidP="00815C67">
      <w:pPr>
        <w:spacing w:before="100" w:beforeAutospacing="1" w:after="100" w:afterAutospacing="1" w:line="240" w:lineRule="auto"/>
        <w:jc w:val="both"/>
        <w:rPr>
          <w:rFonts w:ascii="Verdana" w:eastAsia="Times New Roman" w:hAnsi="Verdana" w:cs="Times New Roman"/>
          <w:bCs/>
          <w:i/>
          <w:iCs/>
          <w:color w:val="221E1F"/>
          <w:sz w:val="20"/>
          <w:szCs w:val="20"/>
        </w:rPr>
      </w:pPr>
      <w:proofErr w:type="gramStart"/>
      <w:r w:rsidRPr="00712B43">
        <w:rPr>
          <w:rFonts w:ascii="Verdana" w:eastAsia="Times New Roman" w:hAnsi="Verdana" w:cs="Times New Roman"/>
          <w:bCs/>
          <w:i/>
          <w:iCs/>
          <w:color w:val="221E1F"/>
          <w:sz w:val="20"/>
          <w:szCs w:val="20"/>
        </w:rPr>
        <w:t xml:space="preserve">CIT vs. </w:t>
      </w:r>
      <w:proofErr w:type="spellStart"/>
      <w:r w:rsidRPr="00712B43">
        <w:rPr>
          <w:rFonts w:ascii="Verdana" w:eastAsia="Times New Roman" w:hAnsi="Verdana" w:cs="Times New Roman"/>
          <w:bCs/>
          <w:i/>
          <w:iCs/>
          <w:color w:val="221E1F"/>
          <w:sz w:val="20"/>
          <w:szCs w:val="20"/>
        </w:rPr>
        <w:t>Abolf</w:t>
      </w:r>
      <w:proofErr w:type="spellEnd"/>
      <w:r w:rsidRPr="00712B43">
        <w:rPr>
          <w:rFonts w:ascii="Verdana" w:eastAsia="Times New Roman" w:hAnsi="Verdana" w:cs="Times New Roman"/>
          <w:bCs/>
          <w:i/>
          <w:iCs/>
          <w:color w:val="221E1F"/>
          <w:sz w:val="20"/>
          <w:szCs w:val="20"/>
        </w:rPr>
        <w:t xml:space="preserve"> </w:t>
      </w:r>
      <w:proofErr w:type="spellStart"/>
      <w:r w:rsidRPr="00712B43">
        <w:rPr>
          <w:rFonts w:ascii="Verdana" w:eastAsia="Times New Roman" w:hAnsi="Verdana" w:cs="Times New Roman"/>
          <w:bCs/>
          <w:i/>
          <w:iCs/>
          <w:color w:val="221E1F"/>
          <w:sz w:val="20"/>
          <w:szCs w:val="20"/>
        </w:rPr>
        <w:t>Patric</w:t>
      </w:r>
      <w:proofErr w:type="spellEnd"/>
      <w:r w:rsidRPr="00712B43">
        <w:rPr>
          <w:rFonts w:ascii="Verdana" w:eastAsia="Times New Roman" w:hAnsi="Verdana" w:cs="Times New Roman"/>
          <w:bCs/>
          <w:i/>
          <w:iCs/>
          <w:color w:val="221E1F"/>
          <w:sz w:val="20"/>
          <w:szCs w:val="20"/>
        </w:rPr>
        <w:t xml:space="preserve"> Pinto.</w:t>
      </w:r>
      <w:proofErr w:type="gramEnd"/>
      <w:r w:rsidRPr="00712B43">
        <w:rPr>
          <w:rFonts w:ascii="Verdana" w:eastAsia="Times New Roman" w:hAnsi="Verdana" w:cs="Times New Roman"/>
          <w:bCs/>
          <w:i/>
          <w:iCs/>
          <w:color w:val="221E1F"/>
          <w:sz w:val="20"/>
          <w:szCs w:val="20"/>
        </w:rPr>
        <w:t xml:space="preserve"> SLP (C) No. 26625 of 2009, (2010) 322 ITR (St.) 3 (SC)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Editorial Note</w:t>
      </w:r>
      <w:proofErr w:type="gramStart"/>
      <w:r w:rsidRPr="00712B43">
        <w:rPr>
          <w:rFonts w:ascii="Verdana" w:eastAsia="Times New Roman" w:hAnsi="Verdana" w:cs="Times New Roman"/>
          <w:bCs/>
          <w:color w:val="221E1F"/>
          <w:sz w:val="20"/>
          <w:szCs w:val="20"/>
        </w:rPr>
        <w:t>:–</w:t>
      </w:r>
      <w:proofErr w:type="gramEnd"/>
      <w:r w:rsidRPr="00712B43">
        <w:rPr>
          <w:rFonts w:ascii="Verdana" w:eastAsia="Times New Roman" w:hAnsi="Verdana" w:cs="Times New Roman"/>
          <w:bCs/>
          <w:color w:val="221E1F"/>
          <w:sz w:val="20"/>
          <w:szCs w:val="20"/>
        </w:rPr>
        <w:t xml:space="preserve"> Tribunal order reported in 284 ITR (AT) 207 affirmed by Bombay H. C. Order ITA No. 856/2008 dated 5-9-2008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i/>
          <w:iCs/>
          <w:color w:val="221E1F"/>
          <w:sz w:val="20"/>
          <w:szCs w:val="20"/>
        </w:rPr>
        <w:t xml:space="preserve">CIT vs. </w:t>
      </w:r>
      <w:proofErr w:type="spellStart"/>
      <w:r w:rsidRPr="00712B43">
        <w:rPr>
          <w:rFonts w:ascii="Verdana" w:eastAsia="Times New Roman" w:hAnsi="Verdana" w:cs="Times New Roman"/>
          <w:bCs/>
          <w:i/>
          <w:iCs/>
          <w:color w:val="221E1F"/>
          <w:sz w:val="20"/>
          <w:szCs w:val="20"/>
        </w:rPr>
        <w:t>Ranjana</w:t>
      </w:r>
      <w:proofErr w:type="spellEnd"/>
      <w:r w:rsidRPr="00712B43">
        <w:rPr>
          <w:rFonts w:ascii="Verdana" w:eastAsia="Times New Roman" w:hAnsi="Verdana" w:cs="Times New Roman"/>
          <w:bCs/>
          <w:i/>
          <w:iCs/>
          <w:color w:val="221E1F"/>
          <w:sz w:val="20"/>
          <w:szCs w:val="20"/>
        </w:rPr>
        <w:t xml:space="preserve"> </w:t>
      </w:r>
      <w:proofErr w:type="spellStart"/>
      <w:r w:rsidRPr="00712B43">
        <w:rPr>
          <w:rFonts w:ascii="Verdana" w:eastAsia="Times New Roman" w:hAnsi="Verdana" w:cs="Times New Roman"/>
          <w:bCs/>
          <w:i/>
          <w:iCs/>
          <w:color w:val="221E1F"/>
          <w:sz w:val="20"/>
          <w:szCs w:val="20"/>
        </w:rPr>
        <w:t>Katyal</w:t>
      </w:r>
      <w:proofErr w:type="spellEnd"/>
      <w:r w:rsidRPr="00712B43">
        <w:rPr>
          <w:rFonts w:ascii="Verdana" w:eastAsia="Times New Roman" w:hAnsi="Verdana" w:cs="Times New Roman"/>
          <w:bCs/>
          <w:i/>
          <w:iCs/>
          <w:color w:val="221E1F"/>
          <w:sz w:val="20"/>
          <w:szCs w:val="20"/>
        </w:rPr>
        <w:t xml:space="preserve"> SLP (Civil) No. 683 of 2010, (2010) 322 ITR 4 (St.) (SC)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i/>
          <w:iCs/>
          <w:color w:val="221E1F"/>
          <w:sz w:val="20"/>
          <w:szCs w:val="20"/>
        </w:rPr>
        <w:t>CIT vs. White &amp; White Minerals (P) Ltd. SLP (C) No. 4356/2010, (2010) 322 ITR 4 (St.) (SC)</w:t>
      </w:r>
    </w:p>
    <w:p w:rsidR="00712B43" w:rsidRPr="00712B43" w:rsidRDefault="009425D8" w:rsidP="00815C67">
      <w:pPr>
        <w:spacing w:before="100" w:beforeAutospacing="1" w:after="100" w:afterAutospacing="1" w:line="240" w:lineRule="auto"/>
        <w:jc w:val="both"/>
        <w:rPr>
          <w:rFonts w:ascii="Verdana" w:eastAsia="Times New Roman" w:hAnsi="Verdana" w:cs="Times New Roman"/>
          <w:b/>
          <w:bCs/>
          <w:color w:val="221E1F"/>
          <w:sz w:val="20"/>
          <w:szCs w:val="20"/>
        </w:rPr>
      </w:pPr>
      <w:r>
        <w:rPr>
          <w:rFonts w:ascii="Verdana" w:eastAsia="Times New Roman" w:hAnsi="Verdana" w:cs="Times New Roman"/>
          <w:b/>
          <w:bCs/>
          <w:color w:val="221E1F"/>
          <w:sz w:val="20"/>
          <w:szCs w:val="20"/>
        </w:rPr>
        <w:t xml:space="preserve">34: </w:t>
      </w:r>
      <w:r w:rsidR="00712B43" w:rsidRPr="00712B43">
        <w:rPr>
          <w:rFonts w:ascii="Verdana" w:eastAsia="Times New Roman" w:hAnsi="Verdana" w:cs="Times New Roman"/>
          <w:b/>
          <w:bCs/>
          <w:color w:val="221E1F"/>
          <w:sz w:val="20"/>
          <w:szCs w:val="20"/>
        </w:rPr>
        <w:t xml:space="preserve">S. 244A – Tax Deducted at Source – Interest – Delayed Refund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Interest, which accrued to the </w:t>
      </w:r>
      <w:proofErr w:type="spellStart"/>
      <w:r w:rsidRPr="00712B43">
        <w:rPr>
          <w:rFonts w:ascii="Verdana" w:eastAsia="Times New Roman" w:hAnsi="Verdana" w:cs="Times New Roman"/>
          <w:bCs/>
          <w:color w:val="221E1F"/>
          <w:sz w:val="20"/>
          <w:szCs w:val="20"/>
        </w:rPr>
        <w:t>assessee</w:t>
      </w:r>
      <w:proofErr w:type="spellEnd"/>
      <w:r w:rsidRPr="00712B43">
        <w:rPr>
          <w:rFonts w:ascii="Verdana" w:eastAsia="Times New Roman" w:hAnsi="Verdana" w:cs="Times New Roman"/>
          <w:bCs/>
          <w:color w:val="221E1F"/>
          <w:sz w:val="20"/>
          <w:szCs w:val="20"/>
        </w:rPr>
        <w:t xml:space="preserve"> for non-refund of TDS, </w:t>
      </w:r>
      <w:proofErr w:type="gramStart"/>
      <w:r w:rsidRPr="00712B43">
        <w:rPr>
          <w:rFonts w:ascii="Verdana" w:eastAsia="Times New Roman" w:hAnsi="Verdana" w:cs="Times New Roman"/>
          <w:bCs/>
          <w:color w:val="221E1F"/>
          <w:sz w:val="20"/>
          <w:szCs w:val="20"/>
        </w:rPr>
        <w:t>partook</w:t>
      </w:r>
      <w:proofErr w:type="gramEnd"/>
      <w:r w:rsidRPr="00712B43">
        <w:rPr>
          <w:rFonts w:ascii="Verdana" w:eastAsia="Times New Roman" w:hAnsi="Verdana" w:cs="Times New Roman"/>
          <w:bCs/>
          <w:color w:val="221E1F"/>
          <w:sz w:val="20"/>
          <w:szCs w:val="20"/>
        </w:rPr>
        <w:t xml:space="preserve"> the character of the "amount due" under section 244A and became an integral part of the principal amount which was not refunded after it became due and payable and therefore </w:t>
      </w:r>
      <w:proofErr w:type="spellStart"/>
      <w:r w:rsidRPr="00712B43">
        <w:rPr>
          <w:rFonts w:ascii="Verdana" w:eastAsia="Times New Roman" w:hAnsi="Verdana" w:cs="Times New Roman"/>
          <w:bCs/>
          <w:color w:val="221E1F"/>
          <w:sz w:val="20"/>
          <w:szCs w:val="20"/>
        </w:rPr>
        <w:t>assessee</w:t>
      </w:r>
      <w:proofErr w:type="spellEnd"/>
      <w:r w:rsidRPr="00712B43">
        <w:rPr>
          <w:rFonts w:ascii="Verdana" w:eastAsia="Times New Roman" w:hAnsi="Verdana" w:cs="Times New Roman"/>
          <w:bCs/>
          <w:color w:val="221E1F"/>
          <w:sz w:val="20"/>
          <w:szCs w:val="20"/>
        </w:rPr>
        <w:t xml:space="preserve"> was entitled to interest on delayed refund of TDS.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i/>
          <w:iCs/>
          <w:color w:val="221E1F"/>
          <w:sz w:val="20"/>
          <w:szCs w:val="20"/>
        </w:rPr>
        <w:t>CIT vs. H.E.G. Ltd. (2010) 33 DTR 304 (SC) / (2010) 228 CTR 495 (SC)</w:t>
      </w:r>
    </w:p>
    <w:p w:rsidR="00712B43" w:rsidRPr="00712B43" w:rsidRDefault="009425D8" w:rsidP="00815C67">
      <w:pPr>
        <w:spacing w:before="100" w:beforeAutospacing="1" w:after="100" w:afterAutospacing="1" w:line="240" w:lineRule="auto"/>
        <w:jc w:val="both"/>
        <w:rPr>
          <w:rFonts w:ascii="Verdana" w:eastAsia="Times New Roman" w:hAnsi="Verdana" w:cs="Times New Roman"/>
          <w:b/>
          <w:bCs/>
          <w:color w:val="221E1F"/>
          <w:sz w:val="20"/>
          <w:szCs w:val="20"/>
        </w:rPr>
      </w:pPr>
      <w:r>
        <w:rPr>
          <w:rFonts w:ascii="Verdana" w:eastAsia="Times New Roman" w:hAnsi="Verdana" w:cs="Times New Roman"/>
          <w:b/>
          <w:bCs/>
          <w:color w:val="221E1F"/>
          <w:sz w:val="20"/>
          <w:szCs w:val="20"/>
        </w:rPr>
        <w:t xml:space="preserve">35: </w:t>
      </w:r>
      <w:r w:rsidR="00712B43" w:rsidRPr="00712B43">
        <w:rPr>
          <w:rFonts w:ascii="Verdana" w:eastAsia="Times New Roman" w:hAnsi="Verdana" w:cs="Times New Roman"/>
          <w:b/>
          <w:bCs/>
          <w:color w:val="221E1F"/>
          <w:sz w:val="20"/>
          <w:szCs w:val="20"/>
        </w:rPr>
        <w:t>S. 271(1</w:t>
      </w:r>
      <w:proofErr w:type="gramStart"/>
      <w:r w:rsidR="00712B43" w:rsidRPr="00712B43">
        <w:rPr>
          <w:rFonts w:ascii="Verdana" w:eastAsia="Times New Roman" w:hAnsi="Verdana" w:cs="Times New Roman"/>
          <w:b/>
          <w:bCs/>
          <w:color w:val="221E1F"/>
          <w:sz w:val="20"/>
          <w:szCs w:val="20"/>
        </w:rPr>
        <w:t>)(</w:t>
      </w:r>
      <w:proofErr w:type="gramEnd"/>
      <w:r w:rsidR="00712B43" w:rsidRPr="00712B43">
        <w:rPr>
          <w:rFonts w:ascii="Verdana" w:eastAsia="Times New Roman" w:hAnsi="Verdana" w:cs="Times New Roman"/>
          <w:b/>
          <w:bCs/>
          <w:color w:val="221E1F"/>
          <w:sz w:val="20"/>
          <w:szCs w:val="20"/>
        </w:rPr>
        <w:t xml:space="preserve">c) – Penalty – Concealment – Unsustainable Claims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Mere making of a claim not maintainable in law, will not amount to furnishing of inaccurate particulars.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lastRenderedPageBreak/>
        <w:t xml:space="preserve">Merely because the </w:t>
      </w:r>
      <w:proofErr w:type="spellStart"/>
      <w:r w:rsidRPr="00712B43">
        <w:rPr>
          <w:rFonts w:ascii="Verdana" w:eastAsia="Times New Roman" w:hAnsi="Verdana" w:cs="Times New Roman"/>
          <w:bCs/>
          <w:color w:val="221E1F"/>
          <w:sz w:val="20"/>
          <w:szCs w:val="20"/>
        </w:rPr>
        <w:t>assessee</w:t>
      </w:r>
      <w:proofErr w:type="spellEnd"/>
      <w:r w:rsidRPr="00712B43">
        <w:rPr>
          <w:rFonts w:ascii="Verdana" w:eastAsia="Times New Roman" w:hAnsi="Verdana" w:cs="Times New Roman"/>
          <w:bCs/>
          <w:color w:val="221E1F"/>
          <w:sz w:val="20"/>
          <w:szCs w:val="20"/>
        </w:rPr>
        <w:t xml:space="preserve"> claimed deduction of interest expenditure which has not been accepted by the Revenue, penalty under section 271(1)(c) is not attracted; mere making of the claim, which is not maintainable in law, by itself, will not amount to furnishing inaccurate particulars regarding the income of the </w:t>
      </w:r>
      <w:proofErr w:type="spellStart"/>
      <w:r w:rsidRPr="00712B43">
        <w:rPr>
          <w:rFonts w:ascii="Verdana" w:eastAsia="Times New Roman" w:hAnsi="Verdana" w:cs="Times New Roman"/>
          <w:b/>
          <w:bCs/>
          <w:color w:val="221E1F"/>
          <w:sz w:val="20"/>
          <w:szCs w:val="20"/>
        </w:rPr>
        <w:t>assessee</w:t>
      </w:r>
      <w:proofErr w:type="spellEnd"/>
      <w:r w:rsidRPr="00712B43">
        <w:rPr>
          <w:rFonts w:ascii="Verdana" w:eastAsia="Times New Roman" w:hAnsi="Verdana" w:cs="Times New Roman"/>
          <w:b/>
          <w:bCs/>
          <w:color w:val="221E1F"/>
          <w:sz w:val="20"/>
          <w:szCs w:val="20"/>
        </w:rPr>
        <w:t xml:space="preserve">. </w:t>
      </w:r>
    </w:p>
    <w:p w:rsidR="00712B43" w:rsidRPr="00712B43" w:rsidRDefault="00712B43" w:rsidP="00815C67">
      <w:pPr>
        <w:spacing w:before="100"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i/>
          <w:iCs/>
          <w:color w:val="221E1F"/>
          <w:sz w:val="20"/>
          <w:szCs w:val="20"/>
        </w:rPr>
        <w:t xml:space="preserve">CIT vs. Reliance </w:t>
      </w:r>
      <w:proofErr w:type="spellStart"/>
      <w:r w:rsidRPr="00712B43">
        <w:rPr>
          <w:rFonts w:ascii="Verdana" w:eastAsia="Times New Roman" w:hAnsi="Verdana" w:cs="Times New Roman"/>
          <w:bCs/>
          <w:i/>
          <w:iCs/>
          <w:color w:val="221E1F"/>
          <w:sz w:val="20"/>
          <w:szCs w:val="20"/>
        </w:rPr>
        <w:t>Petroproducts</w:t>
      </w:r>
      <w:proofErr w:type="spellEnd"/>
      <w:r w:rsidRPr="00712B43">
        <w:rPr>
          <w:rFonts w:ascii="Verdana" w:eastAsia="Times New Roman" w:hAnsi="Verdana" w:cs="Times New Roman"/>
          <w:bCs/>
          <w:i/>
          <w:iCs/>
          <w:color w:val="221E1F"/>
          <w:sz w:val="20"/>
          <w:szCs w:val="20"/>
        </w:rPr>
        <w:t xml:space="preserve"> (P) Ltd. (2010) 36 DTR 449 (SC) / (2010) 322 ITR 158 (SC)</w:t>
      </w:r>
    </w:p>
    <w:p w:rsidR="00712B43" w:rsidRPr="00712B43" w:rsidRDefault="009425D8" w:rsidP="00815C67">
      <w:pPr>
        <w:spacing w:before="100" w:beforeAutospacing="1" w:after="100" w:afterAutospacing="1" w:line="240" w:lineRule="auto"/>
        <w:jc w:val="both"/>
        <w:rPr>
          <w:rFonts w:ascii="Verdana" w:eastAsia="Times New Roman" w:hAnsi="Verdana" w:cs="Times New Roman"/>
          <w:b/>
          <w:bCs/>
          <w:color w:val="221E1F"/>
          <w:sz w:val="20"/>
          <w:szCs w:val="20"/>
        </w:rPr>
      </w:pPr>
      <w:r>
        <w:rPr>
          <w:rFonts w:ascii="Verdana" w:eastAsia="Times New Roman" w:hAnsi="Verdana" w:cs="Times New Roman"/>
          <w:b/>
          <w:bCs/>
          <w:color w:val="221E1F"/>
          <w:sz w:val="20"/>
          <w:szCs w:val="20"/>
        </w:rPr>
        <w:t xml:space="preserve">36: </w:t>
      </w:r>
      <w:r w:rsidR="00712B43" w:rsidRPr="00712B43">
        <w:rPr>
          <w:rFonts w:ascii="Verdana" w:eastAsia="Times New Roman" w:hAnsi="Verdana" w:cs="Times New Roman"/>
          <w:b/>
          <w:bCs/>
          <w:color w:val="221E1F"/>
          <w:sz w:val="20"/>
          <w:szCs w:val="20"/>
        </w:rPr>
        <w:t xml:space="preserve">S. 2(7) – Interest Tax Act – Loans &amp; Advances </w:t>
      </w:r>
    </w:p>
    <w:p w:rsidR="00712B43" w:rsidRPr="00712B43" w:rsidRDefault="00712B43" w:rsidP="00815C67">
      <w:pPr>
        <w:spacing w:beforeAutospacing="1" w:after="100" w:afterAutospacing="1" w:line="240" w:lineRule="auto"/>
        <w:jc w:val="both"/>
        <w:rPr>
          <w:rFonts w:ascii="Times New Roman" w:eastAsia="Times New Roman" w:hAnsi="Times New Roman" w:cs="Times New Roman"/>
          <w:sz w:val="24"/>
          <w:szCs w:val="24"/>
        </w:rPr>
      </w:pPr>
      <w:r w:rsidRPr="00712B43">
        <w:rPr>
          <w:rFonts w:ascii="Verdana" w:eastAsia="Times New Roman" w:hAnsi="Verdana" w:cs="Times New Roman"/>
          <w:bCs/>
          <w:color w:val="221E1F"/>
          <w:sz w:val="20"/>
          <w:szCs w:val="20"/>
        </w:rPr>
        <w:t xml:space="preserve">The Supreme Court held that for the purpose of Interest-tax Act, 1974, interest on loans and advances will not cover under section 2(7) interest on bonds and debentures bought by the </w:t>
      </w:r>
      <w:proofErr w:type="spellStart"/>
      <w:r w:rsidRPr="00712B43">
        <w:rPr>
          <w:rFonts w:ascii="Verdana" w:eastAsia="Times New Roman" w:hAnsi="Verdana" w:cs="Times New Roman"/>
          <w:bCs/>
          <w:color w:val="221E1F"/>
          <w:sz w:val="20"/>
          <w:szCs w:val="20"/>
        </w:rPr>
        <w:t>assessee</w:t>
      </w:r>
      <w:proofErr w:type="spellEnd"/>
      <w:r w:rsidRPr="00712B43">
        <w:rPr>
          <w:rFonts w:ascii="Verdana" w:eastAsia="Times New Roman" w:hAnsi="Verdana" w:cs="Times New Roman"/>
          <w:bCs/>
          <w:color w:val="221E1F"/>
          <w:sz w:val="20"/>
          <w:szCs w:val="20"/>
        </w:rPr>
        <w:t xml:space="preserve"> as and by way of investment. </w:t>
      </w:r>
    </w:p>
    <w:p w:rsidR="00712B43" w:rsidRPr="00712B43" w:rsidRDefault="00712B43" w:rsidP="00815C67">
      <w:pPr>
        <w:spacing w:before="100" w:beforeAutospacing="1" w:after="100" w:afterAutospacing="1" w:line="240" w:lineRule="auto"/>
        <w:jc w:val="both"/>
        <w:rPr>
          <w:rFonts w:ascii="Verdana" w:eastAsia="Times New Roman" w:hAnsi="Verdana" w:cs="Times New Roman"/>
          <w:bCs/>
          <w:i/>
          <w:iCs/>
          <w:color w:val="221E1F"/>
          <w:sz w:val="20"/>
          <w:szCs w:val="20"/>
        </w:rPr>
      </w:pPr>
      <w:r w:rsidRPr="00712B43">
        <w:rPr>
          <w:rFonts w:ascii="Verdana" w:eastAsia="Times New Roman" w:hAnsi="Verdana" w:cs="Times New Roman"/>
          <w:bCs/>
          <w:i/>
          <w:iCs/>
          <w:color w:val="221E1F"/>
          <w:sz w:val="20"/>
          <w:szCs w:val="20"/>
        </w:rPr>
        <w:t>CIT vs. Sahara India Savings and Investment Corporation Ltd. (2010) 321 ITR 371 (SC)</w:t>
      </w:r>
    </w:p>
    <w:p w:rsidR="0037540A" w:rsidRDefault="0037540A" w:rsidP="00815C67">
      <w:pPr>
        <w:pStyle w:val="NormalWeb"/>
        <w:jc w:val="both"/>
      </w:pPr>
      <w:r>
        <w:rPr>
          <w:rFonts w:ascii="Verdana" w:hAnsi="Verdana"/>
          <w:b/>
          <w:bCs/>
          <w:sz w:val="20"/>
          <w:szCs w:val="20"/>
        </w:rPr>
        <w:t>37. Accounts – Valuation of Stock – S. 145</w:t>
      </w:r>
    </w:p>
    <w:p w:rsidR="0037540A" w:rsidRDefault="0037540A" w:rsidP="00815C67">
      <w:pPr>
        <w:pStyle w:val="NormalWeb"/>
        <w:jc w:val="both"/>
      </w:pPr>
      <w:r>
        <w:rPr>
          <w:rFonts w:ascii="Verdana" w:hAnsi="Verdana"/>
          <w:sz w:val="20"/>
          <w:szCs w:val="20"/>
        </w:rPr>
        <w:t xml:space="preserve">Closing stock of the earlier year has to form the opening stock of the next accounting year. </w:t>
      </w:r>
    </w:p>
    <w:p w:rsidR="0037540A" w:rsidRDefault="0037540A" w:rsidP="00815C67">
      <w:pPr>
        <w:pStyle w:val="NormalWeb"/>
        <w:jc w:val="both"/>
      </w:pPr>
      <w:r>
        <w:rPr>
          <w:rFonts w:ascii="Verdana" w:hAnsi="Verdana"/>
          <w:i/>
          <w:iCs/>
          <w:sz w:val="20"/>
          <w:szCs w:val="20"/>
        </w:rPr>
        <w:t>V.K.J. Builders and Contractors P. Ltd. vs. CIT (2009) 318 ITR 204 (SC)</w:t>
      </w:r>
    </w:p>
    <w:p w:rsidR="0037540A" w:rsidRDefault="0037540A" w:rsidP="00815C67">
      <w:pPr>
        <w:pStyle w:val="NormalWeb"/>
        <w:jc w:val="both"/>
      </w:pPr>
      <w:r>
        <w:rPr>
          <w:rFonts w:ascii="Verdana" w:hAnsi="Verdana"/>
          <w:b/>
          <w:bCs/>
          <w:sz w:val="20"/>
          <w:szCs w:val="20"/>
        </w:rPr>
        <w:t>38. Alternate Dispute Mechanism – S. 144C</w:t>
      </w:r>
    </w:p>
    <w:p w:rsidR="0037540A" w:rsidRDefault="0037540A" w:rsidP="00815C67">
      <w:pPr>
        <w:pStyle w:val="NormalWeb"/>
        <w:jc w:val="both"/>
      </w:pPr>
      <w:r>
        <w:rPr>
          <w:rFonts w:ascii="Verdana" w:hAnsi="Verdana"/>
          <w:sz w:val="20"/>
          <w:szCs w:val="20"/>
        </w:rPr>
        <w:t xml:space="preserve">Parties are advised to resort to Alternate Dispute Resolution Mechanism suggested in section 144C; competent authority is directed not to reject the application herein made by the </w:t>
      </w:r>
      <w:proofErr w:type="spellStart"/>
      <w:r>
        <w:rPr>
          <w:rFonts w:ascii="Verdana" w:hAnsi="Verdana"/>
          <w:sz w:val="20"/>
          <w:szCs w:val="20"/>
        </w:rPr>
        <w:t>assessee</w:t>
      </w:r>
      <w:proofErr w:type="spellEnd"/>
      <w:r>
        <w:rPr>
          <w:rFonts w:ascii="Verdana" w:hAnsi="Verdana"/>
          <w:sz w:val="20"/>
          <w:szCs w:val="20"/>
        </w:rPr>
        <w:t xml:space="preserve"> on the ground that the proposal has come before the </w:t>
      </w:r>
      <w:r>
        <w:rPr>
          <w:rFonts w:ascii="Verdana" w:hAnsi="Verdana"/>
          <w:sz w:val="20"/>
          <w:szCs w:val="20"/>
        </w:rPr>
        <w:br/>
        <w:t>cut-off date and to decide the matter notwithstanding the pendency of the appeal before the CIT (A).</w:t>
      </w:r>
    </w:p>
    <w:p w:rsidR="0037540A" w:rsidRDefault="0037540A" w:rsidP="00815C67">
      <w:pPr>
        <w:pStyle w:val="NormalWeb"/>
        <w:jc w:val="both"/>
      </w:pPr>
      <w:r>
        <w:rPr>
          <w:rFonts w:ascii="Verdana" w:hAnsi="Verdana"/>
          <w:i/>
          <w:iCs/>
          <w:sz w:val="20"/>
          <w:szCs w:val="20"/>
        </w:rPr>
        <w:t>Addl. CIT vs. HCL Technologies (2009) 225 CTR 356 (SC)</w:t>
      </w:r>
    </w:p>
    <w:p w:rsidR="0037540A" w:rsidRDefault="0037540A" w:rsidP="00815C67">
      <w:pPr>
        <w:pStyle w:val="NormalWeb"/>
        <w:jc w:val="both"/>
      </w:pPr>
      <w:r>
        <w:rPr>
          <w:rFonts w:ascii="Verdana" w:hAnsi="Verdana"/>
          <w:b/>
          <w:bCs/>
          <w:sz w:val="20"/>
          <w:szCs w:val="20"/>
        </w:rPr>
        <w:t>39. Block assessment – Limitation – S. 158BE</w:t>
      </w:r>
    </w:p>
    <w:p w:rsidR="0037540A" w:rsidRDefault="0037540A" w:rsidP="00815C67">
      <w:pPr>
        <w:pStyle w:val="NormalWeb"/>
        <w:jc w:val="both"/>
      </w:pPr>
      <w:r>
        <w:rPr>
          <w:rFonts w:ascii="Verdana" w:hAnsi="Verdana"/>
          <w:sz w:val="20"/>
          <w:szCs w:val="20"/>
        </w:rPr>
        <w:t xml:space="preserve">Last valid </w:t>
      </w:r>
      <w:proofErr w:type="spellStart"/>
      <w:r>
        <w:rPr>
          <w:rFonts w:ascii="Verdana" w:hAnsi="Verdana"/>
          <w:sz w:val="20"/>
          <w:szCs w:val="20"/>
        </w:rPr>
        <w:t>panchnama</w:t>
      </w:r>
      <w:proofErr w:type="spellEnd"/>
      <w:r>
        <w:rPr>
          <w:rFonts w:ascii="Verdana" w:hAnsi="Verdana"/>
          <w:sz w:val="20"/>
          <w:szCs w:val="20"/>
        </w:rPr>
        <w:t xml:space="preserve"> has been drawn on August 7, 1996, the date on which seizure was made and therefore, the assessment proceedings ought to have been completed before August 30, 1997. The Tribunal held that the last </w:t>
      </w:r>
      <w:proofErr w:type="spellStart"/>
      <w:r>
        <w:rPr>
          <w:rFonts w:ascii="Verdana" w:hAnsi="Verdana"/>
          <w:sz w:val="20"/>
          <w:szCs w:val="20"/>
        </w:rPr>
        <w:t>Panchanama</w:t>
      </w:r>
      <w:proofErr w:type="spellEnd"/>
      <w:r>
        <w:rPr>
          <w:rFonts w:ascii="Verdana" w:hAnsi="Verdana"/>
          <w:sz w:val="20"/>
          <w:szCs w:val="20"/>
        </w:rPr>
        <w:t xml:space="preserve"> </w:t>
      </w:r>
      <w:proofErr w:type="spellStart"/>
      <w:proofErr w:type="gramStart"/>
      <w:r>
        <w:rPr>
          <w:rFonts w:ascii="Verdana" w:hAnsi="Verdana"/>
          <w:sz w:val="20"/>
          <w:szCs w:val="20"/>
        </w:rPr>
        <w:t>dt</w:t>
      </w:r>
      <w:proofErr w:type="spellEnd"/>
      <w:proofErr w:type="gramEnd"/>
      <w:r>
        <w:rPr>
          <w:rFonts w:ascii="Verdana" w:hAnsi="Verdana"/>
          <w:sz w:val="20"/>
          <w:szCs w:val="20"/>
        </w:rPr>
        <w:t xml:space="preserve">. 10th October, 1996, drawn after conclusion of search was not valid as no seizure was made on that date. [ITA No 904 of 2007 </w:t>
      </w:r>
      <w:r>
        <w:rPr>
          <w:rFonts w:ascii="Verdana" w:hAnsi="Verdana"/>
          <w:sz w:val="20"/>
          <w:szCs w:val="20"/>
        </w:rPr>
        <w:br/>
      </w:r>
      <w:proofErr w:type="spellStart"/>
      <w:proofErr w:type="gramStart"/>
      <w:r>
        <w:rPr>
          <w:rFonts w:ascii="Verdana" w:hAnsi="Verdana"/>
          <w:sz w:val="20"/>
          <w:szCs w:val="20"/>
        </w:rPr>
        <w:t>dt</w:t>
      </w:r>
      <w:proofErr w:type="spellEnd"/>
      <w:proofErr w:type="gramEnd"/>
      <w:r>
        <w:rPr>
          <w:rFonts w:ascii="Verdana" w:hAnsi="Verdana"/>
          <w:sz w:val="20"/>
          <w:szCs w:val="20"/>
        </w:rPr>
        <w:t>. 1-7-2008 (</w:t>
      </w:r>
      <w:proofErr w:type="spellStart"/>
      <w:r>
        <w:rPr>
          <w:rFonts w:ascii="Verdana" w:hAnsi="Verdana"/>
          <w:sz w:val="20"/>
          <w:szCs w:val="20"/>
        </w:rPr>
        <w:t>Kar</w:t>
      </w:r>
      <w:proofErr w:type="spellEnd"/>
      <w:r>
        <w:rPr>
          <w:rFonts w:ascii="Verdana" w:hAnsi="Verdana"/>
          <w:sz w:val="20"/>
          <w:szCs w:val="20"/>
        </w:rPr>
        <w:t>.)]</w:t>
      </w:r>
    </w:p>
    <w:p w:rsidR="0037540A" w:rsidRDefault="0037540A" w:rsidP="00815C67">
      <w:pPr>
        <w:pStyle w:val="NormalWeb"/>
        <w:jc w:val="both"/>
      </w:pPr>
      <w:proofErr w:type="gramStart"/>
      <w:r>
        <w:rPr>
          <w:rFonts w:ascii="Verdana" w:hAnsi="Verdana"/>
          <w:i/>
          <w:iCs/>
          <w:sz w:val="20"/>
          <w:szCs w:val="20"/>
        </w:rPr>
        <w:t>CIT vs. Children’s Education Society.</w:t>
      </w:r>
      <w:proofErr w:type="gramEnd"/>
      <w:r>
        <w:rPr>
          <w:rFonts w:ascii="Verdana" w:hAnsi="Verdana"/>
          <w:i/>
          <w:iCs/>
          <w:sz w:val="20"/>
          <w:szCs w:val="20"/>
        </w:rPr>
        <w:t xml:space="preserve"> </w:t>
      </w:r>
      <w:proofErr w:type="gramStart"/>
      <w:r>
        <w:rPr>
          <w:rFonts w:ascii="Verdana" w:hAnsi="Verdana"/>
          <w:i/>
          <w:iCs/>
          <w:sz w:val="20"/>
          <w:szCs w:val="20"/>
        </w:rPr>
        <w:t>(2009) 319 ITR 2 (St).</w:t>
      </w:r>
      <w:proofErr w:type="gramEnd"/>
    </w:p>
    <w:p w:rsidR="0037540A" w:rsidRDefault="0037540A" w:rsidP="00815C67">
      <w:pPr>
        <w:pStyle w:val="NormalWeb"/>
        <w:jc w:val="both"/>
      </w:pPr>
      <w:r>
        <w:rPr>
          <w:rFonts w:ascii="Verdana" w:hAnsi="Verdana"/>
          <w:sz w:val="20"/>
          <w:szCs w:val="20"/>
        </w:rPr>
        <w:t>Editorial Note</w:t>
      </w:r>
      <w:proofErr w:type="gramStart"/>
      <w:r>
        <w:rPr>
          <w:rFonts w:ascii="Verdana" w:hAnsi="Verdana"/>
          <w:sz w:val="20"/>
          <w:szCs w:val="20"/>
        </w:rPr>
        <w:t>:-</w:t>
      </w:r>
      <w:proofErr w:type="gramEnd"/>
      <w:r>
        <w:rPr>
          <w:rFonts w:ascii="Verdana" w:hAnsi="Verdana"/>
          <w:sz w:val="20"/>
          <w:szCs w:val="20"/>
        </w:rPr>
        <w:t xml:space="preserve"> See (a) S. K. </w:t>
      </w:r>
      <w:proofErr w:type="spellStart"/>
      <w:r>
        <w:rPr>
          <w:rFonts w:ascii="Verdana" w:hAnsi="Verdana"/>
          <w:sz w:val="20"/>
          <w:szCs w:val="20"/>
        </w:rPr>
        <w:t>Katyal</w:t>
      </w:r>
      <w:proofErr w:type="spellEnd"/>
      <w:r>
        <w:rPr>
          <w:rFonts w:ascii="Verdana" w:hAnsi="Verdana"/>
          <w:sz w:val="20"/>
          <w:szCs w:val="20"/>
        </w:rPr>
        <w:t xml:space="preserve"> (2008) 16 DTR 285 (Del.) / (b) CIT vs. </w:t>
      </w:r>
      <w:proofErr w:type="spellStart"/>
      <w:r>
        <w:rPr>
          <w:rFonts w:ascii="Verdana" w:hAnsi="Verdana"/>
          <w:sz w:val="20"/>
          <w:szCs w:val="20"/>
        </w:rPr>
        <w:t>Plastika</w:t>
      </w:r>
      <w:proofErr w:type="spellEnd"/>
      <w:r>
        <w:rPr>
          <w:rFonts w:ascii="Verdana" w:hAnsi="Verdana"/>
          <w:sz w:val="20"/>
          <w:szCs w:val="20"/>
        </w:rPr>
        <w:t xml:space="preserve"> Enterprises (2009) 23 DTR 333 (</w:t>
      </w:r>
      <w:proofErr w:type="spellStart"/>
      <w:r>
        <w:rPr>
          <w:rFonts w:ascii="Verdana" w:hAnsi="Verdana"/>
          <w:sz w:val="20"/>
          <w:szCs w:val="20"/>
        </w:rPr>
        <w:t>Bom</w:t>
      </w:r>
      <w:proofErr w:type="spellEnd"/>
      <w:r>
        <w:rPr>
          <w:rFonts w:ascii="Verdana" w:hAnsi="Verdana"/>
          <w:sz w:val="20"/>
          <w:szCs w:val="20"/>
        </w:rPr>
        <w:t xml:space="preserve">.) / (c) </w:t>
      </w:r>
      <w:proofErr w:type="spellStart"/>
      <w:r>
        <w:rPr>
          <w:rFonts w:ascii="Verdana" w:hAnsi="Verdana"/>
          <w:sz w:val="20"/>
          <w:szCs w:val="20"/>
        </w:rPr>
        <w:t>Nandlal</w:t>
      </w:r>
      <w:proofErr w:type="spellEnd"/>
      <w:r>
        <w:rPr>
          <w:rFonts w:ascii="Verdana" w:hAnsi="Verdana"/>
          <w:sz w:val="20"/>
          <w:szCs w:val="20"/>
        </w:rPr>
        <w:t xml:space="preserve"> M. Gandhi vs. ACIT (2008) 115 ITD 1 (Mum.) (TM)</w:t>
      </w:r>
    </w:p>
    <w:p w:rsidR="0037540A" w:rsidRDefault="0037540A" w:rsidP="00815C67">
      <w:pPr>
        <w:pStyle w:val="NormalWeb"/>
        <w:jc w:val="both"/>
      </w:pPr>
      <w:r>
        <w:rPr>
          <w:rFonts w:ascii="Verdana" w:hAnsi="Verdana"/>
          <w:b/>
          <w:bCs/>
          <w:sz w:val="20"/>
          <w:szCs w:val="20"/>
        </w:rPr>
        <w:t>40. Business expenditure – Contribution to provident fund -Deduction on actual payment - S. 43B</w:t>
      </w:r>
    </w:p>
    <w:p w:rsidR="0037540A" w:rsidRDefault="0037540A" w:rsidP="00815C67">
      <w:pPr>
        <w:pStyle w:val="NormalWeb"/>
        <w:jc w:val="both"/>
      </w:pPr>
      <w:proofErr w:type="gramStart"/>
      <w:r>
        <w:rPr>
          <w:rFonts w:ascii="Verdana" w:hAnsi="Verdana"/>
          <w:sz w:val="20"/>
          <w:szCs w:val="20"/>
        </w:rPr>
        <w:lastRenderedPageBreak/>
        <w:t>Contribution to provident fund, made before due date of filing of return allowable as deduction.</w:t>
      </w:r>
      <w:proofErr w:type="gramEnd"/>
      <w:r>
        <w:rPr>
          <w:rFonts w:ascii="Verdana" w:hAnsi="Verdana"/>
          <w:sz w:val="20"/>
          <w:szCs w:val="20"/>
        </w:rPr>
        <w:t xml:space="preserve"> The deletion of the second proviso to section 43B, and the amendment to the first proviso, by the Finance Act, 2003 was to overcome implementation problems. Consequently, the amendments, though made applicable by Parliament only with effect from 1-4-2004, were curative in nature and would apply retrospectively </w:t>
      </w:r>
      <w:proofErr w:type="spellStart"/>
      <w:r>
        <w:rPr>
          <w:rFonts w:ascii="Verdana" w:hAnsi="Verdana"/>
          <w:sz w:val="20"/>
          <w:szCs w:val="20"/>
        </w:rPr>
        <w:t>w.e.f</w:t>
      </w:r>
      <w:proofErr w:type="spellEnd"/>
      <w:r>
        <w:rPr>
          <w:rFonts w:ascii="Verdana" w:hAnsi="Verdana"/>
          <w:sz w:val="20"/>
          <w:szCs w:val="20"/>
        </w:rPr>
        <w:t>. 1-4-1988.</w:t>
      </w:r>
    </w:p>
    <w:p w:rsidR="0037540A" w:rsidRDefault="0037540A" w:rsidP="00815C67">
      <w:pPr>
        <w:pStyle w:val="NormalWeb"/>
        <w:jc w:val="both"/>
      </w:pPr>
      <w:r>
        <w:rPr>
          <w:rFonts w:ascii="Verdana" w:hAnsi="Verdana"/>
          <w:i/>
          <w:iCs/>
          <w:sz w:val="20"/>
          <w:szCs w:val="20"/>
        </w:rPr>
        <w:t xml:space="preserve">CIT vs. </w:t>
      </w:r>
      <w:proofErr w:type="spellStart"/>
      <w:r>
        <w:rPr>
          <w:rFonts w:ascii="Verdana" w:hAnsi="Verdana"/>
          <w:i/>
          <w:iCs/>
          <w:sz w:val="20"/>
          <w:szCs w:val="20"/>
        </w:rPr>
        <w:t>Alom</w:t>
      </w:r>
      <w:proofErr w:type="spellEnd"/>
      <w:r>
        <w:rPr>
          <w:rFonts w:ascii="Verdana" w:hAnsi="Verdana"/>
          <w:i/>
          <w:iCs/>
          <w:sz w:val="20"/>
          <w:szCs w:val="20"/>
        </w:rPr>
        <w:t xml:space="preserve"> Extrusions Ltd. (2009) 319 ITR 306 (SC) / (2009) 185 Taxman 416 (SC) </w:t>
      </w:r>
    </w:p>
    <w:p w:rsidR="0037540A" w:rsidRDefault="0037540A" w:rsidP="00815C67">
      <w:pPr>
        <w:pStyle w:val="NormalWeb"/>
        <w:jc w:val="both"/>
      </w:pPr>
      <w:r>
        <w:rPr>
          <w:rFonts w:ascii="Verdana" w:hAnsi="Verdana"/>
          <w:sz w:val="20"/>
          <w:szCs w:val="20"/>
        </w:rPr>
        <w:t>Editorial Note</w:t>
      </w:r>
      <w:proofErr w:type="gramStart"/>
      <w:r>
        <w:rPr>
          <w:rFonts w:ascii="Verdana" w:hAnsi="Verdana"/>
          <w:sz w:val="20"/>
          <w:szCs w:val="20"/>
        </w:rPr>
        <w:t>:-</w:t>
      </w:r>
      <w:proofErr w:type="gramEnd"/>
      <w:r>
        <w:rPr>
          <w:rFonts w:ascii="Verdana" w:hAnsi="Verdana"/>
          <w:sz w:val="20"/>
          <w:szCs w:val="20"/>
        </w:rPr>
        <w:t xml:space="preserve"> </w:t>
      </w:r>
      <w:proofErr w:type="spellStart"/>
      <w:r>
        <w:rPr>
          <w:rFonts w:ascii="Verdana" w:hAnsi="Verdana"/>
          <w:sz w:val="20"/>
          <w:szCs w:val="20"/>
        </w:rPr>
        <w:t>Pamvi</w:t>
      </w:r>
      <w:proofErr w:type="spellEnd"/>
      <w:r>
        <w:rPr>
          <w:rFonts w:ascii="Verdana" w:hAnsi="Verdana"/>
          <w:sz w:val="20"/>
          <w:szCs w:val="20"/>
        </w:rPr>
        <w:t xml:space="preserve"> Tissues 313 ITR 137 (</w:t>
      </w:r>
      <w:proofErr w:type="spellStart"/>
      <w:r>
        <w:rPr>
          <w:rFonts w:ascii="Verdana" w:hAnsi="Verdana"/>
          <w:sz w:val="20"/>
          <w:szCs w:val="20"/>
        </w:rPr>
        <w:t>Bom</w:t>
      </w:r>
      <w:proofErr w:type="spellEnd"/>
      <w:r>
        <w:rPr>
          <w:rFonts w:ascii="Verdana" w:hAnsi="Verdana"/>
          <w:sz w:val="20"/>
          <w:szCs w:val="20"/>
        </w:rPr>
        <w:t>.), impliedly overruled.</w:t>
      </w:r>
    </w:p>
    <w:p w:rsidR="0037540A" w:rsidRDefault="0037540A" w:rsidP="00815C67">
      <w:pPr>
        <w:pStyle w:val="NormalWeb"/>
        <w:jc w:val="both"/>
      </w:pPr>
      <w:r>
        <w:rPr>
          <w:rFonts w:ascii="Verdana" w:hAnsi="Verdana"/>
          <w:b/>
          <w:bCs/>
          <w:sz w:val="20"/>
          <w:szCs w:val="20"/>
        </w:rPr>
        <w:t>41. Capital Gain – Right to subscribe for shares arises only when offer is made by the company – S. 48</w:t>
      </w:r>
    </w:p>
    <w:p w:rsidR="0037540A" w:rsidRDefault="0037540A" w:rsidP="00815C67">
      <w:pPr>
        <w:pStyle w:val="NormalWeb"/>
        <w:jc w:val="both"/>
      </w:pPr>
      <w:r>
        <w:rPr>
          <w:rFonts w:ascii="Verdana" w:hAnsi="Verdana"/>
          <w:sz w:val="20"/>
          <w:szCs w:val="20"/>
        </w:rPr>
        <w:t>Right to subscribe for additional shares/debentures is a distinct, independent and separate right, capable of being transferred independently of the existing shareholding, on the strength of which such Rights are offered.</w:t>
      </w:r>
    </w:p>
    <w:p w:rsidR="0037540A" w:rsidRDefault="0037540A" w:rsidP="00815C67">
      <w:pPr>
        <w:pStyle w:val="NormalWeb"/>
        <w:jc w:val="both"/>
      </w:pPr>
      <w:proofErr w:type="spellStart"/>
      <w:r>
        <w:rPr>
          <w:rFonts w:ascii="Verdana" w:hAnsi="Verdana"/>
          <w:i/>
          <w:iCs/>
          <w:sz w:val="20"/>
          <w:szCs w:val="20"/>
        </w:rPr>
        <w:t>Navin</w:t>
      </w:r>
      <w:proofErr w:type="spellEnd"/>
      <w:r>
        <w:rPr>
          <w:rFonts w:ascii="Verdana" w:hAnsi="Verdana"/>
          <w:i/>
          <w:iCs/>
          <w:sz w:val="20"/>
          <w:szCs w:val="20"/>
        </w:rPr>
        <w:t xml:space="preserve"> </w:t>
      </w:r>
      <w:proofErr w:type="spellStart"/>
      <w:r>
        <w:rPr>
          <w:rFonts w:ascii="Verdana" w:hAnsi="Verdana"/>
          <w:i/>
          <w:iCs/>
          <w:sz w:val="20"/>
          <w:szCs w:val="20"/>
        </w:rPr>
        <w:t>Jindal</w:t>
      </w:r>
      <w:proofErr w:type="spellEnd"/>
      <w:r>
        <w:rPr>
          <w:rFonts w:ascii="Verdana" w:hAnsi="Verdana"/>
          <w:i/>
          <w:iCs/>
          <w:sz w:val="20"/>
          <w:szCs w:val="20"/>
        </w:rPr>
        <w:t xml:space="preserve"> vs. ACIT (Supreme Court) Source: www.itatonline.org (2010) 320 ITR 708 (SC)</w:t>
      </w:r>
    </w:p>
    <w:p w:rsidR="0037540A" w:rsidRDefault="0037540A" w:rsidP="00815C67">
      <w:pPr>
        <w:pStyle w:val="NormalWeb"/>
        <w:jc w:val="both"/>
      </w:pPr>
      <w:r>
        <w:rPr>
          <w:rFonts w:ascii="Verdana" w:hAnsi="Verdana"/>
          <w:b/>
          <w:bCs/>
          <w:sz w:val="20"/>
          <w:szCs w:val="20"/>
        </w:rPr>
        <w:t>42. Cash Credits – Gifts – S. 68</w:t>
      </w:r>
    </w:p>
    <w:p w:rsidR="0037540A" w:rsidRDefault="0037540A" w:rsidP="00815C67">
      <w:pPr>
        <w:pStyle w:val="NormalWeb"/>
        <w:jc w:val="both"/>
      </w:pPr>
      <w:proofErr w:type="spellStart"/>
      <w:r>
        <w:rPr>
          <w:rFonts w:ascii="Verdana" w:hAnsi="Verdana"/>
          <w:sz w:val="20"/>
          <w:szCs w:val="20"/>
        </w:rPr>
        <w:t>Assessee</w:t>
      </w:r>
      <w:proofErr w:type="spellEnd"/>
      <w:r>
        <w:rPr>
          <w:rFonts w:ascii="Verdana" w:hAnsi="Verdana"/>
          <w:sz w:val="20"/>
          <w:szCs w:val="20"/>
        </w:rPr>
        <w:t xml:space="preserve"> had filed, confirmation, of the person from whom the gift was given. Genuineness of the transaction of gift and the capacity of the donor stood established. Addition can not be made under section 68. (ITA No. 1108 of 2008 </w:t>
      </w:r>
      <w:proofErr w:type="spellStart"/>
      <w:proofErr w:type="gramStart"/>
      <w:r>
        <w:rPr>
          <w:rFonts w:ascii="Verdana" w:hAnsi="Verdana"/>
          <w:sz w:val="20"/>
          <w:szCs w:val="20"/>
        </w:rPr>
        <w:t>dt</w:t>
      </w:r>
      <w:proofErr w:type="spellEnd"/>
      <w:proofErr w:type="gramEnd"/>
      <w:r>
        <w:rPr>
          <w:rFonts w:ascii="Verdana" w:hAnsi="Verdana"/>
          <w:sz w:val="20"/>
          <w:szCs w:val="20"/>
        </w:rPr>
        <w:t>. 26-9-2008)</w:t>
      </w:r>
    </w:p>
    <w:p w:rsidR="0037540A" w:rsidRDefault="0037540A" w:rsidP="00815C67">
      <w:pPr>
        <w:pStyle w:val="NormalWeb"/>
        <w:jc w:val="both"/>
      </w:pPr>
      <w:r>
        <w:rPr>
          <w:rFonts w:ascii="Verdana" w:hAnsi="Verdana"/>
          <w:i/>
          <w:iCs/>
          <w:sz w:val="20"/>
          <w:szCs w:val="20"/>
        </w:rPr>
        <w:t xml:space="preserve">CIT vs. </w:t>
      </w:r>
      <w:proofErr w:type="spellStart"/>
      <w:r>
        <w:rPr>
          <w:rFonts w:ascii="Verdana" w:hAnsi="Verdana"/>
          <w:i/>
          <w:iCs/>
          <w:sz w:val="20"/>
          <w:szCs w:val="20"/>
        </w:rPr>
        <w:t>Asha</w:t>
      </w:r>
      <w:proofErr w:type="spellEnd"/>
      <w:r>
        <w:rPr>
          <w:rFonts w:ascii="Verdana" w:hAnsi="Verdana"/>
          <w:i/>
          <w:iCs/>
          <w:sz w:val="20"/>
          <w:szCs w:val="20"/>
        </w:rPr>
        <w:t xml:space="preserve"> </w:t>
      </w:r>
      <w:proofErr w:type="spellStart"/>
      <w:r>
        <w:rPr>
          <w:rFonts w:ascii="Verdana" w:hAnsi="Verdana"/>
          <w:i/>
          <w:iCs/>
          <w:sz w:val="20"/>
          <w:szCs w:val="20"/>
        </w:rPr>
        <w:t>Hampannavar</w:t>
      </w:r>
      <w:proofErr w:type="spellEnd"/>
      <w:r>
        <w:rPr>
          <w:rFonts w:ascii="Verdana" w:hAnsi="Verdana"/>
          <w:i/>
          <w:iCs/>
          <w:sz w:val="20"/>
          <w:szCs w:val="20"/>
        </w:rPr>
        <w:t xml:space="preserve"> (2009) 319 ITR (St.) 5 (SC)</w:t>
      </w:r>
    </w:p>
    <w:p w:rsidR="0037540A" w:rsidRDefault="0037540A" w:rsidP="00815C67">
      <w:pPr>
        <w:pStyle w:val="NormalWeb"/>
        <w:jc w:val="both"/>
      </w:pPr>
      <w:r>
        <w:rPr>
          <w:rFonts w:ascii="Verdana" w:hAnsi="Verdana"/>
          <w:b/>
          <w:bCs/>
          <w:sz w:val="20"/>
          <w:szCs w:val="20"/>
        </w:rPr>
        <w:t>43. Citizen tax – Japanese Law</w:t>
      </w:r>
    </w:p>
    <w:p w:rsidR="0037540A" w:rsidRDefault="0037540A" w:rsidP="00815C67">
      <w:pPr>
        <w:pStyle w:val="NormalWeb"/>
        <w:jc w:val="both"/>
      </w:pPr>
      <w:r>
        <w:rPr>
          <w:rFonts w:ascii="Verdana" w:hAnsi="Verdana"/>
          <w:sz w:val="20"/>
          <w:szCs w:val="20"/>
        </w:rPr>
        <w:t xml:space="preserve">The Supreme Court remitted the matter to the Tribunal to decide whether the citizen tax as per Citizens Individual Inhabitant Tax Act in Japan was an overriding charge on the salary paid by the </w:t>
      </w:r>
      <w:proofErr w:type="spellStart"/>
      <w:r>
        <w:rPr>
          <w:rFonts w:ascii="Verdana" w:hAnsi="Verdana"/>
          <w:sz w:val="20"/>
          <w:szCs w:val="20"/>
        </w:rPr>
        <w:t>assessee</w:t>
      </w:r>
      <w:proofErr w:type="spellEnd"/>
      <w:r>
        <w:rPr>
          <w:rFonts w:ascii="Verdana" w:hAnsi="Verdana"/>
          <w:sz w:val="20"/>
          <w:szCs w:val="20"/>
        </w:rPr>
        <w:t xml:space="preserve"> to its employees. </w:t>
      </w:r>
    </w:p>
    <w:p w:rsidR="0037540A" w:rsidRDefault="0037540A" w:rsidP="00815C67">
      <w:pPr>
        <w:pStyle w:val="NormalWeb"/>
        <w:jc w:val="both"/>
      </w:pPr>
      <w:r>
        <w:rPr>
          <w:rFonts w:ascii="Verdana" w:hAnsi="Verdana"/>
          <w:i/>
          <w:iCs/>
          <w:sz w:val="20"/>
          <w:szCs w:val="20"/>
        </w:rPr>
        <w:t xml:space="preserve">CIT vs. NHK Japan Broadcasting Corporation (2009) 28 DTR 106 (SC) </w:t>
      </w:r>
    </w:p>
    <w:p w:rsidR="0037540A" w:rsidRDefault="0037540A" w:rsidP="00815C67">
      <w:pPr>
        <w:pStyle w:val="NormalWeb"/>
        <w:jc w:val="both"/>
      </w:pPr>
      <w:r>
        <w:rPr>
          <w:rFonts w:ascii="Verdana" w:hAnsi="Verdana"/>
          <w:b/>
          <w:bCs/>
          <w:sz w:val="20"/>
          <w:szCs w:val="20"/>
        </w:rPr>
        <w:t>44. Deduction – Cutting &amp; Polishing marbles block –‘Production’ Manufacturer – S. 80IA</w:t>
      </w:r>
    </w:p>
    <w:p w:rsidR="0037540A" w:rsidRDefault="0037540A" w:rsidP="00815C67">
      <w:pPr>
        <w:pStyle w:val="NormalWeb"/>
        <w:jc w:val="both"/>
      </w:pPr>
      <w:r>
        <w:rPr>
          <w:rFonts w:ascii="Verdana" w:hAnsi="Verdana"/>
          <w:sz w:val="20"/>
          <w:szCs w:val="20"/>
        </w:rPr>
        <w:t>The activity of polishing and conversion of blocks into polished slabs and tiles amounts to “manufacture” or “production” because the conversion of blocks into polished slabs and tiles results in emergence of a new and distinct commodity. There is accordingly “manufacture or production” for section 80-IA</w:t>
      </w:r>
    </w:p>
    <w:p w:rsidR="0037540A" w:rsidRDefault="0037540A" w:rsidP="00815C67">
      <w:pPr>
        <w:pStyle w:val="NormalWeb"/>
        <w:jc w:val="both"/>
      </w:pPr>
      <w:r>
        <w:rPr>
          <w:rFonts w:ascii="Verdana" w:hAnsi="Verdana"/>
          <w:sz w:val="20"/>
          <w:szCs w:val="20"/>
        </w:rPr>
        <w:t xml:space="preserve">ITO vs. </w:t>
      </w:r>
      <w:proofErr w:type="spellStart"/>
      <w:r>
        <w:rPr>
          <w:rFonts w:ascii="Verdana" w:hAnsi="Verdana"/>
          <w:sz w:val="20"/>
          <w:szCs w:val="20"/>
        </w:rPr>
        <w:t>Arihant</w:t>
      </w:r>
      <w:proofErr w:type="spellEnd"/>
      <w:r>
        <w:rPr>
          <w:rFonts w:ascii="Verdana" w:hAnsi="Verdana"/>
          <w:sz w:val="20"/>
          <w:szCs w:val="20"/>
        </w:rPr>
        <w:t xml:space="preserve"> Tiles &amp; Marbles www.itatonline.org (2009) 227 CTR 513 (SC) (2010) 320 ITR 79 (SC)</w:t>
      </w:r>
    </w:p>
    <w:p w:rsidR="0037540A" w:rsidRDefault="0037540A" w:rsidP="00815C67">
      <w:pPr>
        <w:pStyle w:val="NormalWeb"/>
        <w:jc w:val="both"/>
      </w:pPr>
      <w:r>
        <w:rPr>
          <w:rFonts w:ascii="Verdana" w:hAnsi="Verdana"/>
          <w:b/>
          <w:bCs/>
          <w:sz w:val="20"/>
          <w:szCs w:val="20"/>
        </w:rPr>
        <w:t>45. Deduction – Industrial Undertaking – S. 80 HH</w:t>
      </w:r>
    </w:p>
    <w:p w:rsidR="0037540A" w:rsidRDefault="0037540A" w:rsidP="00815C67">
      <w:pPr>
        <w:pStyle w:val="NormalWeb"/>
        <w:jc w:val="both"/>
      </w:pPr>
      <w:r>
        <w:rPr>
          <w:rFonts w:ascii="Verdana" w:hAnsi="Verdana"/>
          <w:sz w:val="20"/>
          <w:szCs w:val="20"/>
        </w:rPr>
        <w:lastRenderedPageBreak/>
        <w:t xml:space="preserve">In the absence of details of outsourcing of activities to sister concerns, location of sister concern in backward state, etc., the </w:t>
      </w:r>
      <w:proofErr w:type="spellStart"/>
      <w:r>
        <w:rPr>
          <w:rFonts w:ascii="Verdana" w:hAnsi="Verdana"/>
          <w:sz w:val="20"/>
          <w:szCs w:val="20"/>
        </w:rPr>
        <w:t>assessee</w:t>
      </w:r>
      <w:proofErr w:type="spellEnd"/>
      <w:r>
        <w:rPr>
          <w:rFonts w:ascii="Verdana" w:hAnsi="Verdana"/>
          <w:sz w:val="20"/>
          <w:szCs w:val="20"/>
        </w:rPr>
        <w:t xml:space="preserve"> was not entitled to deduction under section 80HH for its profits from the cashew processing business. </w:t>
      </w:r>
    </w:p>
    <w:p w:rsidR="0037540A" w:rsidRDefault="0037540A" w:rsidP="00815C67">
      <w:pPr>
        <w:pStyle w:val="NormalWeb"/>
        <w:jc w:val="both"/>
      </w:pPr>
      <w:r>
        <w:rPr>
          <w:rFonts w:ascii="Verdana" w:hAnsi="Verdana"/>
          <w:i/>
          <w:iCs/>
          <w:sz w:val="20"/>
          <w:szCs w:val="20"/>
        </w:rPr>
        <w:t xml:space="preserve">CIT vs. R. </w:t>
      </w:r>
      <w:proofErr w:type="spellStart"/>
      <w:r>
        <w:rPr>
          <w:rFonts w:ascii="Verdana" w:hAnsi="Verdana"/>
          <w:i/>
          <w:iCs/>
          <w:sz w:val="20"/>
          <w:szCs w:val="20"/>
        </w:rPr>
        <w:t>Prathap</w:t>
      </w:r>
      <w:proofErr w:type="spellEnd"/>
      <w:r>
        <w:rPr>
          <w:rFonts w:ascii="Verdana" w:hAnsi="Verdana"/>
          <w:i/>
          <w:iCs/>
          <w:sz w:val="20"/>
          <w:szCs w:val="20"/>
        </w:rPr>
        <w:t xml:space="preserve"> (2009) 227 CTR 632 (SC) </w:t>
      </w:r>
    </w:p>
    <w:p w:rsidR="0037540A" w:rsidRDefault="0037540A" w:rsidP="00815C67">
      <w:pPr>
        <w:pStyle w:val="NormalWeb"/>
        <w:jc w:val="both"/>
      </w:pPr>
      <w:r>
        <w:rPr>
          <w:rFonts w:ascii="Verdana" w:hAnsi="Verdana"/>
          <w:b/>
          <w:bCs/>
          <w:sz w:val="20"/>
          <w:szCs w:val="20"/>
        </w:rPr>
        <w:t>46. Deduction – Provision for NPA – S. 36(1</w:t>
      </w:r>
      <w:proofErr w:type="gramStart"/>
      <w:r>
        <w:rPr>
          <w:rFonts w:ascii="Verdana" w:hAnsi="Verdana"/>
          <w:b/>
          <w:bCs/>
          <w:sz w:val="20"/>
          <w:szCs w:val="20"/>
        </w:rPr>
        <w:t>)(</w:t>
      </w:r>
      <w:proofErr w:type="gramEnd"/>
      <w:r>
        <w:rPr>
          <w:rFonts w:ascii="Verdana" w:hAnsi="Verdana"/>
          <w:b/>
          <w:bCs/>
          <w:sz w:val="20"/>
          <w:szCs w:val="20"/>
        </w:rPr>
        <w:t>vii)</w:t>
      </w:r>
    </w:p>
    <w:p w:rsidR="0037540A" w:rsidRDefault="0037540A" w:rsidP="00815C67">
      <w:pPr>
        <w:pStyle w:val="NormalWeb"/>
        <w:jc w:val="both"/>
      </w:pPr>
      <w:r>
        <w:rPr>
          <w:rFonts w:ascii="Verdana" w:hAnsi="Verdana"/>
          <w:sz w:val="20"/>
          <w:szCs w:val="20"/>
        </w:rPr>
        <w:t>The “Provision for NPA” made in terms of the RBI Directions does not constitute expense for purposes of section 36(1</w:t>
      </w:r>
      <w:proofErr w:type="gramStart"/>
      <w:r>
        <w:rPr>
          <w:rFonts w:ascii="Verdana" w:hAnsi="Verdana"/>
          <w:sz w:val="20"/>
          <w:szCs w:val="20"/>
        </w:rPr>
        <w:t>)(</w:t>
      </w:r>
      <w:proofErr w:type="gramEnd"/>
      <w:r>
        <w:rPr>
          <w:rFonts w:ascii="Verdana" w:hAnsi="Verdana"/>
          <w:sz w:val="20"/>
          <w:szCs w:val="20"/>
        </w:rPr>
        <w:t xml:space="preserve">vii). The said Provision is for presentation purposes and in that sense it is notional. </w:t>
      </w:r>
      <w:proofErr w:type="gramStart"/>
      <w:r>
        <w:rPr>
          <w:rFonts w:ascii="Verdana" w:hAnsi="Verdana"/>
          <w:sz w:val="20"/>
          <w:szCs w:val="20"/>
        </w:rPr>
        <w:t>Hence, deduction not allowable.</w:t>
      </w:r>
      <w:proofErr w:type="gramEnd"/>
    </w:p>
    <w:p w:rsidR="0037540A" w:rsidRDefault="0037540A" w:rsidP="00815C67">
      <w:pPr>
        <w:pStyle w:val="NormalWeb"/>
        <w:jc w:val="both"/>
      </w:pPr>
      <w:r>
        <w:rPr>
          <w:rFonts w:ascii="Verdana" w:hAnsi="Verdana"/>
          <w:i/>
          <w:iCs/>
          <w:sz w:val="20"/>
          <w:szCs w:val="20"/>
        </w:rPr>
        <w:t>Southern Technologies Ltd vs. JCIT (Supreme Court) Source: www.itatonline.org (2010) DTR</w:t>
      </w:r>
    </w:p>
    <w:p w:rsidR="0037540A" w:rsidRDefault="0037540A" w:rsidP="00815C67">
      <w:pPr>
        <w:pStyle w:val="NormalWeb"/>
        <w:jc w:val="both"/>
      </w:pPr>
      <w:r>
        <w:rPr>
          <w:rFonts w:ascii="Verdana" w:hAnsi="Verdana"/>
          <w:b/>
          <w:bCs/>
          <w:sz w:val="20"/>
          <w:szCs w:val="20"/>
        </w:rPr>
        <w:t>47. Deduction at source – Leave Travel concession – S. 10(5), 192</w:t>
      </w:r>
    </w:p>
    <w:p w:rsidR="0037540A" w:rsidRDefault="0037540A" w:rsidP="00815C67">
      <w:pPr>
        <w:pStyle w:val="NormalWeb"/>
        <w:jc w:val="both"/>
      </w:pPr>
      <w:r>
        <w:rPr>
          <w:rFonts w:ascii="Verdana" w:hAnsi="Verdana"/>
          <w:sz w:val="20"/>
          <w:szCs w:val="20"/>
        </w:rPr>
        <w:t>An employer is under no statutory obligation to collect evidence to show that its employee has actually utilized amount paid towards leave travel concession /conveyance allowance for purpose of TDS under section 192.</w:t>
      </w:r>
    </w:p>
    <w:p w:rsidR="0037540A" w:rsidRDefault="0037540A" w:rsidP="00815C67">
      <w:pPr>
        <w:pStyle w:val="NormalWeb"/>
        <w:jc w:val="both"/>
      </w:pPr>
      <w:r>
        <w:rPr>
          <w:rFonts w:ascii="Verdana" w:hAnsi="Verdana"/>
          <w:i/>
          <w:iCs/>
          <w:sz w:val="20"/>
          <w:szCs w:val="20"/>
        </w:rPr>
        <w:t>CIT vs. ITI Ltd. (2009) 183 Taxman 219 (SC)</w:t>
      </w:r>
    </w:p>
    <w:p w:rsidR="0037540A" w:rsidRDefault="0037540A" w:rsidP="00815C67">
      <w:pPr>
        <w:pStyle w:val="NormalWeb"/>
        <w:jc w:val="both"/>
      </w:pPr>
      <w:r>
        <w:rPr>
          <w:rFonts w:ascii="Verdana" w:hAnsi="Verdana"/>
          <w:b/>
          <w:bCs/>
          <w:sz w:val="20"/>
          <w:szCs w:val="20"/>
        </w:rPr>
        <w:t>48. Deduction of tax at source – Ad-interim – Stay recovery granted – S. 195</w:t>
      </w:r>
    </w:p>
    <w:p w:rsidR="0037540A" w:rsidRDefault="0037540A" w:rsidP="00815C67">
      <w:pPr>
        <w:pStyle w:val="NormalWeb"/>
        <w:jc w:val="both"/>
      </w:pPr>
      <w:r>
        <w:rPr>
          <w:rFonts w:ascii="Verdana" w:hAnsi="Verdana"/>
          <w:sz w:val="20"/>
          <w:szCs w:val="20"/>
        </w:rPr>
        <w:t>The Karnataka High Court in CIT vs. Samsung Electronics Co. Ltd. (2009) 185 Taxman 313 (</w:t>
      </w:r>
      <w:proofErr w:type="spellStart"/>
      <w:r>
        <w:rPr>
          <w:rFonts w:ascii="Verdana" w:hAnsi="Verdana"/>
          <w:sz w:val="20"/>
          <w:szCs w:val="20"/>
        </w:rPr>
        <w:t>Kar</w:t>
      </w:r>
      <w:proofErr w:type="spellEnd"/>
      <w:r>
        <w:rPr>
          <w:rFonts w:ascii="Verdana" w:hAnsi="Verdana"/>
          <w:sz w:val="20"/>
          <w:szCs w:val="20"/>
        </w:rPr>
        <w:t>.), the Court held that liability cannot be avoided on ground of non taxability of recipient. In a SLP filed against the judgment, the Supreme Court, by an ad-interim order dated 18-12-2009 directed issue of notice to the Respondents and also directed “Stay of recovery till further orders”.</w:t>
      </w:r>
    </w:p>
    <w:p w:rsidR="0037540A" w:rsidRDefault="0037540A" w:rsidP="00815C67">
      <w:pPr>
        <w:pStyle w:val="NormalWeb"/>
        <w:jc w:val="both"/>
      </w:pPr>
      <w:r>
        <w:rPr>
          <w:rFonts w:ascii="Verdana" w:hAnsi="Verdana"/>
          <w:i/>
          <w:iCs/>
          <w:sz w:val="20"/>
          <w:szCs w:val="20"/>
        </w:rPr>
        <w:t xml:space="preserve">G. E. India Technology vs. CIT (SC) Source: </w:t>
      </w:r>
      <w:hyperlink r:id="rId5" w:history="1">
        <w:r>
          <w:rPr>
            <w:rStyle w:val="Hyperlink"/>
            <w:rFonts w:ascii="Verdana" w:hAnsi="Verdana"/>
            <w:i/>
            <w:iCs/>
            <w:sz w:val="20"/>
            <w:szCs w:val="20"/>
          </w:rPr>
          <w:t>www.itatonline.org</w:t>
        </w:r>
      </w:hyperlink>
    </w:p>
    <w:p w:rsidR="0037540A" w:rsidRDefault="0037540A" w:rsidP="00815C67">
      <w:pPr>
        <w:pStyle w:val="NormalWeb"/>
        <w:jc w:val="both"/>
      </w:pPr>
      <w:r>
        <w:rPr>
          <w:rFonts w:ascii="Verdana" w:hAnsi="Verdana"/>
          <w:b/>
          <w:bCs/>
          <w:sz w:val="20"/>
          <w:szCs w:val="20"/>
        </w:rPr>
        <w:t>49. Estate Duty – Refunds – Property</w:t>
      </w:r>
    </w:p>
    <w:p w:rsidR="0037540A" w:rsidRDefault="0037540A" w:rsidP="00815C67">
      <w:pPr>
        <w:pStyle w:val="NormalWeb"/>
        <w:jc w:val="both"/>
      </w:pPr>
      <w:r>
        <w:rPr>
          <w:rFonts w:ascii="Verdana" w:hAnsi="Verdana"/>
          <w:sz w:val="20"/>
          <w:szCs w:val="20"/>
        </w:rPr>
        <w:t xml:space="preserve">Refunds which became due after the death of Mr. V.G. </w:t>
      </w:r>
      <w:proofErr w:type="spellStart"/>
      <w:r>
        <w:rPr>
          <w:rFonts w:ascii="Verdana" w:hAnsi="Verdana"/>
          <w:sz w:val="20"/>
          <w:szCs w:val="20"/>
        </w:rPr>
        <w:t>Saraf</w:t>
      </w:r>
      <w:proofErr w:type="spellEnd"/>
      <w:r>
        <w:rPr>
          <w:rFonts w:ascii="Verdana" w:hAnsi="Verdana"/>
          <w:sz w:val="20"/>
          <w:szCs w:val="20"/>
        </w:rPr>
        <w:t xml:space="preserve"> cannot be considered to be a property available at the time of the death. [Bombay High Court in the case if Estate of Late General Sir Shankar S.S.J.B. </w:t>
      </w:r>
      <w:proofErr w:type="spellStart"/>
      <w:r>
        <w:rPr>
          <w:rFonts w:ascii="Verdana" w:hAnsi="Verdana"/>
          <w:sz w:val="20"/>
          <w:szCs w:val="20"/>
        </w:rPr>
        <w:t>Rana</w:t>
      </w:r>
      <w:proofErr w:type="spellEnd"/>
      <w:r>
        <w:rPr>
          <w:rFonts w:ascii="Verdana" w:hAnsi="Verdana"/>
          <w:sz w:val="20"/>
          <w:szCs w:val="20"/>
        </w:rPr>
        <w:t xml:space="preserve"> vs. CED (1990) 186 ITR 578 approved] </w:t>
      </w:r>
    </w:p>
    <w:p w:rsidR="0037540A" w:rsidRDefault="0037540A" w:rsidP="00815C67">
      <w:pPr>
        <w:pStyle w:val="NormalWeb"/>
        <w:jc w:val="both"/>
      </w:pPr>
      <w:r>
        <w:rPr>
          <w:rFonts w:ascii="Verdana" w:hAnsi="Verdana"/>
          <w:i/>
          <w:iCs/>
          <w:sz w:val="20"/>
          <w:szCs w:val="20"/>
        </w:rPr>
        <w:t xml:space="preserve">CED vs. </w:t>
      </w:r>
      <w:proofErr w:type="spellStart"/>
      <w:r>
        <w:rPr>
          <w:rFonts w:ascii="Verdana" w:hAnsi="Verdana"/>
          <w:i/>
          <w:iCs/>
          <w:sz w:val="20"/>
          <w:szCs w:val="20"/>
        </w:rPr>
        <w:t>Nalini</w:t>
      </w:r>
      <w:proofErr w:type="spellEnd"/>
      <w:r>
        <w:rPr>
          <w:rFonts w:ascii="Verdana" w:hAnsi="Verdana"/>
          <w:i/>
          <w:iCs/>
          <w:sz w:val="20"/>
          <w:szCs w:val="20"/>
        </w:rPr>
        <w:t xml:space="preserve"> V. </w:t>
      </w:r>
      <w:proofErr w:type="spellStart"/>
      <w:r>
        <w:rPr>
          <w:rFonts w:ascii="Verdana" w:hAnsi="Verdana"/>
          <w:i/>
          <w:iCs/>
          <w:sz w:val="20"/>
          <w:szCs w:val="20"/>
        </w:rPr>
        <w:t>Saraf</w:t>
      </w:r>
      <w:proofErr w:type="spellEnd"/>
      <w:r>
        <w:rPr>
          <w:rFonts w:ascii="Verdana" w:hAnsi="Verdana"/>
          <w:i/>
          <w:iCs/>
          <w:sz w:val="20"/>
          <w:szCs w:val="20"/>
        </w:rPr>
        <w:t xml:space="preserve"> (2009) 227 CTR 437 (SC); 319 ITR 303 (SC)</w:t>
      </w:r>
    </w:p>
    <w:p w:rsidR="0037540A" w:rsidRDefault="0037540A" w:rsidP="00815C67">
      <w:pPr>
        <w:pStyle w:val="NormalWeb"/>
        <w:jc w:val="both"/>
      </w:pPr>
      <w:r>
        <w:rPr>
          <w:rFonts w:ascii="Verdana" w:hAnsi="Verdana"/>
          <w:b/>
          <w:bCs/>
          <w:sz w:val="20"/>
          <w:szCs w:val="20"/>
        </w:rPr>
        <w:t>50. Exemption – Educational institution – S. 10(22)</w:t>
      </w:r>
    </w:p>
    <w:p w:rsidR="0037540A" w:rsidRDefault="0037540A" w:rsidP="00815C67">
      <w:pPr>
        <w:pStyle w:val="NormalWeb"/>
        <w:jc w:val="both"/>
      </w:pPr>
      <w:r>
        <w:rPr>
          <w:rFonts w:ascii="Verdana" w:hAnsi="Verdana"/>
          <w:sz w:val="20"/>
          <w:szCs w:val="20"/>
        </w:rPr>
        <w:t xml:space="preserve">Exemption under section 10(22) was denied on the ground that, since the </w:t>
      </w:r>
      <w:proofErr w:type="spellStart"/>
      <w:r>
        <w:rPr>
          <w:rFonts w:ascii="Verdana" w:hAnsi="Verdana"/>
          <w:sz w:val="20"/>
          <w:szCs w:val="20"/>
        </w:rPr>
        <w:t>assessee</w:t>
      </w:r>
      <w:proofErr w:type="spellEnd"/>
      <w:r>
        <w:rPr>
          <w:rFonts w:ascii="Verdana" w:hAnsi="Verdana"/>
          <w:sz w:val="20"/>
          <w:szCs w:val="20"/>
        </w:rPr>
        <w:t xml:space="preserve"> had income exclusively from publication and selling of text books to the students, it did not exist solely for educational purposes. The Supreme Court took into account the prior history of the corporation particularly the context in which it was incorporated. It also noted that a similar issue was decided by the Rajasthan and Orissa High Courts. It noted that the High Court in the impugned order had omitted to take into account several factors. Therefore, the matter was set aside to the AO to consider the issue de novo in the light </w:t>
      </w:r>
      <w:r>
        <w:rPr>
          <w:rFonts w:ascii="Verdana" w:hAnsi="Verdana"/>
          <w:sz w:val="20"/>
          <w:szCs w:val="20"/>
        </w:rPr>
        <w:br/>
        <w:t xml:space="preserve">of the judgment of the Rajasthan and Orissa High Courts. </w:t>
      </w:r>
    </w:p>
    <w:p w:rsidR="0037540A" w:rsidRDefault="0037540A" w:rsidP="00815C67">
      <w:pPr>
        <w:pStyle w:val="NormalWeb"/>
        <w:jc w:val="both"/>
      </w:pPr>
      <w:r>
        <w:rPr>
          <w:rFonts w:ascii="Verdana" w:hAnsi="Verdana"/>
          <w:i/>
          <w:iCs/>
          <w:sz w:val="20"/>
          <w:szCs w:val="20"/>
        </w:rPr>
        <w:lastRenderedPageBreak/>
        <w:t>Assam State Text Book Production &amp; Publication Corporation Ltd. vs. CIT (2009) 227 CTR 105 (SC); 319 ITR 317 (SC)</w:t>
      </w:r>
    </w:p>
    <w:p w:rsidR="0037540A" w:rsidRDefault="0037540A" w:rsidP="00815C67">
      <w:pPr>
        <w:pStyle w:val="NormalWeb"/>
        <w:jc w:val="both"/>
      </w:pPr>
      <w:r>
        <w:rPr>
          <w:rFonts w:ascii="Verdana" w:hAnsi="Verdana"/>
          <w:b/>
          <w:bCs/>
          <w:sz w:val="20"/>
          <w:szCs w:val="20"/>
        </w:rPr>
        <w:t>51. Export – Profits of Business – Processing / fabrication charges received from other exporters – S. 80HHC</w:t>
      </w:r>
    </w:p>
    <w:p w:rsidR="0037540A" w:rsidRDefault="0037540A" w:rsidP="00815C67">
      <w:pPr>
        <w:pStyle w:val="NormalWeb"/>
        <w:jc w:val="both"/>
      </w:pPr>
      <w:proofErr w:type="spellStart"/>
      <w:r>
        <w:rPr>
          <w:rFonts w:ascii="Verdana" w:hAnsi="Verdana"/>
          <w:sz w:val="20"/>
          <w:szCs w:val="20"/>
        </w:rPr>
        <w:t>Assessee</w:t>
      </w:r>
      <w:proofErr w:type="spellEnd"/>
      <w:r>
        <w:rPr>
          <w:rFonts w:ascii="Verdana" w:hAnsi="Verdana"/>
          <w:sz w:val="20"/>
          <w:szCs w:val="20"/>
        </w:rPr>
        <w:t xml:space="preserve"> having allowed deduction under section 80HHC in respect of the processing / fabrication charges on the goods which were ultimately exported by other exporters for whom processing was undertaken by the </w:t>
      </w:r>
      <w:proofErr w:type="spellStart"/>
      <w:r>
        <w:rPr>
          <w:rFonts w:ascii="Verdana" w:hAnsi="Verdana"/>
          <w:sz w:val="20"/>
          <w:szCs w:val="20"/>
        </w:rPr>
        <w:t>assessee</w:t>
      </w:r>
      <w:proofErr w:type="spellEnd"/>
      <w:r>
        <w:rPr>
          <w:rFonts w:ascii="Verdana" w:hAnsi="Verdana"/>
          <w:sz w:val="20"/>
          <w:szCs w:val="20"/>
        </w:rPr>
        <w:t>, following the earlier decision of the High Court against which no appeal was field special leave petition is liable to be dismissed.</w:t>
      </w:r>
    </w:p>
    <w:p w:rsidR="0037540A" w:rsidRDefault="0037540A" w:rsidP="00815C67">
      <w:pPr>
        <w:pStyle w:val="NormalWeb"/>
        <w:jc w:val="both"/>
      </w:pPr>
      <w:r>
        <w:rPr>
          <w:rFonts w:ascii="Verdana" w:hAnsi="Verdana"/>
          <w:i/>
          <w:iCs/>
          <w:sz w:val="20"/>
          <w:szCs w:val="20"/>
        </w:rPr>
        <w:t>Southern Sea Food Ltd. vs. Jt. CIT (2009) 28 DTR 108 (SC)</w:t>
      </w:r>
    </w:p>
    <w:p w:rsidR="0037540A" w:rsidRDefault="0037540A" w:rsidP="00815C67">
      <w:pPr>
        <w:pStyle w:val="NormalWeb"/>
        <w:jc w:val="both"/>
      </w:pPr>
      <w:r>
        <w:rPr>
          <w:rFonts w:ascii="Verdana" w:hAnsi="Verdana"/>
          <w:b/>
          <w:bCs/>
          <w:sz w:val="20"/>
          <w:szCs w:val="20"/>
        </w:rPr>
        <w:t>52. Income – Remission or cessation of trading liability – one time settlement of loan by bank – S. 41(1)</w:t>
      </w:r>
    </w:p>
    <w:p w:rsidR="0037540A" w:rsidRDefault="0037540A" w:rsidP="00815C67">
      <w:pPr>
        <w:pStyle w:val="NormalWeb"/>
        <w:jc w:val="both"/>
      </w:pPr>
      <w:proofErr w:type="spellStart"/>
      <w:r>
        <w:rPr>
          <w:rFonts w:ascii="Verdana" w:hAnsi="Verdana"/>
          <w:sz w:val="20"/>
          <w:szCs w:val="20"/>
        </w:rPr>
        <w:t>Assessee</w:t>
      </w:r>
      <w:proofErr w:type="spellEnd"/>
      <w:r>
        <w:rPr>
          <w:rFonts w:ascii="Verdana" w:hAnsi="Verdana"/>
          <w:sz w:val="20"/>
          <w:szCs w:val="20"/>
        </w:rPr>
        <w:t xml:space="preserve"> had not got any deduction on account of acquisition of capital assets as it had been reflected in the balance sheet and not in the profit and loss account and the remission of the principal amount of loan obtained from the bank and financial institution had not been claimed as expenditure or trading liability in any earlier year, section 41(1) was not applicable. [</w:t>
      </w:r>
      <w:proofErr w:type="gramStart"/>
      <w:r>
        <w:rPr>
          <w:rFonts w:ascii="Verdana" w:hAnsi="Verdana"/>
          <w:sz w:val="20"/>
          <w:szCs w:val="20"/>
        </w:rPr>
        <w:t>followed</w:t>
      </w:r>
      <w:proofErr w:type="gramEnd"/>
      <w:r>
        <w:rPr>
          <w:rFonts w:ascii="Verdana" w:hAnsi="Verdana"/>
          <w:sz w:val="20"/>
          <w:szCs w:val="20"/>
        </w:rPr>
        <w:t xml:space="preserve"> Mahindra &amp; Mahindra Ltd vs. CIT (2003) 261 ITR 501(</w:t>
      </w:r>
      <w:proofErr w:type="spellStart"/>
      <w:r>
        <w:rPr>
          <w:rFonts w:ascii="Verdana" w:hAnsi="Verdana"/>
          <w:sz w:val="20"/>
          <w:szCs w:val="20"/>
        </w:rPr>
        <w:t>Bom</w:t>
      </w:r>
      <w:proofErr w:type="spellEnd"/>
      <w:r>
        <w:rPr>
          <w:rFonts w:ascii="Verdana" w:hAnsi="Verdana"/>
          <w:sz w:val="20"/>
          <w:szCs w:val="20"/>
        </w:rPr>
        <w:t>.)]</w:t>
      </w:r>
    </w:p>
    <w:p w:rsidR="0037540A" w:rsidRDefault="0037540A" w:rsidP="00815C67">
      <w:pPr>
        <w:pStyle w:val="NormalWeb"/>
        <w:jc w:val="both"/>
      </w:pPr>
      <w:r>
        <w:rPr>
          <w:rFonts w:ascii="Verdana" w:hAnsi="Verdana"/>
          <w:i/>
          <w:iCs/>
          <w:sz w:val="20"/>
          <w:szCs w:val="20"/>
        </w:rPr>
        <w:t xml:space="preserve">CIT vs. </w:t>
      </w:r>
      <w:proofErr w:type="spellStart"/>
      <w:r>
        <w:rPr>
          <w:rFonts w:ascii="Verdana" w:hAnsi="Verdana"/>
          <w:i/>
          <w:iCs/>
          <w:sz w:val="20"/>
          <w:szCs w:val="20"/>
        </w:rPr>
        <w:t>Tosha</w:t>
      </w:r>
      <w:proofErr w:type="spellEnd"/>
      <w:r>
        <w:rPr>
          <w:rFonts w:ascii="Verdana" w:hAnsi="Verdana"/>
          <w:i/>
          <w:iCs/>
          <w:sz w:val="20"/>
          <w:szCs w:val="20"/>
        </w:rPr>
        <w:t xml:space="preserve"> International (2009) 319 ITR (St) 7 (SC)</w:t>
      </w:r>
    </w:p>
    <w:p w:rsidR="0037540A" w:rsidRDefault="0037540A" w:rsidP="00815C67">
      <w:pPr>
        <w:pStyle w:val="NormalWeb"/>
        <w:jc w:val="both"/>
      </w:pPr>
      <w:r>
        <w:rPr>
          <w:rFonts w:ascii="Verdana" w:hAnsi="Verdana"/>
          <w:b/>
          <w:bCs/>
          <w:sz w:val="20"/>
          <w:szCs w:val="20"/>
        </w:rPr>
        <w:t>53. Interest tax – Interest on bonds and debentures – S. 2(5), 2(7)</w:t>
      </w:r>
    </w:p>
    <w:p w:rsidR="0037540A" w:rsidRDefault="0037540A" w:rsidP="00815C67">
      <w:pPr>
        <w:pStyle w:val="NormalWeb"/>
        <w:jc w:val="both"/>
      </w:pPr>
      <w:r>
        <w:rPr>
          <w:rFonts w:ascii="Verdana" w:hAnsi="Verdana"/>
          <w:sz w:val="20"/>
          <w:szCs w:val="20"/>
        </w:rPr>
        <w:t>Interest earned on bonds &amp; debentures by way of investment cannot be taxed under Interest Tax Act, 1974.</w:t>
      </w:r>
    </w:p>
    <w:p w:rsidR="0037540A" w:rsidRDefault="0037540A" w:rsidP="00815C67">
      <w:pPr>
        <w:pStyle w:val="NormalWeb"/>
        <w:jc w:val="both"/>
      </w:pPr>
      <w:proofErr w:type="gramStart"/>
      <w:r>
        <w:rPr>
          <w:rFonts w:ascii="Verdana" w:hAnsi="Verdana"/>
          <w:i/>
          <w:iCs/>
          <w:sz w:val="20"/>
          <w:szCs w:val="20"/>
        </w:rPr>
        <w:t xml:space="preserve">CIT vs. Sahara India Savings &amp; Investment </w:t>
      </w:r>
      <w:proofErr w:type="spellStart"/>
      <w:r>
        <w:rPr>
          <w:rFonts w:ascii="Verdana" w:hAnsi="Verdana"/>
          <w:i/>
          <w:iCs/>
          <w:sz w:val="20"/>
          <w:szCs w:val="20"/>
        </w:rPr>
        <w:t>Corpn</w:t>
      </w:r>
      <w:proofErr w:type="spellEnd"/>
      <w:r>
        <w:rPr>
          <w:rFonts w:ascii="Verdana" w:hAnsi="Verdana"/>
          <w:i/>
          <w:iCs/>
          <w:sz w:val="20"/>
          <w:szCs w:val="20"/>
        </w:rPr>
        <w:t>.</w:t>
      </w:r>
      <w:proofErr w:type="gramEnd"/>
      <w:r>
        <w:rPr>
          <w:rFonts w:ascii="Verdana" w:hAnsi="Verdana"/>
          <w:i/>
          <w:iCs/>
          <w:sz w:val="20"/>
          <w:szCs w:val="20"/>
        </w:rPr>
        <w:t xml:space="preserve"> Ltd. (2009) 32 DTR 57 (SC) (2009) 227 CTR 425 (SC)</w:t>
      </w:r>
    </w:p>
    <w:p w:rsidR="0037540A" w:rsidRDefault="0037540A" w:rsidP="00815C67">
      <w:pPr>
        <w:pStyle w:val="NormalWeb"/>
        <w:jc w:val="both"/>
      </w:pPr>
      <w:r>
        <w:rPr>
          <w:rFonts w:ascii="Verdana" w:hAnsi="Verdana"/>
          <w:b/>
          <w:bCs/>
          <w:sz w:val="20"/>
          <w:szCs w:val="20"/>
        </w:rPr>
        <w:t>54. Reassessment – Change of Opinion – Not aground for reassessment – S. 147, 148</w:t>
      </w:r>
    </w:p>
    <w:p w:rsidR="0037540A" w:rsidRDefault="0037540A" w:rsidP="00815C67">
      <w:pPr>
        <w:pStyle w:val="NormalWeb"/>
        <w:jc w:val="both"/>
      </w:pPr>
      <w:r>
        <w:rPr>
          <w:rFonts w:ascii="Verdana" w:hAnsi="Verdana"/>
          <w:sz w:val="20"/>
          <w:szCs w:val="20"/>
        </w:rPr>
        <w:t>Assessing Officer deemed to have applied his mind if facts are on record and reopening under section 147 on change of opinion is not permissible even within 4 years.</w:t>
      </w:r>
    </w:p>
    <w:p w:rsidR="0037540A" w:rsidRDefault="0037540A" w:rsidP="00815C67">
      <w:pPr>
        <w:pStyle w:val="NormalWeb"/>
        <w:jc w:val="both"/>
      </w:pPr>
      <w:r>
        <w:rPr>
          <w:rFonts w:ascii="Verdana" w:hAnsi="Verdana"/>
          <w:i/>
          <w:iCs/>
          <w:sz w:val="20"/>
          <w:szCs w:val="20"/>
        </w:rPr>
        <w:t>CIT vs. Kelvinator of India (Supreme Court) Source: www.itatonline.org (2010) 320 ITR 561 (SC)</w:t>
      </w:r>
    </w:p>
    <w:p w:rsidR="0037540A" w:rsidRDefault="0037540A" w:rsidP="00815C67">
      <w:pPr>
        <w:pStyle w:val="NormalWeb"/>
        <w:jc w:val="both"/>
      </w:pPr>
      <w:r>
        <w:rPr>
          <w:rFonts w:ascii="Verdana" w:hAnsi="Verdana"/>
          <w:b/>
          <w:bCs/>
          <w:sz w:val="20"/>
          <w:szCs w:val="20"/>
        </w:rPr>
        <w:t xml:space="preserve">55. Rectification of Mistakes – Subsequent Supreme Court </w:t>
      </w:r>
      <w:proofErr w:type="spellStart"/>
      <w:r>
        <w:rPr>
          <w:rFonts w:ascii="Verdana" w:hAnsi="Verdana"/>
          <w:b/>
          <w:bCs/>
          <w:sz w:val="20"/>
          <w:szCs w:val="20"/>
        </w:rPr>
        <w:t>Judgement</w:t>
      </w:r>
      <w:proofErr w:type="spellEnd"/>
      <w:r>
        <w:rPr>
          <w:rFonts w:ascii="Verdana" w:hAnsi="Verdana"/>
          <w:b/>
          <w:bCs/>
          <w:sz w:val="20"/>
          <w:szCs w:val="20"/>
        </w:rPr>
        <w:t xml:space="preserve"> – S. 154</w:t>
      </w:r>
    </w:p>
    <w:p w:rsidR="0037540A" w:rsidRDefault="0037540A" w:rsidP="00815C67">
      <w:pPr>
        <w:pStyle w:val="NormalWeb"/>
        <w:jc w:val="both"/>
      </w:pPr>
      <w:r>
        <w:rPr>
          <w:rFonts w:ascii="Verdana" w:hAnsi="Verdana"/>
          <w:sz w:val="20"/>
          <w:szCs w:val="20"/>
        </w:rPr>
        <w:t xml:space="preserve">Commissioner originally holding that, power subsidy received by </w:t>
      </w:r>
      <w:proofErr w:type="spellStart"/>
      <w:r>
        <w:rPr>
          <w:rFonts w:ascii="Verdana" w:hAnsi="Verdana"/>
          <w:sz w:val="20"/>
          <w:szCs w:val="20"/>
        </w:rPr>
        <w:t>assessee</w:t>
      </w:r>
      <w:proofErr w:type="spellEnd"/>
      <w:r>
        <w:rPr>
          <w:rFonts w:ascii="Verdana" w:hAnsi="Verdana"/>
          <w:sz w:val="20"/>
          <w:szCs w:val="20"/>
        </w:rPr>
        <w:t xml:space="preserve"> was not taxable on the ground that it was a capital receipt. Subsequent, rectification on ground that Supreme Court had decided that subsidy received after commencement of production was revenue receipt. Rectification made on basis of change of opinion, not permissible.</w:t>
      </w:r>
    </w:p>
    <w:p w:rsidR="0037540A" w:rsidRDefault="0037540A" w:rsidP="00815C67">
      <w:pPr>
        <w:pStyle w:val="NormalWeb"/>
        <w:jc w:val="both"/>
      </w:pPr>
      <w:proofErr w:type="spellStart"/>
      <w:r>
        <w:rPr>
          <w:rFonts w:ascii="Verdana" w:hAnsi="Verdana"/>
          <w:i/>
          <w:iCs/>
          <w:sz w:val="20"/>
          <w:szCs w:val="20"/>
        </w:rPr>
        <w:t>Mepco</w:t>
      </w:r>
      <w:proofErr w:type="spellEnd"/>
      <w:r>
        <w:rPr>
          <w:rFonts w:ascii="Verdana" w:hAnsi="Verdana"/>
          <w:i/>
          <w:iCs/>
          <w:sz w:val="20"/>
          <w:szCs w:val="20"/>
        </w:rPr>
        <w:t xml:space="preserve"> Industries Ltd. vs. CIT (2009) 319 ITR 208 (SC) (Full Bench)</w:t>
      </w:r>
    </w:p>
    <w:p w:rsidR="0037540A" w:rsidRDefault="0037540A" w:rsidP="00815C67">
      <w:pPr>
        <w:pStyle w:val="NormalWeb"/>
        <w:jc w:val="both"/>
      </w:pPr>
      <w:r>
        <w:rPr>
          <w:rFonts w:ascii="Verdana" w:hAnsi="Verdana"/>
          <w:b/>
          <w:bCs/>
          <w:sz w:val="20"/>
          <w:szCs w:val="20"/>
        </w:rPr>
        <w:lastRenderedPageBreak/>
        <w:t>56. Search and Seizure – Powers of seizure – S. 132(1</w:t>
      </w:r>
      <w:proofErr w:type="gramStart"/>
      <w:r>
        <w:rPr>
          <w:rFonts w:ascii="Verdana" w:hAnsi="Verdana"/>
          <w:b/>
          <w:bCs/>
          <w:sz w:val="20"/>
          <w:szCs w:val="20"/>
        </w:rPr>
        <w:t>)(</w:t>
      </w:r>
      <w:proofErr w:type="gramEnd"/>
      <w:r>
        <w:rPr>
          <w:rFonts w:ascii="Verdana" w:hAnsi="Verdana"/>
          <w:b/>
          <w:bCs/>
          <w:sz w:val="20"/>
          <w:szCs w:val="20"/>
        </w:rPr>
        <w:t>ii)(b)</w:t>
      </w:r>
    </w:p>
    <w:p w:rsidR="0037540A" w:rsidRDefault="0037540A" w:rsidP="00815C67">
      <w:pPr>
        <w:pStyle w:val="NormalWeb"/>
        <w:jc w:val="both"/>
      </w:pPr>
      <w:r>
        <w:rPr>
          <w:rFonts w:ascii="Verdana" w:hAnsi="Verdana"/>
          <w:sz w:val="20"/>
          <w:szCs w:val="20"/>
        </w:rPr>
        <w:t xml:space="preserve">It is open to the department to copy the data relating to the specified three entities of the </w:t>
      </w:r>
      <w:proofErr w:type="spellStart"/>
      <w:r>
        <w:rPr>
          <w:rFonts w:ascii="Verdana" w:hAnsi="Verdana"/>
          <w:sz w:val="20"/>
          <w:szCs w:val="20"/>
        </w:rPr>
        <w:t>assessee</w:t>
      </w:r>
      <w:proofErr w:type="spellEnd"/>
      <w:r>
        <w:rPr>
          <w:rFonts w:ascii="Verdana" w:hAnsi="Verdana"/>
          <w:sz w:val="20"/>
          <w:szCs w:val="20"/>
        </w:rPr>
        <w:t xml:space="preserve"> group from the two laptops which were seized from the possession of auditor of firm.</w:t>
      </w:r>
    </w:p>
    <w:p w:rsidR="0037540A" w:rsidRDefault="0037540A" w:rsidP="00815C67">
      <w:pPr>
        <w:pStyle w:val="NormalWeb"/>
        <w:jc w:val="both"/>
      </w:pPr>
      <w:r>
        <w:rPr>
          <w:rFonts w:ascii="Verdana" w:hAnsi="Verdana"/>
          <w:i/>
          <w:iCs/>
          <w:sz w:val="20"/>
          <w:szCs w:val="20"/>
        </w:rPr>
        <w:t xml:space="preserve">DI (Inv) vs. </w:t>
      </w:r>
      <w:proofErr w:type="spellStart"/>
      <w:r>
        <w:rPr>
          <w:rFonts w:ascii="Verdana" w:hAnsi="Verdana"/>
          <w:i/>
          <w:iCs/>
          <w:sz w:val="20"/>
          <w:szCs w:val="20"/>
        </w:rPr>
        <w:t>Batliboi</w:t>
      </w:r>
      <w:proofErr w:type="spellEnd"/>
      <w:r>
        <w:rPr>
          <w:rFonts w:ascii="Verdana" w:hAnsi="Verdana"/>
          <w:i/>
          <w:iCs/>
          <w:sz w:val="20"/>
          <w:szCs w:val="20"/>
        </w:rPr>
        <w:t xml:space="preserve"> &amp; Co. (2009) 31 DTR 187 (SC) </w:t>
      </w:r>
    </w:p>
    <w:p w:rsidR="0037540A" w:rsidRDefault="0037540A" w:rsidP="00815C67">
      <w:pPr>
        <w:pStyle w:val="NormalWeb"/>
        <w:jc w:val="both"/>
      </w:pPr>
      <w:r>
        <w:rPr>
          <w:rFonts w:ascii="Verdana" w:hAnsi="Verdana"/>
          <w:sz w:val="20"/>
          <w:szCs w:val="20"/>
        </w:rPr>
        <w:t>Editorial Note</w:t>
      </w:r>
      <w:proofErr w:type="gramStart"/>
      <w:r>
        <w:rPr>
          <w:rFonts w:ascii="Verdana" w:hAnsi="Verdana"/>
          <w:sz w:val="20"/>
          <w:szCs w:val="20"/>
        </w:rPr>
        <w:t>:-</w:t>
      </w:r>
      <w:proofErr w:type="gramEnd"/>
      <w:r>
        <w:rPr>
          <w:rFonts w:ascii="Verdana" w:hAnsi="Verdana"/>
          <w:sz w:val="20"/>
          <w:szCs w:val="20"/>
        </w:rPr>
        <w:t xml:space="preserve"> Delhi High Court Order: S. R. </w:t>
      </w:r>
      <w:proofErr w:type="spellStart"/>
      <w:r>
        <w:rPr>
          <w:rFonts w:ascii="Verdana" w:hAnsi="Verdana"/>
          <w:sz w:val="20"/>
          <w:szCs w:val="20"/>
        </w:rPr>
        <w:t>Batliboi</w:t>
      </w:r>
      <w:proofErr w:type="spellEnd"/>
      <w:r>
        <w:rPr>
          <w:rFonts w:ascii="Verdana" w:hAnsi="Verdana"/>
          <w:sz w:val="20"/>
          <w:szCs w:val="20"/>
        </w:rPr>
        <w:t xml:space="preserve"> &amp; Co. vs. Department of Income Tax (2009) 181 Taxman 9 (Del.)</w:t>
      </w:r>
    </w:p>
    <w:p w:rsidR="0037540A" w:rsidRDefault="0037540A" w:rsidP="00815C67">
      <w:pPr>
        <w:pStyle w:val="NormalWeb"/>
        <w:jc w:val="both"/>
      </w:pPr>
      <w:r>
        <w:rPr>
          <w:rFonts w:ascii="Verdana" w:hAnsi="Verdana"/>
          <w:b/>
          <w:bCs/>
          <w:sz w:val="20"/>
          <w:szCs w:val="20"/>
        </w:rPr>
        <w:t>57. Writ – Jurisdiction – Search and Seizure – Art. 226. S 132A</w:t>
      </w:r>
    </w:p>
    <w:p w:rsidR="0037540A" w:rsidRDefault="0037540A" w:rsidP="00815C67">
      <w:pPr>
        <w:pStyle w:val="NormalWeb"/>
        <w:jc w:val="both"/>
      </w:pPr>
      <w:r>
        <w:rPr>
          <w:rFonts w:ascii="Verdana" w:hAnsi="Verdana"/>
          <w:sz w:val="20"/>
          <w:szCs w:val="20"/>
        </w:rPr>
        <w:t>Genesis for the entire episode of search seizure and detention having taken place at Hyderabad airport, cause of action arose at Hyderabad and therefore writ petition was maintainable at Andhra Pradesh High Court.</w:t>
      </w:r>
    </w:p>
    <w:p w:rsidR="0037540A" w:rsidRDefault="0037540A" w:rsidP="00815C67">
      <w:pPr>
        <w:pStyle w:val="NormalWeb"/>
        <w:jc w:val="both"/>
      </w:pPr>
      <w:proofErr w:type="spellStart"/>
      <w:r>
        <w:rPr>
          <w:rFonts w:ascii="Verdana" w:hAnsi="Verdana"/>
          <w:i/>
          <w:iCs/>
          <w:sz w:val="20"/>
          <w:szCs w:val="20"/>
        </w:rPr>
        <w:t>Rajendraan</w:t>
      </w:r>
      <w:proofErr w:type="spellEnd"/>
      <w:r>
        <w:rPr>
          <w:rFonts w:ascii="Verdana" w:hAnsi="Verdana"/>
          <w:i/>
          <w:iCs/>
          <w:sz w:val="20"/>
          <w:szCs w:val="20"/>
        </w:rPr>
        <w:t xml:space="preserve"> </w:t>
      </w:r>
      <w:proofErr w:type="spellStart"/>
      <w:r>
        <w:rPr>
          <w:rFonts w:ascii="Verdana" w:hAnsi="Verdana"/>
          <w:i/>
          <w:iCs/>
          <w:sz w:val="20"/>
          <w:szCs w:val="20"/>
        </w:rPr>
        <w:t>Chingaravelue</w:t>
      </w:r>
      <w:proofErr w:type="spellEnd"/>
      <w:r>
        <w:rPr>
          <w:rFonts w:ascii="Verdana" w:hAnsi="Verdana"/>
          <w:i/>
          <w:iCs/>
          <w:sz w:val="20"/>
          <w:szCs w:val="20"/>
        </w:rPr>
        <w:t xml:space="preserve"> vs. R. K. </w:t>
      </w:r>
      <w:proofErr w:type="spellStart"/>
      <w:r>
        <w:rPr>
          <w:rFonts w:ascii="Verdana" w:hAnsi="Verdana"/>
          <w:i/>
          <w:iCs/>
          <w:sz w:val="20"/>
          <w:szCs w:val="20"/>
        </w:rPr>
        <w:t>Mishra</w:t>
      </w:r>
      <w:proofErr w:type="spellEnd"/>
      <w:r>
        <w:rPr>
          <w:rFonts w:ascii="Verdana" w:hAnsi="Verdana"/>
          <w:i/>
          <w:iCs/>
          <w:sz w:val="20"/>
          <w:szCs w:val="20"/>
        </w:rPr>
        <w:t xml:space="preserve"> Addl. CIT (2009) 32 DTR 129 (SC) (2009) 227 CTR 520 (SC)</w:t>
      </w:r>
    </w:p>
    <w:p w:rsidR="003C100D" w:rsidRDefault="003C100D" w:rsidP="00815C67">
      <w:pPr>
        <w:pStyle w:val="NormalWeb"/>
        <w:jc w:val="both"/>
      </w:pPr>
      <w:r>
        <w:rPr>
          <w:rFonts w:ascii="Verdana" w:hAnsi="Verdana"/>
          <w:b/>
          <w:bCs/>
          <w:sz w:val="20"/>
          <w:szCs w:val="20"/>
        </w:rPr>
        <w:t>58. S. 15 – Salaries - overriding charge</w:t>
      </w:r>
    </w:p>
    <w:p w:rsidR="003C100D" w:rsidRDefault="003C100D" w:rsidP="00815C67">
      <w:pPr>
        <w:pStyle w:val="NormalWeb"/>
        <w:jc w:val="both"/>
      </w:pPr>
      <w:r>
        <w:rPr>
          <w:rFonts w:ascii="Verdana" w:hAnsi="Verdana"/>
          <w:sz w:val="20"/>
          <w:szCs w:val="20"/>
        </w:rPr>
        <w:t xml:space="preserve">The matter was remanded to the Tribunal for fresh consideration in terms of the clause in the letter of employment providing that the emoluments paid by the </w:t>
      </w:r>
      <w:proofErr w:type="spellStart"/>
      <w:r>
        <w:rPr>
          <w:rFonts w:ascii="Verdana" w:hAnsi="Verdana"/>
          <w:sz w:val="20"/>
          <w:szCs w:val="20"/>
        </w:rPr>
        <w:t>assessee</w:t>
      </w:r>
      <w:proofErr w:type="spellEnd"/>
      <w:r>
        <w:rPr>
          <w:rFonts w:ascii="Verdana" w:hAnsi="Verdana"/>
          <w:sz w:val="20"/>
          <w:szCs w:val="20"/>
        </w:rPr>
        <w:t xml:space="preserve"> were subject to deduction of tax as per applicable laws. Therefore, the Commissioner (Appeals) ought to have examined the provisions of the Citizens Individual Inhabitant Act, which was a Japanese law, and ought to have </w:t>
      </w:r>
      <w:proofErr w:type="spellStart"/>
      <w:r>
        <w:rPr>
          <w:rFonts w:ascii="Verdana" w:hAnsi="Verdana"/>
          <w:sz w:val="20"/>
          <w:szCs w:val="20"/>
        </w:rPr>
        <w:t>analysed</w:t>
      </w:r>
      <w:proofErr w:type="spellEnd"/>
      <w:r>
        <w:rPr>
          <w:rFonts w:ascii="Verdana" w:hAnsi="Verdana"/>
          <w:sz w:val="20"/>
          <w:szCs w:val="20"/>
        </w:rPr>
        <w:t xml:space="preserve"> the provisions of that law, particularly when the question as to the nature of the levy as being an overriding charge had to be decided.</w:t>
      </w:r>
    </w:p>
    <w:p w:rsidR="003C100D" w:rsidRDefault="003C100D" w:rsidP="00815C67">
      <w:pPr>
        <w:pStyle w:val="NormalWeb"/>
        <w:jc w:val="both"/>
      </w:pPr>
      <w:r>
        <w:rPr>
          <w:rFonts w:ascii="Verdana" w:hAnsi="Verdana"/>
          <w:i/>
          <w:iCs/>
          <w:sz w:val="20"/>
          <w:szCs w:val="20"/>
        </w:rPr>
        <w:t>CIT vs. NHK Japan Broadcasting Corporation (2010) 322 ITR 628 (SC)</w:t>
      </w:r>
    </w:p>
    <w:p w:rsidR="003C100D" w:rsidRDefault="003C100D" w:rsidP="00815C67">
      <w:pPr>
        <w:pStyle w:val="NormalWeb"/>
        <w:jc w:val="both"/>
        <w:rPr>
          <w:b/>
          <w:bCs/>
        </w:rPr>
      </w:pPr>
      <w:r>
        <w:rPr>
          <w:rFonts w:ascii="Verdana" w:hAnsi="Verdana"/>
          <w:b/>
          <w:bCs/>
          <w:sz w:val="20"/>
          <w:szCs w:val="20"/>
        </w:rPr>
        <w:t>59. S. 17(2</w:t>
      </w:r>
      <w:proofErr w:type="gramStart"/>
      <w:r>
        <w:rPr>
          <w:rFonts w:ascii="Verdana" w:hAnsi="Verdana"/>
          <w:b/>
          <w:bCs/>
          <w:sz w:val="20"/>
          <w:szCs w:val="20"/>
        </w:rPr>
        <w:t>)(</w:t>
      </w:r>
      <w:proofErr w:type="gramEnd"/>
      <w:r>
        <w:rPr>
          <w:rFonts w:ascii="Verdana" w:hAnsi="Verdana"/>
          <w:b/>
          <w:bCs/>
          <w:sz w:val="20"/>
          <w:szCs w:val="20"/>
        </w:rPr>
        <w:t>ii) — Salary – Perquisites – Rule 3 valuation</w:t>
      </w:r>
    </w:p>
    <w:p w:rsidR="003C100D" w:rsidRDefault="003C100D" w:rsidP="00815C67">
      <w:pPr>
        <w:pStyle w:val="NormalWeb"/>
        <w:jc w:val="both"/>
      </w:pPr>
      <w:r>
        <w:rPr>
          <w:rFonts w:ascii="Verdana" w:hAnsi="Verdana"/>
          <w:sz w:val="20"/>
          <w:szCs w:val="20"/>
        </w:rPr>
        <w:t xml:space="preserve">Rule 3 of the Income Tax Rules, 1962 dealing with the method of computing valuation of perquisites under section 17(2), of the Income Tax Act 1961, is not invalid after it was amended by the Income Tax Act (twenty second amendment) Rules 2001. It is not inconsistent with the parent Act, nor is it ultra </w:t>
      </w:r>
      <w:proofErr w:type="spellStart"/>
      <w:r>
        <w:rPr>
          <w:rFonts w:ascii="Verdana" w:hAnsi="Verdana"/>
          <w:sz w:val="20"/>
          <w:szCs w:val="20"/>
        </w:rPr>
        <w:t>vires</w:t>
      </w:r>
      <w:proofErr w:type="spellEnd"/>
      <w:r>
        <w:rPr>
          <w:rFonts w:ascii="Verdana" w:hAnsi="Verdana"/>
          <w:sz w:val="20"/>
          <w:szCs w:val="20"/>
        </w:rPr>
        <w:t xml:space="preserve"> article 14 of the Constitution of India.</w:t>
      </w:r>
    </w:p>
    <w:p w:rsidR="003C100D" w:rsidRDefault="003C100D" w:rsidP="00815C67">
      <w:pPr>
        <w:pStyle w:val="NormalWeb"/>
        <w:jc w:val="both"/>
      </w:pPr>
      <w:r>
        <w:rPr>
          <w:rFonts w:ascii="Verdana" w:hAnsi="Verdana"/>
          <w:i/>
          <w:iCs/>
          <w:sz w:val="20"/>
          <w:szCs w:val="20"/>
        </w:rPr>
        <w:t>BHEL workers Union and another vs. UOI (2010) 324 ITR 26 (SC)</w:t>
      </w:r>
    </w:p>
    <w:p w:rsidR="003C100D" w:rsidRDefault="003C100D" w:rsidP="00815C67">
      <w:pPr>
        <w:pStyle w:val="NormalWeb"/>
        <w:jc w:val="both"/>
        <w:rPr>
          <w:b/>
          <w:bCs/>
        </w:rPr>
      </w:pPr>
      <w:r>
        <w:rPr>
          <w:rFonts w:ascii="Verdana" w:hAnsi="Verdana"/>
          <w:b/>
          <w:bCs/>
          <w:sz w:val="20"/>
          <w:szCs w:val="20"/>
        </w:rPr>
        <w:t>60. S. 28 — Business income or other sources – Interest income – Remanded – (S. 56)</w:t>
      </w:r>
    </w:p>
    <w:p w:rsidR="003C100D" w:rsidRDefault="003C100D" w:rsidP="00815C67">
      <w:pPr>
        <w:pStyle w:val="NormalWeb"/>
        <w:jc w:val="both"/>
      </w:pPr>
      <w:r>
        <w:rPr>
          <w:rFonts w:ascii="Verdana" w:hAnsi="Verdana"/>
          <w:sz w:val="20"/>
          <w:szCs w:val="20"/>
        </w:rPr>
        <w:t xml:space="preserve">In the absence of factual matrix to decide the question whether the interest income received by the </w:t>
      </w:r>
      <w:proofErr w:type="spellStart"/>
      <w:r>
        <w:rPr>
          <w:rFonts w:ascii="Verdana" w:hAnsi="Verdana"/>
          <w:sz w:val="20"/>
          <w:szCs w:val="20"/>
        </w:rPr>
        <w:t>assessee</w:t>
      </w:r>
      <w:proofErr w:type="spellEnd"/>
      <w:r>
        <w:rPr>
          <w:rFonts w:ascii="Verdana" w:hAnsi="Verdana"/>
          <w:sz w:val="20"/>
          <w:szCs w:val="20"/>
        </w:rPr>
        <w:t xml:space="preserve"> on short-term fixed deposits constituted business income under section 28 or income from other sources under section 56, the matter was remanded to the Appellate Tribunal for fresh consideration in accordance with law.</w:t>
      </w:r>
    </w:p>
    <w:p w:rsidR="003C100D" w:rsidRDefault="003C100D" w:rsidP="00815C67">
      <w:pPr>
        <w:pStyle w:val="NormalWeb"/>
        <w:jc w:val="both"/>
      </w:pPr>
      <w:r>
        <w:rPr>
          <w:rFonts w:ascii="Verdana" w:hAnsi="Verdana"/>
          <w:i/>
          <w:iCs/>
          <w:sz w:val="20"/>
          <w:szCs w:val="20"/>
        </w:rPr>
        <w:t>CIT vs. Producing P. Ltd. (2010) 322 ITR 270 (SC)</w:t>
      </w:r>
    </w:p>
    <w:p w:rsidR="003C100D" w:rsidRDefault="003C100D" w:rsidP="00815C67">
      <w:pPr>
        <w:pStyle w:val="NormalWeb"/>
        <w:jc w:val="both"/>
        <w:rPr>
          <w:b/>
          <w:bCs/>
        </w:rPr>
      </w:pPr>
      <w:r>
        <w:rPr>
          <w:rFonts w:ascii="Verdana" w:hAnsi="Verdana"/>
          <w:b/>
          <w:bCs/>
          <w:sz w:val="20"/>
          <w:szCs w:val="20"/>
        </w:rPr>
        <w:lastRenderedPageBreak/>
        <w:t>61. S. 36(1</w:t>
      </w:r>
      <w:proofErr w:type="gramStart"/>
      <w:r>
        <w:rPr>
          <w:rFonts w:ascii="Verdana" w:hAnsi="Verdana"/>
          <w:b/>
          <w:bCs/>
          <w:sz w:val="20"/>
          <w:szCs w:val="20"/>
        </w:rPr>
        <w:t>)(</w:t>
      </w:r>
      <w:proofErr w:type="gramEnd"/>
      <w:r>
        <w:rPr>
          <w:rFonts w:ascii="Verdana" w:hAnsi="Verdana"/>
          <w:b/>
          <w:bCs/>
          <w:sz w:val="20"/>
          <w:szCs w:val="20"/>
        </w:rPr>
        <w:t>vii) : Bad debts - written off</w:t>
      </w:r>
    </w:p>
    <w:p w:rsidR="003C100D" w:rsidRDefault="003C100D" w:rsidP="00815C67">
      <w:pPr>
        <w:pStyle w:val="NormalWeb"/>
        <w:jc w:val="both"/>
      </w:pPr>
      <w:proofErr w:type="gramStart"/>
      <w:r>
        <w:rPr>
          <w:rFonts w:ascii="Verdana" w:hAnsi="Verdana"/>
          <w:sz w:val="20"/>
          <w:szCs w:val="20"/>
        </w:rPr>
        <w:t xml:space="preserve">After insertion of </w:t>
      </w:r>
      <w:proofErr w:type="spellStart"/>
      <w:r>
        <w:rPr>
          <w:rFonts w:ascii="Verdana" w:hAnsi="Verdana"/>
          <w:sz w:val="20"/>
          <w:szCs w:val="20"/>
        </w:rPr>
        <w:t>Expl</w:t>
      </w:r>
      <w:proofErr w:type="spellEnd"/>
      <w:r>
        <w:rPr>
          <w:rFonts w:ascii="Verdana" w:hAnsi="Verdana"/>
          <w:sz w:val="20"/>
          <w:szCs w:val="20"/>
        </w:rPr>
        <w:t>.</w:t>
      </w:r>
      <w:proofErr w:type="gramEnd"/>
      <w:r>
        <w:rPr>
          <w:rFonts w:ascii="Verdana" w:hAnsi="Verdana"/>
          <w:sz w:val="20"/>
          <w:szCs w:val="20"/>
        </w:rPr>
        <w:t xml:space="preserve"> to section 36(1</w:t>
      </w:r>
      <w:proofErr w:type="gramStart"/>
      <w:r>
        <w:rPr>
          <w:rFonts w:ascii="Verdana" w:hAnsi="Verdana"/>
          <w:sz w:val="20"/>
          <w:szCs w:val="20"/>
        </w:rPr>
        <w:t>)(</w:t>
      </w:r>
      <w:proofErr w:type="gramEnd"/>
      <w:r>
        <w:rPr>
          <w:rFonts w:ascii="Verdana" w:hAnsi="Verdana"/>
          <w:sz w:val="20"/>
          <w:szCs w:val="20"/>
        </w:rPr>
        <w:t xml:space="preserve">vii), </w:t>
      </w:r>
      <w:proofErr w:type="spellStart"/>
      <w:r>
        <w:rPr>
          <w:rFonts w:ascii="Verdana" w:hAnsi="Verdana"/>
          <w:sz w:val="20"/>
          <w:szCs w:val="20"/>
        </w:rPr>
        <w:t>assessee</w:t>
      </w:r>
      <w:proofErr w:type="spellEnd"/>
      <w:r>
        <w:rPr>
          <w:rFonts w:ascii="Verdana" w:hAnsi="Verdana"/>
          <w:sz w:val="20"/>
          <w:szCs w:val="20"/>
        </w:rPr>
        <w:t xml:space="preserve"> is required to not only debit Profit &amp; Loss Account but simultaneously reduce loans and advances or debts from the Assets side of Balance Sheet to the extent of corresponding amount so that at the end of the year, the amount of loans and advances is shown as net of provision for the impugned debt – It is not necessary to close the individual account of each debtor in the books.</w:t>
      </w:r>
    </w:p>
    <w:p w:rsidR="003C100D" w:rsidRDefault="003C100D" w:rsidP="00815C67">
      <w:pPr>
        <w:pStyle w:val="NormalWeb"/>
        <w:jc w:val="both"/>
      </w:pPr>
      <w:proofErr w:type="spellStart"/>
      <w:r>
        <w:rPr>
          <w:rFonts w:ascii="Verdana" w:hAnsi="Verdana"/>
          <w:i/>
          <w:iCs/>
          <w:sz w:val="20"/>
          <w:szCs w:val="20"/>
        </w:rPr>
        <w:t>Vijaya</w:t>
      </w:r>
      <w:proofErr w:type="spellEnd"/>
      <w:r>
        <w:rPr>
          <w:rFonts w:ascii="Verdana" w:hAnsi="Verdana"/>
          <w:i/>
          <w:iCs/>
          <w:sz w:val="20"/>
          <w:szCs w:val="20"/>
        </w:rPr>
        <w:t xml:space="preserve"> Bank vs. CIT (2010) 231 CTR 209 / 323 1 TR 166/37 DTR 401 (SC) </w:t>
      </w:r>
    </w:p>
    <w:p w:rsidR="003C100D" w:rsidRDefault="003C100D" w:rsidP="00815C67">
      <w:pPr>
        <w:pStyle w:val="NormalWeb"/>
        <w:jc w:val="both"/>
        <w:rPr>
          <w:b/>
          <w:bCs/>
        </w:rPr>
      </w:pPr>
      <w:r>
        <w:rPr>
          <w:rFonts w:ascii="Verdana" w:hAnsi="Verdana"/>
          <w:b/>
          <w:bCs/>
          <w:sz w:val="20"/>
          <w:szCs w:val="20"/>
        </w:rPr>
        <w:t>62. S. 37(1) — Business expenditure – Extra payment of sugarcane price to cane growers</w:t>
      </w:r>
    </w:p>
    <w:p w:rsidR="003C100D" w:rsidRDefault="003C100D" w:rsidP="00815C67">
      <w:pPr>
        <w:pStyle w:val="NormalWeb"/>
        <w:jc w:val="both"/>
      </w:pPr>
      <w:r>
        <w:rPr>
          <w:rFonts w:ascii="Verdana" w:hAnsi="Verdana"/>
          <w:sz w:val="20"/>
          <w:szCs w:val="20"/>
        </w:rPr>
        <w:t xml:space="preserve">Matter is remanded to </w:t>
      </w:r>
      <w:proofErr w:type="gramStart"/>
      <w:r>
        <w:rPr>
          <w:rFonts w:ascii="Verdana" w:hAnsi="Verdana"/>
          <w:sz w:val="20"/>
          <w:szCs w:val="20"/>
        </w:rPr>
        <w:t>CIT(</w:t>
      </w:r>
      <w:proofErr w:type="gramEnd"/>
      <w:r>
        <w:rPr>
          <w:rFonts w:ascii="Verdana" w:hAnsi="Verdana"/>
          <w:sz w:val="20"/>
          <w:szCs w:val="20"/>
        </w:rPr>
        <w:t xml:space="preserve">A) to decide whether the differential payment made by the </w:t>
      </w:r>
      <w:proofErr w:type="spellStart"/>
      <w:r>
        <w:rPr>
          <w:rFonts w:ascii="Verdana" w:hAnsi="Verdana"/>
          <w:sz w:val="20"/>
          <w:szCs w:val="20"/>
        </w:rPr>
        <w:t>assessee</w:t>
      </w:r>
      <w:proofErr w:type="spellEnd"/>
      <w:r>
        <w:rPr>
          <w:rFonts w:ascii="Verdana" w:hAnsi="Verdana"/>
          <w:sz w:val="20"/>
          <w:szCs w:val="20"/>
        </w:rPr>
        <w:t xml:space="preserve"> to cane growers after the close of the financial year / balance sheet date constitute an expenditure or distribution of profit, after taking into account the resolution of the State Government modalities and the manner in which SAP and SMP are decided, the timing difference which will arise on account of the difference in the accounting years, etc.</w:t>
      </w:r>
    </w:p>
    <w:p w:rsidR="003C100D" w:rsidRDefault="003C100D" w:rsidP="00815C67">
      <w:pPr>
        <w:pStyle w:val="NormalWeb"/>
        <w:jc w:val="both"/>
      </w:pPr>
      <w:r>
        <w:rPr>
          <w:rFonts w:ascii="Verdana" w:hAnsi="Verdana"/>
          <w:i/>
          <w:iCs/>
          <w:sz w:val="20"/>
          <w:szCs w:val="20"/>
        </w:rPr>
        <w:t xml:space="preserve">Dy. CIT vs. </w:t>
      </w:r>
      <w:proofErr w:type="spellStart"/>
      <w:r>
        <w:rPr>
          <w:rFonts w:ascii="Verdana" w:hAnsi="Verdana"/>
          <w:i/>
          <w:iCs/>
          <w:sz w:val="20"/>
          <w:szCs w:val="20"/>
        </w:rPr>
        <w:t>Shri</w:t>
      </w:r>
      <w:proofErr w:type="spellEnd"/>
      <w:r>
        <w:rPr>
          <w:rFonts w:ascii="Verdana" w:hAnsi="Verdana"/>
          <w:i/>
          <w:iCs/>
          <w:sz w:val="20"/>
          <w:szCs w:val="20"/>
        </w:rPr>
        <w:t xml:space="preserve"> </w:t>
      </w:r>
      <w:proofErr w:type="spellStart"/>
      <w:r>
        <w:rPr>
          <w:rFonts w:ascii="Verdana" w:hAnsi="Verdana"/>
          <w:i/>
          <w:iCs/>
          <w:sz w:val="20"/>
          <w:szCs w:val="20"/>
        </w:rPr>
        <w:t>Satpuda</w:t>
      </w:r>
      <w:proofErr w:type="spellEnd"/>
      <w:r>
        <w:rPr>
          <w:rFonts w:ascii="Verdana" w:hAnsi="Verdana"/>
          <w:i/>
          <w:iCs/>
          <w:sz w:val="20"/>
          <w:szCs w:val="20"/>
        </w:rPr>
        <w:t xml:space="preserve"> </w:t>
      </w:r>
      <w:proofErr w:type="spellStart"/>
      <w:r>
        <w:rPr>
          <w:rFonts w:ascii="Verdana" w:hAnsi="Verdana"/>
          <w:i/>
          <w:iCs/>
          <w:sz w:val="20"/>
          <w:szCs w:val="20"/>
        </w:rPr>
        <w:t>Tapi</w:t>
      </w:r>
      <w:proofErr w:type="spellEnd"/>
      <w:r>
        <w:rPr>
          <w:rFonts w:ascii="Verdana" w:hAnsi="Verdana"/>
          <w:i/>
          <w:iCs/>
          <w:sz w:val="20"/>
          <w:szCs w:val="20"/>
        </w:rPr>
        <w:t xml:space="preserve"> </w:t>
      </w:r>
      <w:proofErr w:type="spellStart"/>
      <w:r>
        <w:rPr>
          <w:rFonts w:ascii="Verdana" w:hAnsi="Verdana"/>
          <w:i/>
          <w:iCs/>
          <w:sz w:val="20"/>
          <w:szCs w:val="20"/>
        </w:rPr>
        <w:t>Parisar</w:t>
      </w:r>
      <w:proofErr w:type="spellEnd"/>
      <w:r>
        <w:rPr>
          <w:rFonts w:ascii="Verdana" w:hAnsi="Verdana"/>
          <w:i/>
          <w:iCs/>
          <w:sz w:val="20"/>
          <w:szCs w:val="20"/>
        </w:rPr>
        <w:t xml:space="preserve"> SSK Ltd. (2010) 231 CTR 224 / 38 DTR 89 (SC)</w:t>
      </w:r>
    </w:p>
    <w:p w:rsidR="003C100D" w:rsidRDefault="003C100D" w:rsidP="00815C67">
      <w:pPr>
        <w:pStyle w:val="NormalWeb"/>
        <w:jc w:val="both"/>
        <w:rPr>
          <w:b/>
          <w:bCs/>
        </w:rPr>
      </w:pPr>
      <w:r>
        <w:rPr>
          <w:rFonts w:ascii="Verdana" w:hAnsi="Verdana"/>
          <w:b/>
          <w:bCs/>
          <w:sz w:val="20"/>
          <w:szCs w:val="20"/>
        </w:rPr>
        <w:t>63. S. 37(1) – Business expenditure – Fluctuation rate of Foreign Exchange – (S. 43A)</w:t>
      </w:r>
    </w:p>
    <w:p w:rsidR="003C100D" w:rsidRDefault="003C100D" w:rsidP="00815C67">
      <w:pPr>
        <w:pStyle w:val="NormalWeb"/>
        <w:jc w:val="both"/>
      </w:pPr>
      <w:r>
        <w:rPr>
          <w:rFonts w:ascii="Verdana" w:hAnsi="Verdana"/>
          <w:sz w:val="20"/>
          <w:szCs w:val="20"/>
        </w:rPr>
        <w:t>The loss claimed by the appellant on account of fluctuation in the rate of foreign exchange as on the date of the balance-sheet was allowable as expenditure under section 37(1). The appellant was entitled to adjust the actual cost of imported assets acquired in foreign currency on account of fluctuation in the rate of exchange at each of the relevant balance-sheet dates, pending actual payment of the liability under section 43A prior to its amendment by the Finance Act, 2002.</w:t>
      </w:r>
    </w:p>
    <w:p w:rsidR="003C100D" w:rsidRDefault="003C100D" w:rsidP="00815C67">
      <w:pPr>
        <w:pStyle w:val="NormalWeb"/>
        <w:jc w:val="both"/>
      </w:pPr>
      <w:proofErr w:type="gramStart"/>
      <w:r>
        <w:rPr>
          <w:rFonts w:ascii="Verdana" w:hAnsi="Verdana"/>
          <w:i/>
          <w:iCs/>
          <w:sz w:val="20"/>
          <w:szCs w:val="20"/>
        </w:rPr>
        <w:t>Oil and Natural Gas Corporation Ltd. vs. CIT (2010) 322 ITR 180 / 5 SCC 468 / 189 Taxman 292 (SC).</w:t>
      </w:r>
      <w:proofErr w:type="gramEnd"/>
    </w:p>
    <w:p w:rsidR="003C100D" w:rsidRDefault="003C100D" w:rsidP="00815C67">
      <w:pPr>
        <w:pStyle w:val="NormalWeb"/>
        <w:jc w:val="both"/>
        <w:rPr>
          <w:b/>
          <w:bCs/>
        </w:rPr>
      </w:pPr>
      <w:r>
        <w:rPr>
          <w:rFonts w:ascii="Verdana" w:hAnsi="Verdana"/>
          <w:b/>
          <w:bCs/>
          <w:sz w:val="20"/>
          <w:szCs w:val="20"/>
        </w:rPr>
        <w:t xml:space="preserve">64. S. 68 – Cash credit — </w:t>
      </w:r>
      <w:proofErr w:type="gramStart"/>
      <w:r>
        <w:rPr>
          <w:rFonts w:ascii="Verdana" w:hAnsi="Verdana"/>
          <w:b/>
          <w:bCs/>
          <w:sz w:val="20"/>
          <w:szCs w:val="20"/>
        </w:rPr>
        <w:t>Foreign</w:t>
      </w:r>
      <w:proofErr w:type="gramEnd"/>
      <w:r>
        <w:rPr>
          <w:rFonts w:ascii="Verdana" w:hAnsi="Verdana"/>
          <w:b/>
          <w:bCs/>
          <w:sz w:val="20"/>
          <w:szCs w:val="20"/>
        </w:rPr>
        <w:t xml:space="preserve"> gift</w:t>
      </w:r>
    </w:p>
    <w:p w:rsidR="003C100D" w:rsidRDefault="003C100D" w:rsidP="00815C67">
      <w:pPr>
        <w:pStyle w:val="NormalWeb"/>
        <w:jc w:val="both"/>
      </w:pPr>
      <w:r>
        <w:rPr>
          <w:rFonts w:ascii="Verdana" w:hAnsi="Verdana"/>
          <w:sz w:val="20"/>
          <w:szCs w:val="20"/>
        </w:rPr>
        <w:t xml:space="preserve">When </w:t>
      </w:r>
      <w:proofErr w:type="spellStart"/>
      <w:r>
        <w:rPr>
          <w:rFonts w:ascii="Verdana" w:hAnsi="Verdana"/>
          <w:sz w:val="20"/>
          <w:szCs w:val="20"/>
        </w:rPr>
        <w:t>assessee</w:t>
      </w:r>
      <w:proofErr w:type="spellEnd"/>
      <w:r>
        <w:rPr>
          <w:rFonts w:ascii="Verdana" w:hAnsi="Verdana"/>
          <w:sz w:val="20"/>
          <w:szCs w:val="20"/>
        </w:rPr>
        <w:t xml:space="preserve"> files confirmation, and establishes the capacity addition cannot be made under section 68.</w:t>
      </w:r>
    </w:p>
    <w:p w:rsidR="003C100D" w:rsidRDefault="003C100D" w:rsidP="00815C67">
      <w:pPr>
        <w:pStyle w:val="NormalWeb"/>
        <w:jc w:val="both"/>
      </w:pPr>
      <w:r>
        <w:rPr>
          <w:rFonts w:ascii="Verdana" w:hAnsi="Verdana"/>
          <w:i/>
          <w:iCs/>
          <w:sz w:val="20"/>
          <w:szCs w:val="20"/>
        </w:rPr>
        <w:t xml:space="preserve">CIT vs. </w:t>
      </w:r>
      <w:proofErr w:type="spellStart"/>
      <w:r>
        <w:rPr>
          <w:rFonts w:ascii="Verdana" w:hAnsi="Verdana"/>
          <w:i/>
          <w:iCs/>
          <w:sz w:val="20"/>
          <w:szCs w:val="20"/>
        </w:rPr>
        <w:t>Asha</w:t>
      </w:r>
      <w:proofErr w:type="spellEnd"/>
      <w:r>
        <w:rPr>
          <w:rFonts w:ascii="Verdana" w:hAnsi="Verdana"/>
          <w:i/>
          <w:iCs/>
          <w:sz w:val="20"/>
          <w:szCs w:val="20"/>
        </w:rPr>
        <w:t xml:space="preserve"> </w:t>
      </w:r>
      <w:proofErr w:type="spellStart"/>
      <w:r>
        <w:rPr>
          <w:rFonts w:ascii="Verdana" w:hAnsi="Verdana"/>
          <w:i/>
          <w:iCs/>
          <w:sz w:val="20"/>
          <w:szCs w:val="20"/>
        </w:rPr>
        <w:t>Hampannavar</w:t>
      </w:r>
      <w:proofErr w:type="spellEnd"/>
      <w:r>
        <w:rPr>
          <w:rFonts w:ascii="Verdana" w:hAnsi="Verdana"/>
          <w:i/>
          <w:iCs/>
          <w:sz w:val="20"/>
          <w:szCs w:val="20"/>
        </w:rPr>
        <w:t>, SLP rejected (2009) 319 ITR (St.) 5</w:t>
      </w:r>
    </w:p>
    <w:p w:rsidR="003C100D" w:rsidRDefault="003C100D" w:rsidP="00815C67">
      <w:pPr>
        <w:pStyle w:val="NormalWeb"/>
        <w:jc w:val="both"/>
      </w:pPr>
      <w:r>
        <w:rPr>
          <w:rFonts w:ascii="Verdana" w:hAnsi="Verdana"/>
          <w:i/>
          <w:iCs/>
          <w:sz w:val="20"/>
          <w:szCs w:val="20"/>
        </w:rPr>
        <w:t xml:space="preserve">Refer ITA No. 1108 of 2008 </w:t>
      </w:r>
      <w:proofErr w:type="spellStart"/>
      <w:proofErr w:type="gramStart"/>
      <w:r>
        <w:rPr>
          <w:rFonts w:ascii="Verdana" w:hAnsi="Verdana"/>
          <w:i/>
          <w:iCs/>
          <w:sz w:val="20"/>
          <w:szCs w:val="20"/>
        </w:rPr>
        <w:t>dt</w:t>
      </w:r>
      <w:proofErr w:type="spellEnd"/>
      <w:proofErr w:type="gramEnd"/>
      <w:r>
        <w:rPr>
          <w:rFonts w:ascii="Verdana" w:hAnsi="Verdana"/>
          <w:i/>
          <w:iCs/>
          <w:sz w:val="20"/>
          <w:szCs w:val="20"/>
        </w:rPr>
        <w:t>. 26-9-2008 (Bombay High Court)</w:t>
      </w:r>
    </w:p>
    <w:p w:rsidR="003C100D" w:rsidRDefault="003C100D" w:rsidP="00815C67">
      <w:pPr>
        <w:pStyle w:val="NormalWeb"/>
        <w:jc w:val="both"/>
      </w:pPr>
      <w:r>
        <w:rPr>
          <w:rFonts w:ascii="Verdana" w:hAnsi="Verdana"/>
          <w:i/>
          <w:iCs/>
          <w:sz w:val="20"/>
          <w:szCs w:val="20"/>
        </w:rPr>
        <w:t xml:space="preserve">ITA No. 5319/Mum/2007 Bench ‘A’ </w:t>
      </w:r>
      <w:proofErr w:type="spellStart"/>
      <w:proofErr w:type="gramStart"/>
      <w:r>
        <w:rPr>
          <w:rFonts w:ascii="Verdana" w:hAnsi="Verdana"/>
          <w:i/>
          <w:iCs/>
          <w:sz w:val="20"/>
          <w:szCs w:val="20"/>
        </w:rPr>
        <w:t>dt</w:t>
      </w:r>
      <w:proofErr w:type="spellEnd"/>
      <w:proofErr w:type="gramEnd"/>
      <w:r>
        <w:rPr>
          <w:rFonts w:ascii="Verdana" w:hAnsi="Verdana"/>
          <w:i/>
          <w:iCs/>
          <w:sz w:val="20"/>
          <w:szCs w:val="20"/>
        </w:rPr>
        <w:t xml:space="preserve">. </w:t>
      </w:r>
      <w:proofErr w:type="gramStart"/>
      <w:r>
        <w:rPr>
          <w:rFonts w:ascii="Verdana" w:hAnsi="Verdana"/>
          <w:i/>
          <w:iCs/>
          <w:sz w:val="20"/>
          <w:szCs w:val="20"/>
        </w:rPr>
        <w:t>30-6-2008 Asst. Year 2003-04.</w:t>
      </w:r>
      <w:proofErr w:type="gramEnd"/>
      <w:r>
        <w:rPr>
          <w:rFonts w:ascii="Verdana" w:hAnsi="Verdana"/>
          <w:i/>
          <w:iCs/>
          <w:sz w:val="20"/>
          <w:szCs w:val="20"/>
        </w:rPr>
        <w:t xml:space="preserve"> </w:t>
      </w:r>
    </w:p>
    <w:p w:rsidR="003C100D" w:rsidRDefault="003C100D" w:rsidP="00815C67">
      <w:pPr>
        <w:pStyle w:val="NormalWeb"/>
        <w:jc w:val="both"/>
        <w:rPr>
          <w:b/>
          <w:bCs/>
        </w:rPr>
      </w:pPr>
      <w:r>
        <w:rPr>
          <w:rFonts w:ascii="Verdana" w:hAnsi="Verdana"/>
          <w:b/>
          <w:bCs/>
          <w:sz w:val="20"/>
          <w:szCs w:val="20"/>
        </w:rPr>
        <w:t xml:space="preserve">65. S. </w:t>
      </w:r>
      <w:proofErr w:type="gramStart"/>
      <w:r>
        <w:rPr>
          <w:rFonts w:ascii="Verdana" w:hAnsi="Verdana"/>
          <w:b/>
          <w:bCs/>
          <w:sz w:val="20"/>
          <w:szCs w:val="20"/>
        </w:rPr>
        <w:t>80P(</w:t>
      </w:r>
      <w:proofErr w:type="gramEnd"/>
      <w:r>
        <w:rPr>
          <w:rFonts w:ascii="Verdana" w:hAnsi="Verdana"/>
          <w:b/>
          <w:bCs/>
          <w:sz w:val="20"/>
          <w:szCs w:val="20"/>
        </w:rPr>
        <w:t>2)(a)(ii), (vi) – Deduction – Co-operative Society – Manufacturing Cloth through weavers – Members of the Primary Societies – Claim for deduction by the Apex Co-operative Society</w:t>
      </w:r>
    </w:p>
    <w:p w:rsidR="003C100D" w:rsidRDefault="003C100D" w:rsidP="00815C67">
      <w:pPr>
        <w:pStyle w:val="NormalWeb"/>
        <w:jc w:val="both"/>
      </w:pPr>
      <w:r>
        <w:rPr>
          <w:rFonts w:ascii="Verdana" w:hAnsi="Verdana"/>
          <w:sz w:val="20"/>
          <w:szCs w:val="20"/>
        </w:rPr>
        <w:t xml:space="preserve">The Assessing Officer ought to have called for the bye-laws of the </w:t>
      </w:r>
      <w:proofErr w:type="spellStart"/>
      <w:r>
        <w:rPr>
          <w:rFonts w:ascii="Verdana" w:hAnsi="Verdana"/>
          <w:sz w:val="20"/>
          <w:szCs w:val="20"/>
        </w:rPr>
        <w:t>assessee</w:t>
      </w:r>
      <w:proofErr w:type="spellEnd"/>
      <w:r>
        <w:rPr>
          <w:rFonts w:ascii="Verdana" w:hAnsi="Verdana"/>
          <w:sz w:val="20"/>
          <w:szCs w:val="20"/>
        </w:rPr>
        <w:t xml:space="preserve"> to determine (</w:t>
      </w:r>
      <w:proofErr w:type="spellStart"/>
      <w:r>
        <w:rPr>
          <w:rFonts w:ascii="Verdana" w:hAnsi="Verdana"/>
          <w:sz w:val="20"/>
          <w:szCs w:val="20"/>
        </w:rPr>
        <w:t>i</w:t>
      </w:r>
      <w:proofErr w:type="spellEnd"/>
      <w:r>
        <w:rPr>
          <w:rFonts w:ascii="Verdana" w:hAnsi="Verdana"/>
          <w:sz w:val="20"/>
          <w:szCs w:val="20"/>
        </w:rPr>
        <w:t xml:space="preserve">) whether a weaver could have become a member of the apex society, and (ii) whether the </w:t>
      </w:r>
      <w:proofErr w:type="spellStart"/>
      <w:r>
        <w:rPr>
          <w:rFonts w:ascii="Verdana" w:hAnsi="Verdana"/>
          <w:sz w:val="20"/>
          <w:szCs w:val="20"/>
        </w:rPr>
        <w:lastRenderedPageBreak/>
        <w:t>assessee</w:t>
      </w:r>
      <w:proofErr w:type="spellEnd"/>
      <w:r>
        <w:rPr>
          <w:rFonts w:ascii="Verdana" w:hAnsi="Verdana"/>
          <w:sz w:val="20"/>
          <w:szCs w:val="20"/>
        </w:rPr>
        <w:t xml:space="preserve"> was engaged in cottage industry. The Department was </w:t>
      </w:r>
      <w:r>
        <w:rPr>
          <w:rFonts w:ascii="Verdana" w:hAnsi="Verdana"/>
          <w:sz w:val="20"/>
          <w:szCs w:val="20"/>
        </w:rPr>
        <w:br/>
        <w:t xml:space="preserve">directed to decide the applicability of section 80P keeping in mind the bye-laws of the </w:t>
      </w:r>
      <w:proofErr w:type="spellStart"/>
      <w:r>
        <w:rPr>
          <w:rFonts w:ascii="Verdana" w:hAnsi="Verdana"/>
          <w:sz w:val="20"/>
          <w:szCs w:val="20"/>
        </w:rPr>
        <w:t>assessee</w:t>
      </w:r>
      <w:proofErr w:type="spellEnd"/>
      <w:r>
        <w:rPr>
          <w:rFonts w:ascii="Verdana" w:hAnsi="Verdana"/>
          <w:sz w:val="20"/>
          <w:szCs w:val="20"/>
        </w:rPr>
        <w:t xml:space="preserve"> and the Scheme.</w:t>
      </w:r>
    </w:p>
    <w:p w:rsidR="003C100D" w:rsidRDefault="003C100D" w:rsidP="00815C67">
      <w:pPr>
        <w:pStyle w:val="NormalWeb"/>
        <w:jc w:val="both"/>
      </w:pPr>
      <w:r>
        <w:rPr>
          <w:rFonts w:ascii="Verdana" w:hAnsi="Verdana"/>
          <w:i/>
          <w:iCs/>
          <w:sz w:val="20"/>
          <w:szCs w:val="20"/>
        </w:rPr>
        <w:t xml:space="preserve">CIT vs. Rajasthan </w:t>
      </w:r>
      <w:proofErr w:type="spellStart"/>
      <w:r>
        <w:rPr>
          <w:rFonts w:ascii="Verdana" w:hAnsi="Verdana"/>
          <w:i/>
          <w:iCs/>
          <w:sz w:val="20"/>
          <w:szCs w:val="20"/>
        </w:rPr>
        <w:t>Rajya</w:t>
      </w:r>
      <w:proofErr w:type="spellEnd"/>
      <w:r>
        <w:rPr>
          <w:rFonts w:ascii="Verdana" w:hAnsi="Verdana"/>
          <w:i/>
          <w:iCs/>
          <w:sz w:val="20"/>
          <w:szCs w:val="20"/>
        </w:rPr>
        <w:t xml:space="preserve"> </w:t>
      </w:r>
      <w:proofErr w:type="spellStart"/>
      <w:r>
        <w:rPr>
          <w:rFonts w:ascii="Verdana" w:hAnsi="Verdana"/>
          <w:i/>
          <w:iCs/>
          <w:sz w:val="20"/>
          <w:szCs w:val="20"/>
        </w:rPr>
        <w:t>Bunkar</w:t>
      </w:r>
      <w:proofErr w:type="spellEnd"/>
      <w:r>
        <w:rPr>
          <w:rFonts w:ascii="Verdana" w:hAnsi="Verdana"/>
          <w:i/>
          <w:iCs/>
          <w:sz w:val="20"/>
          <w:szCs w:val="20"/>
        </w:rPr>
        <w:t xml:space="preserve"> S. </w:t>
      </w:r>
      <w:proofErr w:type="spellStart"/>
      <w:r>
        <w:rPr>
          <w:rFonts w:ascii="Verdana" w:hAnsi="Verdana"/>
          <w:i/>
          <w:iCs/>
          <w:sz w:val="20"/>
          <w:szCs w:val="20"/>
        </w:rPr>
        <w:t>Samiti</w:t>
      </w:r>
      <w:proofErr w:type="spellEnd"/>
      <w:r>
        <w:rPr>
          <w:rFonts w:ascii="Verdana" w:hAnsi="Verdana"/>
          <w:i/>
          <w:iCs/>
          <w:sz w:val="20"/>
          <w:szCs w:val="20"/>
        </w:rPr>
        <w:t xml:space="preserve"> Ltd. (2010) 323 ITR 365 (SC)</w:t>
      </w:r>
    </w:p>
    <w:p w:rsidR="003C100D" w:rsidRDefault="003C100D" w:rsidP="00815C67">
      <w:pPr>
        <w:pStyle w:val="NormalWeb"/>
        <w:jc w:val="both"/>
        <w:rPr>
          <w:b/>
          <w:bCs/>
        </w:rPr>
      </w:pPr>
      <w:r>
        <w:rPr>
          <w:rFonts w:ascii="Verdana" w:hAnsi="Verdana"/>
          <w:b/>
          <w:bCs/>
          <w:sz w:val="20"/>
          <w:szCs w:val="20"/>
        </w:rPr>
        <w:t xml:space="preserve">66. S. </w:t>
      </w:r>
      <w:proofErr w:type="gramStart"/>
      <w:r>
        <w:rPr>
          <w:rFonts w:ascii="Verdana" w:hAnsi="Verdana"/>
          <w:b/>
          <w:bCs/>
          <w:sz w:val="20"/>
          <w:szCs w:val="20"/>
        </w:rPr>
        <w:t>80P(</w:t>
      </w:r>
      <w:proofErr w:type="gramEnd"/>
      <w:r>
        <w:rPr>
          <w:rFonts w:ascii="Verdana" w:hAnsi="Verdana"/>
          <w:b/>
          <w:bCs/>
          <w:sz w:val="20"/>
          <w:szCs w:val="20"/>
        </w:rPr>
        <w:t xml:space="preserve">2)(e) – Deduction – Income from letting </w:t>
      </w:r>
      <w:proofErr w:type="spellStart"/>
      <w:r>
        <w:rPr>
          <w:rFonts w:ascii="Verdana" w:hAnsi="Verdana"/>
          <w:b/>
          <w:bCs/>
          <w:sz w:val="20"/>
          <w:szCs w:val="20"/>
        </w:rPr>
        <w:t>godowns</w:t>
      </w:r>
      <w:proofErr w:type="spellEnd"/>
    </w:p>
    <w:p w:rsidR="003C100D" w:rsidRDefault="003C100D" w:rsidP="00815C67">
      <w:pPr>
        <w:pStyle w:val="NormalWeb"/>
        <w:jc w:val="both"/>
      </w:pPr>
      <w:r>
        <w:rPr>
          <w:rFonts w:ascii="Verdana" w:hAnsi="Verdana"/>
          <w:sz w:val="20"/>
          <w:szCs w:val="20"/>
        </w:rPr>
        <w:t xml:space="preserve">Composite charges for processing, ginning and pressing of cotton as well as storage of bales were paid to the </w:t>
      </w:r>
      <w:proofErr w:type="spellStart"/>
      <w:r>
        <w:rPr>
          <w:rFonts w:ascii="Verdana" w:hAnsi="Verdana"/>
          <w:sz w:val="20"/>
          <w:szCs w:val="20"/>
        </w:rPr>
        <w:t>assessee</w:t>
      </w:r>
      <w:proofErr w:type="spellEnd"/>
      <w:r>
        <w:rPr>
          <w:rFonts w:ascii="Verdana" w:hAnsi="Verdana"/>
          <w:sz w:val="20"/>
          <w:szCs w:val="20"/>
        </w:rPr>
        <w:t xml:space="preserve"> federation by the members. Department adopted an ad hoc measure of attributing 50% of the charges payable to the </w:t>
      </w:r>
      <w:proofErr w:type="spellStart"/>
      <w:r>
        <w:rPr>
          <w:rFonts w:ascii="Verdana" w:hAnsi="Verdana"/>
          <w:sz w:val="20"/>
          <w:szCs w:val="20"/>
        </w:rPr>
        <w:t>assessee</w:t>
      </w:r>
      <w:proofErr w:type="spellEnd"/>
      <w:r>
        <w:rPr>
          <w:rFonts w:ascii="Verdana" w:hAnsi="Verdana"/>
          <w:sz w:val="20"/>
          <w:szCs w:val="20"/>
        </w:rPr>
        <w:t xml:space="preserve"> as rental income. The court held that it has not taken into account various factors namely, provisions of Cotton Ginning and Pressing Factories Act, 1925, expenses incurred towards payment of </w:t>
      </w:r>
      <w:proofErr w:type="spellStart"/>
      <w:r>
        <w:rPr>
          <w:rFonts w:ascii="Verdana" w:hAnsi="Verdana"/>
          <w:sz w:val="20"/>
          <w:szCs w:val="20"/>
        </w:rPr>
        <w:t>labour</w:t>
      </w:r>
      <w:proofErr w:type="spellEnd"/>
      <w:r>
        <w:rPr>
          <w:rFonts w:ascii="Verdana" w:hAnsi="Verdana"/>
          <w:sz w:val="20"/>
          <w:szCs w:val="20"/>
        </w:rPr>
        <w:t xml:space="preserve"> charges, etc. Rule of 50% cannot be applied as across the board principle. Department was directed to examine the total income of the </w:t>
      </w:r>
      <w:proofErr w:type="spellStart"/>
      <w:r>
        <w:rPr>
          <w:rFonts w:ascii="Verdana" w:hAnsi="Verdana"/>
          <w:sz w:val="20"/>
          <w:szCs w:val="20"/>
        </w:rPr>
        <w:t>assesee</w:t>
      </w:r>
      <w:proofErr w:type="spellEnd"/>
      <w:r>
        <w:rPr>
          <w:rFonts w:ascii="Verdana" w:hAnsi="Verdana"/>
          <w:sz w:val="20"/>
          <w:szCs w:val="20"/>
        </w:rPr>
        <w:t xml:space="preserve"> and determine the amount allocable as rental income in the composite charge received by it by applying the principle of proportionality.</w:t>
      </w:r>
    </w:p>
    <w:p w:rsidR="003C100D" w:rsidRDefault="003C100D" w:rsidP="00815C67">
      <w:pPr>
        <w:pStyle w:val="NormalWeb"/>
        <w:jc w:val="both"/>
        <w:rPr>
          <w:rFonts w:ascii="Verdana" w:hAnsi="Verdana"/>
          <w:i/>
          <w:iCs/>
          <w:sz w:val="20"/>
          <w:szCs w:val="20"/>
        </w:rPr>
      </w:pPr>
      <w:r>
        <w:rPr>
          <w:rFonts w:ascii="Verdana" w:hAnsi="Verdana"/>
          <w:i/>
          <w:iCs/>
          <w:sz w:val="20"/>
          <w:szCs w:val="20"/>
        </w:rPr>
        <w:t xml:space="preserve">CIT vs. Baba </w:t>
      </w:r>
      <w:proofErr w:type="spellStart"/>
      <w:r>
        <w:rPr>
          <w:rFonts w:ascii="Verdana" w:hAnsi="Verdana"/>
          <w:i/>
          <w:iCs/>
          <w:sz w:val="20"/>
          <w:szCs w:val="20"/>
        </w:rPr>
        <w:t>Saheb</w:t>
      </w:r>
      <w:proofErr w:type="spellEnd"/>
      <w:r>
        <w:rPr>
          <w:rFonts w:ascii="Verdana" w:hAnsi="Verdana"/>
          <w:i/>
          <w:iCs/>
          <w:sz w:val="20"/>
          <w:szCs w:val="20"/>
        </w:rPr>
        <w:t xml:space="preserve"> </w:t>
      </w:r>
      <w:proofErr w:type="spellStart"/>
      <w:r>
        <w:rPr>
          <w:rFonts w:ascii="Verdana" w:hAnsi="Verdana"/>
          <w:i/>
          <w:iCs/>
          <w:sz w:val="20"/>
          <w:szCs w:val="20"/>
        </w:rPr>
        <w:t>Kedar</w:t>
      </w:r>
      <w:proofErr w:type="spellEnd"/>
      <w:r>
        <w:rPr>
          <w:rFonts w:ascii="Verdana" w:hAnsi="Verdana"/>
          <w:i/>
          <w:iCs/>
          <w:sz w:val="20"/>
          <w:szCs w:val="20"/>
        </w:rPr>
        <w:t xml:space="preserve"> Ginning &amp; Pressing Co-operative Society Ltd. (2010) 38 DTR 153 (SC)</w:t>
      </w:r>
    </w:p>
    <w:p w:rsidR="003C100D" w:rsidRDefault="003C100D" w:rsidP="00815C67">
      <w:pPr>
        <w:pStyle w:val="NormalWeb"/>
        <w:jc w:val="both"/>
        <w:rPr>
          <w:b/>
          <w:bCs/>
        </w:rPr>
      </w:pPr>
      <w:r>
        <w:rPr>
          <w:rFonts w:ascii="Verdana" w:hAnsi="Verdana"/>
          <w:b/>
          <w:bCs/>
          <w:sz w:val="20"/>
          <w:szCs w:val="20"/>
        </w:rPr>
        <w:t>67. S. 115JA – Book profit – Credit for MAT – Interest – (Ss. 234B, 234C)</w:t>
      </w:r>
    </w:p>
    <w:p w:rsidR="003C100D" w:rsidRDefault="003C100D" w:rsidP="00815C67">
      <w:pPr>
        <w:pStyle w:val="NormalWeb"/>
        <w:jc w:val="both"/>
      </w:pPr>
      <w:r>
        <w:rPr>
          <w:rFonts w:ascii="Verdana" w:hAnsi="Verdana"/>
          <w:sz w:val="20"/>
          <w:szCs w:val="20"/>
        </w:rPr>
        <w:t>As important question of law arose as to whether credit of Minimum Alternative Tax should be given effect to under section 115JA, before charging interest or after charging interest under section 234B and 234C, registry is directed to incorporate in weekly boards and also website.</w:t>
      </w:r>
    </w:p>
    <w:p w:rsidR="003C100D" w:rsidRDefault="003C100D" w:rsidP="00815C67">
      <w:pPr>
        <w:pStyle w:val="NormalWeb"/>
        <w:jc w:val="both"/>
      </w:pPr>
      <w:r>
        <w:rPr>
          <w:rFonts w:ascii="Verdana" w:hAnsi="Verdana"/>
          <w:i/>
          <w:iCs/>
          <w:sz w:val="20"/>
          <w:szCs w:val="20"/>
        </w:rPr>
        <w:t xml:space="preserve">CIT vs. </w:t>
      </w:r>
      <w:proofErr w:type="spellStart"/>
      <w:r>
        <w:rPr>
          <w:rFonts w:ascii="Verdana" w:hAnsi="Verdana"/>
          <w:i/>
          <w:iCs/>
          <w:sz w:val="20"/>
          <w:szCs w:val="20"/>
        </w:rPr>
        <w:t>Lakshmi</w:t>
      </w:r>
      <w:proofErr w:type="spellEnd"/>
      <w:r>
        <w:rPr>
          <w:rFonts w:ascii="Verdana" w:hAnsi="Verdana"/>
          <w:i/>
          <w:iCs/>
          <w:sz w:val="20"/>
          <w:szCs w:val="20"/>
        </w:rPr>
        <w:t xml:space="preserve"> </w:t>
      </w:r>
      <w:proofErr w:type="spellStart"/>
      <w:r>
        <w:rPr>
          <w:rFonts w:ascii="Verdana" w:hAnsi="Verdana"/>
          <w:i/>
          <w:iCs/>
          <w:sz w:val="20"/>
          <w:szCs w:val="20"/>
        </w:rPr>
        <w:t>Sarswati</w:t>
      </w:r>
      <w:proofErr w:type="spellEnd"/>
      <w:r>
        <w:rPr>
          <w:rFonts w:ascii="Verdana" w:hAnsi="Verdana"/>
          <w:i/>
          <w:iCs/>
          <w:sz w:val="20"/>
          <w:szCs w:val="20"/>
        </w:rPr>
        <w:t xml:space="preserve"> (</w:t>
      </w:r>
      <w:proofErr w:type="spellStart"/>
      <w:r>
        <w:rPr>
          <w:rFonts w:ascii="Verdana" w:hAnsi="Verdana"/>
          <w:i/>
          <w:iCs/>
          <w:sz w:val="20"/>
          <w:szCs w:val="20"/>
        </w:rPr>
        <w:t>Armi</w:t>
      </w:r>
      <w:proofErr w:type="spellEnd"/>
      <w:r>
        <w:rPr>
          <w:rFonts w:ascii="Verdana" w:hAnsi="Verdana"/>
          <w:i/>
          <w:iCs/>
          <w:sz w:val="20"/>
          <w:szCs w:val="20"/>
        </w:rPr>
        <w:t>) (P) Ltd. (2010) 190 Taxman 160 (SC)</w:t>
      </w:r>
    </w:p>
    <w:p w:rsidR="003C100D" w:rsidRDefault="003C100D" w:rsidP="00815C67">
      <w:pPr>
        <w:pStyle w:val="NormalWeb"/>
        <w:jc w:val="both"/>
        <w:rPr>
          <w:b/>
          <w:bCs/>
        </w:rPr>
      </w:pPr>
      <w:r>
        <w:rPr>
          <w:rFonts w:ascii="Verdana" w:hAnsi="Verdana"/>
          <w:b/>
          <w:bCs/>
          <w:sz w:val="20"/>
          <w:szCs w:val="20"/>
        </w:rPr>
        <w:t>68. S. 139 – Income-tax return – Prescription of forms</w:t>
      </w:r>
    </w:p>
    <w:p w:rsidR="003C100D" w:rsidRDefault="003C100D" w:rsidP="00815C67">
      <w:pPr>
        <w:pStyle w:val="NormalWeb"/>
        <w:jc w:val="both"/>
      </w:pPr>
      <w:r>
        <w:rPr>
          <w:rFonts w:ascii="Verdana" w:hAnsi="Verdana"/>
          <w:sz w:val="20"/>
          <w:szCs w:val="20"/>
        </w:rPr>
        <w:t>It is for the statutory authority, and not for the court, to decide whether the income-tax return should be filed in a particular Form. The court cannot do so even if there is paucity of time and the requisite Form is not available.</w:t>
      </w:r>
    </w:p>
    <w:p w:rsidR="003C100D" w:rsidRDefault="003C100D" w:rsidP="00815C67">
      <w:pPr>
        <w:pStyle w:val="NormalWeb"/>
        <w:jc w:val="both"/>
      </w:pPr>
      <w:r>
        <w:rPr>
          <w:rFonts w:ascii="Verdana" w:hAnsi="Verdana"/>
          <w:i/>
          <w:iCs/>
          <w:sz w:val="20"/>
          <w:szCs w:val="20"/>
        </w:rPr>
        <w:t xml:space="preserve">UOI vs. Income-tax Bar Association, </w:t>
      </w:r>
      <w:proofErr w:type="spellStart"/>
      <w:r>
        <w:rPr>
          <w:rFonts w:ascii="Verdana" w:hAnsi="Verdana"/>
          <w:i/>
          <w:iCs/>
          <w:sz w:val="20"/>
          <w:szCs w:val="20"/>
        </w:rPr>
        <w:t>Lucknow</w:t>
      </w:r>
      <w:proofErr w:type="spellEnd"/>
      <w:r>
        <w:rPr>
          <w:rFonts w:ascii="Verdana" w:hAnsi="Verdana"/>
          <w:i/>
          <w:iCs/>
          <w:sz w:val="20"/>
          <w:szCs w:val="20"/>
        </w:rPr>
        <w:t xml:space="preserve"> (2010) 324 ITR 81 (SC)</w:t>
      </w:r>
    </w:p>
    <w:p w:rsidR="003C100D" w:rsidRDefault="003C100D" w:rsidP="00815C67">
      <w:pPr>
        <w:pStyle w:val="NormalWeb"/>
        <w:jc w:val="both"/>
        <w:rPr>
          <w:b/>
          <w:bCs/>
        </w:rPr>
      </w:pPr>
      <w:r>
        <w:rPr>
          <w:rFonts w:ascii="Verdana" w:hAnsi="Verdana"/>
          <w:b/>
          <w:bCs/>
          <w:sz w:val="20"/>
          <w:szCs w:val="20"/>
        </w:rPr>
        <w:t>69. S. 148 – Reassessment – Reason to believe – Wrong claim for deduction – (S. 80I)</w:t>
      </w:r>
    </w:p>
    <w:p w:rsidR="003C100D" w:rsidRDefault="003C100D" w:rsidP="00815C67">
      <w:pPr>
        <w:pStyle w:val="NormalWeb"/>
        <w:jc w:val="both"/>
      </w:pPr>
      <w:r>
        <w:rPr>
          <w:rFonts w:ascii="Verdana" w:hAnsi="Verdana"/>
          <w:sz w:val="20"/>
          <w:szCs w:val="20"/>
        </w:rPr>
        <w:t xml:space="preserve">Assessing Officer issued notice under section 148 for A.Y. 1997-98 on discovery that the </w:t>
      </w:r>
      <w:proofErr w:type="spellStart"/>
      <w:r>
        <w:rPr>
          <w:rFonts w:ascii="Verdana" w:hAnsi="Verdana"/>
          <w:sz w:val="20"/>
          <w:szCs w:val="20"/>
        </w:rPr>
        <w:t>assessee</w:t>
      </w:r>
      <w:proofErr w:type="spellEnd"/>
      <w:r>
        <w:rPr>
          <w:rFonts w:ascii="Verdana" w:hAnsi="Verdana"/>
          <w:sz w:val="20"/>
          <w:szCs w:val="20"/>
        </w:rPr>
        <w:t xml:space="preserve"> had started production of engines in the period relevant to the A.Y. 1989-90 and consequently it was not entitled to benefit of section 80I during the A.Y. 1997-98. Writ petition filed by the </w:t>
      </w:r>
      <w:proofErr w:type="spellStart"/>
      <w:r>
        <w:rPr>
          <w:rFonts w:ascii="Verdana" w:hAnsi="Verdana"/>
          <w:sz w:val="20"/>
          <w:szCs w:val="20"/>
        </w:rPr>
        <w:t>assessee</w:t>
      </w:r>
      <w:proofErr w:type="spellEnd"/>
      <w:r>
        <w:rPr>
          <w:rFonts w:ascii="Verdana" w:hAnsi="Verdana"/>
          <w:sz w:val="20"/>
          <w:szCs w:val="20"/>
        </w:rPr>
        <w:t xml:space="preserve"> dismissed giving liberty to the </w:t>
      </w:r>
      <w:proofErr w:type="spellStart"/>
      <w:r>
        <w:rPr>
          <w:rFonts w:ascii="Verdana" w:hAnsi="Verdana"/>
          <w:sz w:val="20"/>
          <w:szCs w:val="20"/>
        </w:rPr>
        <w:t>assessee</w:t>
      </w:r>
      <w:proofErr w:type="spellEnd"/>
      <w:r>
        <w:rPr>
          <w:rFonts w:ascii="Verdana" w:hAnsi="Verdana"/>
          <w:sz w:val="20"/>
          <w:szCs w:val="20"/>
        </w:rPr>
        <w:t xml:space="preserve"> to raise all objections, including the one relating to jurisdiction of the Assessing Officer to issue notice, before the proper forum. Order of the Assessing Officer, however, reversed by the </w:t>
      </w:r>
      <w:proofErr w:type="gramStart"/>
      <w:r>
        <w:rPr>
          <w:rFonts w:ascii="Verdana" w:hAnsi="Verdana"/>
          <w:sz w:val="20"/>
          <w:szCs w:val="20"/>
        </w:rPr>
        <w:t>CIT(</w:t>
      </w:r>
      <w:proofErr w:type="gramEnd"/>
      <w:r>
        <w:rPr>
          <w:rFonts w:ascii="Verdana" w:hAnsi="Verdana"/>
          <w:sz w:val="20"/>
          <w:szCs w:val="20"/>
        </w:rPr>
        <w:t>A) against which order, appeal is pending before the Tribunal. The Tribunal was directed to also examine the validity of the impugned notice under section 148 in the appeal pending before it.</w:t>
      </w:r>
    </w:p>
    <w:p w:rsidR="003C100D" w:rsidRDefault="003C100D" w:rsidP="00815C67">
      <w:pPr>
        <w:pStyle w:val="NormalWeb"/>
        <w:jc w:val="both"/>
      </w:pPr>
      <w:proofErr w:type="spellStart"/>
      <w:r>
        <w:rPr>
          <w:rFonts w:ascii="Verdana" w:hAnsi="Verdana"/>
          <w:i/>
          <w:iCs/>
          <w:sz w:val="20"/>
          <w:szCs w:val="20"/>
        </w:rPr>
        <w:lastRenderedPageBreak/>
        <w:t>Swaraj</w:t>
      </w:r>
      <w:proofErr w:type="spellEnd"/>
      <w:r>
        <w:rPr>
          <w:rFonts w:ascii="Verdana" w:hAnsi="Verdana"/>
          <w:i/>
          <w:iCs/>
          <w:sz w:val="20"/>
          <w:szCs w:val="20"/>
        </w:rPr>
        <w:t xml:space="preserve"> Engines Ltd. vs. ACIT (2010) 38 DTR 1 (SC)</w:t>
      </w:r>
    </w:p>
    <w:p w:rsidR="003C100D" w:rsidRDefault="003C100D" w:rsidP="00815C67">
      <w:pPr>
        <w:pStyle w:val="NormalWeb"/>
        <w:jc w:val="both"/>
        <w:rPr>
          <w:b/>
          <w:bCs/>
        </w:rPr>
      </w:pPr>
      <w:r>
        <w:rPr>
          <w:rFonts w:ascii="Verdana" w:hAnsi="Verdana"/>
          <w:b/>
          <w:bCs/>
          <w:sz w:val="20"/>
          <w:szCs w:val="20"/>
        </w:rPr>
        <w:t>70. S. 244A – Interest on "any amount" refunded</w:t>
      </w:r>
    </w:p>
    <w:p w:rsidR="003C100D" w:rsidRDefault="003C100D" w:rsidP="00815C67">
      <w:pPr>
        <w:pStyle w:val="NormalWeb"/>
        <w:jc w:val="both"/>
      </w:pPr>
      <w:r>
        <w:rPr>
          <w:rFonts w:ascii="Verdana" w:hAnsi="Verdana"/>
          <w:sz w:val="20"/>
          <w:szCs w:val="20"/>
        </w:rPr>
        <w:t>The amount on which the interest for the period during which tax was not refunded will include the amount of tax deducted at source.</w:t>
      </w:r>
    </w:p>
    <w:p w:rsidR="003C100D" w:rsidRDefault="003C100D" w:rsidP="00815C67">
      <w:pPr>
        <w:pStyle w:val="NormalWeb"/>
        <w:jc w:val="both"/>
      </w:pPr>
      <w:r>
        <w:rPr>
          <w:rFonts w:ascii="Verdana" w:hAnsi="Verdana"/>
          <w:i/>
          <w:iCs/>
          <w:sz w:val="20"/>
          <w:szCs w:val="20"/>
        </w:rPr>
        <w:t>CIT vs. H. E. G. Ltd. (2010) 324 ITR 331 (SC)</w:t>
      </w:r>
    </w:p>
    <w:p w:rsidR="003C100D" w:rsidRDefault="003C100D" w:rsidP="00815C67">
      <w:pPr>
        <w:pStyle w:val="NormalWeb"/>
        <w:jc w:val="both"/>
        <w:rPr>
          <w:b/>
          <w:bCs/>
        </w:rPr>
      </w:pPr>
      <w:r>
        <w:rPr>
          <w:rFonts w:ascii="Verdana" w:hAnsi="Verdana"/>
          <w:b/>
          <w:bCs/>
          <w:sz w:val="20"/>
          <w:szCs w:val="20"/>
        </w:rPr>
        <w:t>71. S. 249(4</w:t>
      </w:r>
      <w:proofErr w:type="gramStart"/>
      <w:r>
        <w:rPr>
          <w:rFonts w:ascii="Verdana" w:hAnsi="Verdana"/>
          <w:b/>
          <w:bCs/>
          <w:sz w:val="20"/>
          <w:szCs w:val="20"/>
        </w:rPr>
        <w:t>)(</w:t>
      </w:r>
      <w:proofErr w:type="gramEnd"/>
      <w:r>
        <w:rPr>
          <w:rFonts w:ascii="Verdana" w:hAnsi="Verdana"/>
          <w:b/>
          <w:bCs/>
          <w:sz w:val="20"/>
          <w:szCs w:val="20"/>
        </w:rPr>
        <w:t>a) – Appeal – Maintainability of Appeal – Non-payment of admitted tax – [S. 253(1)(b)]</w:t>
      </w:r>
    </w:p>
    <w:p w:rsidR="003C100D" w:rsidRDefault="003C100D" w:rsidP="00815C67">
      <w:pPr>
        <w:pStyle w:val="NormalWeb"/>
        <w:jc w:val="both"/>
      </w:pPr>
      <w:r>
        <w:rPr>
          <w:rFonts w:ascii="Verdana" w:hAnsi="Verdana"/>
          <w:sz w:val="20"/>
          <w:szCs w:val="20"/>
        </w:rPr>
        <w:t xml:space="preserve">Each heading of Chapter XX being a stand-alone item, the provision of section 249(4)(a) cannot be read into section 253(1)(b) and, in the absence of </w:t>
      </w:r>
      <w:proofErr w:type="spellStart"/>
      <w:r>
        <w:rPr>
          <w:rFonts w:ascii="Verdana" w:hAnsi="Verdana"/>
          <w:sz w:val="20"/>
          <w:szCs w:val="20"/>
        </w:rPr>
        <w:t>dis</w:t>
      </w:r>
      <w:proofErr w:type="spellEnd"/>
      <w:r>
        <w:rPr>
          <w:rFonts w:ascii="Verdana" w:hAnsi="Verdana"/>
          <w:sz w:val="20"/>
          <w:szCs w:val="20"/>
        </w:rPr>
        <w:t xml:space="preserve">-enabling provision in section 253(1)(b), </w:t>
      </w:r>
      <w:proofErr w:type="spellStart"/>
      <w:r>
        <w:rPr>
          <w:rFonts w:ascii="Verdana" w:hAnsi="Verdana"/>
          <w:sz w:val="20"/>
          <w:szCs w:val="20"/>
        </w:rPr>
        <w:t>assessee’s</w:t>
      </w:r>
      <w:proofErr w:type="spellEnd"/>
      <w:r>
        <w:rPr>
          <w:rFonts w:ascii="Verdana" w:hAnsi="Verdana"/>
          <w:sz w:val="20"/>
          <w:szCs w:val="20"/>
        </w:rPr>
        <w:t xml:space="preserve"> appeal under section 253(1)(b) was maintainable despite non-payment of full amount of admitted tax. Once section 249(4</w:t>
      </w:r>
      <w:proofErr w:type="gramStart"/>
      <w:r>
        <w:rPr>
          <w:rFonts w:ascii="Verdana" w:hAnsi="Verdana"/>
          <w:sz w:val="20"/>
          <w:szCs w:val="20"/>
        </w:rPr>
        <w:t>)(</w:t>
      </w:r>
      <w:proofErr w:type="gramEnd"/>
      <w:r>
        <w:rPr>
          <w:rFonts w:ascii="Verdana" w:hAnsi="Verdana"/>
          <w:sz w:val="20"/>
          <w:szCs w:val="20"/>
        </w:rPr>
        <w:t xml:space="preserve">a) is treated as a mandatory condition for filing an appeal before CIT(A) and once that condition stands satisfied at the time of filing an appeal to the CIT(A), then there is no necessity for the </w:t>
      </w:r>
      <w:proofErr w:type="spellStart"/>
      <w:r>
        <w:rPr>
          <w:rFonts w:ascii="Verdana" w:hAnsi="Verdana"/>
          <w:sz w:val="20"/>
          <w:szCs w:val="20"/>
        </w:rPr>
        <w:t>assessee</w:t>
      </w:r>
      <w:proofErr w:type="spellEnd"/>
      <w:r>
        <w:rPr>
          <w:rFonts w:ascii="Verdana" w:hAnsi="Verdana"/>
          <w:sz w:val="20"/>
          <w:szCs w:val="20"/>
        </w:rPr>
        <w:t xml:space="preserve"> to once again pay the tax due as a condition precedent to filing of appeal before the Tribunal under section 253(1)(b).</w:t>
      </w:r>
    </w:p>
    <w:p w:rsidR="003C100D" w:rsidRDefault="003C100D" w:rsidP="00815C67">
      <w:pPr>
        <w:pStyle w:val="NormalWeb"/>
        <w:jc w:val="both"/>
      </w:pPr>
      <w:r>
        <w:rPr>
          <w:rFonts w:ascii="Verdana" w:hAnsi="Verdana"/>
          <w:i/>
          <w:iCs/>
          <w:sz w:val="20"/>
          <w:szCs w:val="20"/>
        </w:rPr>
        <w:t xml:space="preserve">CIT vs. </w:t>
      </w:r>
      <w:proofErr w:type="spellStart"/>
      <w:r>
        <w:rPr>
          <w:rFonts w:ascii="Verdana" w:hAnsi="Verdana"/>
          <w:i/>
          <w:iCs/>
          <w:sz w:val="20"/>
          <w:szCs w:val="20"/>
        </w:rPr>
        <w:t>Pawan</w:t>
      </w:r>
      <w:proofErr w:type="spellEnd"/>
      <w:r>
        <w:rPr>
          <w:rFonts w:ascii="Verdana" w:hAnsi="Verdana"/>
          <w:i/>
          <w:iCs/>
          <w:sz w:val="20"/>
          <w:szCs w:val="20"/>
        </w:rPr>
        <w:t xml:space="preserve"> Kumar </w:t>
      </w:r>
      <w:proofErr w:type="spellStart"/>
      <w:r>
        <w:rPr>
          <w:rFonts w:ascii="Verdana" w:hAnsi="Verdana"/>
          <w:i/>
          <w:iCs/>
          <w:sz w:val="20"/>
          <w:szCs w:val="20"/>
        </w:rPr>
        <w:t>Laddha</w:t>
      </w:r>
      <w:proofErr w:type="spellEnd"/>
      <w:r>
        <w:rPr>
          <w:rFonts w:ascii="Verdana" w:hAnsi="Verdana"/>
          <w:i/>
          <w:iCs/>
          <w:sz w:val="20"/>
          <w:szCs w:val="20"/>
        </w:rPr>
        <w:t xml:space="preserve"> (2010) 324 ITR 324 / 38 DTR 3 (SC) </w:t>
      </w:r>
    </w:p>
    <w:p w:rsidR="003C100D" w:rsidRDefault="003C100D" w:rsidP="00815C67">
      <w:pPr>
        <w:pStyle w:val="NormalWeb"/>
        <w:jc w:val="both"/>
      </w:pPr>
      <w:r>
        <w:rPr>
          <w:rFonts w:ascii="Verdana" w:hAnsi="Verdana"/>
          <w:b/>
          <w:bCs/>
          <w:sz w:val="20"/>
          <w:szCs w:val="20"/>
        </w:rPr>
        <w:t xml:space="preserve">72. S. 260A — Appeal – High Court – </w:t>
      </w:r>
      <w:proofErr w:type="spellStart"/>
      <w:r>
        <w:rPr>
          <w:rFonts w:ascii="Verdana" w:hAnsi="Verdana"/>
          <w:b/>
          <w:bCs/>
          <w:sz w:val="20"/>
          <w:szCs w:val="20"/>
        </w:rPr>
        <w:t>Condonation</w:t>
      </w:r>
      <w:proofErr w:type="spellEnd"/>
      <w:r>
        <w:rPr>
          <w:rFonts w:ascii="Verdana" w:hAnsi="Verdana"/>
          <w:b/>
          <w:bCs/>
          <w:sz w:val="20"/>
          <w:szCs w:val="20"/>
        </w:rPr>
        <w:t xml:space="preserve"> of delay – Amendment</w:t>
      </w:r>
    </w:p>
    <w:p w:rsidR="003C100D" w:rsidRDefault="003C100D" w:rsidP="00815C67">
      <w:pPr>
        <w:pStyle w:val="NormalWeb"/>
        <w:jc w:val="both"/>
      </w:pPr>
      <w:r>
        <w:rPr>
          <w:rFonts w:ascii="Verdana" w:hAnsi="Verdana"/>
          <w:sz w:val="20"/>
          <w:szCs w:val="20"/>
        </w:rPr>
        <w:t>In view of the amendment of the Act, giving power to the High Court to condone the delay in filing appeals, liberty is given to the department to move the High Court by way of review of the impugned order dismissing Department’s belated appeal on the ground that it has no power to condone the delay.</w:t>
      </w:r>
    </w:p>
    <w:p w:rsidR="003C100D" w:rsidRDefault="003C100D" w:rsidP="00815C67">
      <w:pPr>
        <w:pStyle w:val="NormalWeb"/>
        <w:jc w:val="both"/>
      </w:pPr>
      <w:r>
        <w:rPr>
          <w:rFonts w:ascii="Verdana" w:hAnsi="Verdana"/>
          <w:i/>
          <w:iCs/>
          <w:sz w:val="20"/>
          <w:szCs w:val="20"/>
        </w:rPr>
        <w:t>CIT vs. ICICI Bank Ltd. (2010) 38 DTR 319 / 231 CTR 439 (SC)</w:t>
      </w:r>
    </w:p>
    <w:p w:rsidR="003C100D" w:rsidRDefault="003C100D" w:rsidP="00815C67">
      <w:pPr>
        <w:pStyle w:val="NormalWeb"/>
        <w:jc w:val="both"/>
        <w:rPr>
          <w:b/>
          <w:bCs/>
        </w:rPr>
      </w:pPr>
      <w:r>
        <w:rPr>
          <w:rFonts w:ascii="Verdana" w:hAnsi="Verdana"/>
          <w:b/>
          <w:bCs/>
          <w:sz w:val="20"/>
          <w:szCs w:val="20"/>
        </w:rPr>
        <w:t>73. S. 261 — Appeal to Supreme Court – Adjournments – Awarded cost</w:t>
      </w:r>
    </w:p>
    <w:p w:rsidR="003C100D" w:rsidRDefault="003C100D" w:rsidP="00815C67">
      <w:pPr>
        <w:pStyle w:val="NormalWeb"/>
        <w:jc w:val="both"/>
      </w:pPr>
      <w:r>
        <w:rPr>
          <w:rFonts w:ascii="Verdana" w:hAnsi="Verdana"/>
          <w:sz w:val="20"/>
          <w:szCs w:val="20"/>
        </w:rPr>
        <w:t>For taking repeated adjournment the department was directed to pay the cost of Rs. 10000/- and directed to make an enquiry in that regard; if it was found that fault was with an officer, it would take necessary steps including recovery.</w:t>
      </w:r>
    </w:p>
    <w:p w:rsidR="003C100D" w:rsidRDefault="003C100D" w:rsidP="00815C67">
      <w:pPr>
        <w:pStyle w:val="NormalWeb"/>
        <w:jc w:val="both"/>
      </w:pPr>
      <w:r>
        <w:rPr>
          <w:rFonts w:ascii="Verdana" w:hAnsi="Verdana"/>
          <w:i/>
          <w:iCs/>
          <w:sz w:val="20"/>
          <w:szCs w:val="20"/>
        </w:rPr>
        <w:t xml:space="preserve">CIT vs. </w:t>
      </w:r>
      <w:proofErr w:type="spellStart"/>
      <w:r>
        <w:rPr>
          <w:rFonts w:ascii="Verdana" w:hAnsi="Verdana"/>
          <w:i/>
          <w:iCs/>
          <w:sz w:val="20"/>
          <w:szCs w:val="20"/>
        </w:rPr>
        <w:t>Varanashi</w:t>
      </w:r>
      <w:proofErr w:type="spellEnd"/>
      <w:r>
        <w:rPr>
          <w:rFonts w:ascii="Verdana" w:hAnsi="Verdana"/>
          <w:i/>
          <w:iCs/>
          <w:sz w:val="20"/>
          <w:szCs w:val="20"/>
        </w:rPr>
        <w:t xml:space="preserve"> Wines (2010) 190 Taxman 167 (SC)</w:t>
      </w:r>
    </w:p>
    <w:p w:rsidR="003C100D" w:rsidRDefault="003C100D" w:rsidP="00815C67">
      <w:pPr>
        <w:pStyle w:val="NormalWeb"/>
        <w:jc w:val="both"/>
        <w:rPr>
          <w:b/>
          <w:bCs/>
        </w:rPr>
      </w:pPr>
      <w:r>
        <w:rPr>
          <w:rFonts w:ascii="Verdana" w:hAnsi="Verdana"/>
          <w:b/>
          <w:bCs/>
          <w:sz w:val="20"/>
          <w:szCs w:val="20"/>
        </w:rPr>
        <w:t>74. S. 271(1</w:t>
      </w:r>
      <w:proofErr w:type="gramStart"/>
      <w:r>
        <w:rPr>
          <w:rFonts w:ascii="Verdana" w:hAnsi="Verdana"/>
          <w:b/>
          <w:bCs/>
          <w:sz w:val="20"/>
          <w:szCs w:val="20"/>
        </w:rPr>
        <w:t>)(</w:t>
      </w:r>
      <w:proofErr w:type="gramEnd"/>
      <w:r>
        <w:rPr>
          <w:rFonts w:ascii="Verdana" w:hAnsi="Verdana"/>
          <w:b/>
          <w:bCs/>
          <w:sz w:val="20"/>
          <w:szCs w:val="20"/>
        </w:rPr>
        <w:t xml:space="preserve">c), </w:t>
      </w:r>
      <w:proofErr w:type="spellStart"/>
      <w:r>
        <w:rPr>
          <w:rFonts w:ascii="Verdana" w:hAnsi="Verdana"/>
          <w:b/>
          <w:bCs/>
          <w:sz w:val="20"/>
          <w:szCs w:val="20"/>
        </w:rPr>
        <w:t>Expln</w:t>
      </w:r>
      <w:proofErr w:type="spellEnd"/>
      <w:r>
        <w:rPr>
          <w:rFonts w:ascii="Verdana" w:hAnsi="Verdana"/>
          <w:b/>
          <w:bCs/>
          <w:sz w:val="20"/>
          <w:szCs w:val="20"/>
        </w:rPr>
        <w:t>. 4(a) — Penalty – Concealment – Interpretation of taxing statutes</w:t>
      </w:r>
    </w:p>
    <w:p w:rsidR="003C100D" w:rsidRDefault="003C100D" w:rsidP="00815C67">
      <w:pPr>
        <w:pStyle w:val="NormalWeb"/>
        <w:jc w:val="both"/>
      </w:pPr>
      <w:r>
        <w:rPr>
          <w:rFonts w:ascii="Verdana" w:hAnsi="Verdana"/>
          <w:sz w:val="20"/>
          <w:szCs w:val="20"/>
        </w:rPr>
        <w:t>The purpose behind section 271(1</w:t>
      </w:r>
      <w:proofErr w:type="gramStart"/>
      <w:r>
        <w:rPr>
          <w:rFonts w:ascii="Verdana" w:hAnsi="Verdana"/>
          <w:sz w:val="20"/>
          <w:szCs w:val="20"/>
        </w:rPr>
        <w:t>)(</w:t>
      </w:r>
      <w:proofErr w:type="gramEnd"/>
      <w:r>
        <w:rPr>
          <w:rFonts w:ascii="Verdana" w:hAnsi="Verdana"/>
          <w:sz w:val="20"/>
          <w:szCs w:val="20"/>
        </w:rPr>
        <w:t xml:space="preserve">c) is to penalize the </w:t>
      </w:r>
      <w:proofErr w:type="spellStart"/>
      <w:r>
        <w:rPr>
          <w:rFonts w:ascii="Verdana" w:hAnsi="Verdana"/>
          <w:sz w:val="20"/>
          <w:szCs w:val="20"/>
        </w:rPr>
        <w:t>assessee</w:t>
      </w:r>
      <w:proofErr w:type="spellEnd"/>
      <w:r>
        <w:rPr>
          <w:rFonts w:ascii="Verdana" w:hAnsi="Verdana"/>
          <w:sz w:val="20"/>
          <w:szCs w:val="20"/>
        </w:rPr>
        <w:t xml:space="preserve"> for (a) concealing particulars of income, and/or (b) furnishing inaccurate particulars of such income. Whether the income returned was a profit or a loss was really of no consequence. Therefore, even if no tax was payable, penalty is still </w:t>
      </w:r>
      <w:proofErr w:type="spellStart"/>
      <w:r>
        <w:rPr>
          <w:rFonts w:ascii="Verdana" w:hAnsi="Verdana"/>
          <w:sz w:val="20"/>
          <w:szCs w:val="20"/>
        </w:rPr>
        <w:t>leviable</w:t>
      </w:r>
      <w:proofErr w:type="spellEnd"/>
      <w:r>
        <w:rPr>
          <w:rFonts w:ascii="Verdana" w:hAnsi="Verdana"/>
          <w:sz w:val="20"/>
          <w:szCs w:val="20"/>
        </w:rPr>
        <w:t>.</w:t>
      </w:r>
    </w:p>
    <w:p w:rsidR="003C100D" w:rsidRDefault="003C100D" w:rsidP="00815C67">
      <w:pPr>
        <w:pStyle w:val="NormalWeb"/>
        <w:jc w:val="both"/>
      </w:pPr>
      <w:r>
        <w:rPr>
          <w:rFonts w:ascii="Verdana" w:hAnsi="Verdana"/>
          <w:sz w:val="20"/>
          <w:szCs w:val="20"/>
        </w:rPr>
        <w:t>A word occurring in different sections of the same Act can have different meanings, if the objects of the two sections are different and they operate in different fields.</w:t>
      </w:r>
    </w:p>
    <w:p w:rsidR="003C100D" w:rsidRDefault="003C100D" w:rsidP="00815C67">
      <w:pPr>
        <w:pStyle w:val="NormalWeb"/>
        <w:jc w:val="both"/>
      </w:pPr>
      <w:r>
        <w:rPr>
          <w:rFonts w:ascii="Verdana" w:hAnsi="Verdana"/>
          <w:i/>
          <w:iCs/>
          <w:sz w:val="20"/>
          <w:szCs w:val="20"/>
        </w:rPr>
        <w:lastRenderedPageBreak/>
        <w:t xml:space="preserve">Jt. CIT vs. </w:t>
      </w:r>
      <w:proofErr w:type="spellStart"/>
      <w:r>
        <w:rPr>
          <w:rFonts w:ascii="Verdana" w:hAnsi="Verdana"/>
          <w:i/>
          <w:iCs/>
          <w:sz w:val="20"/>
          <w:szCs w:val="20"/>
        </w:rPr>
        <w:t>Saheli</w:t>
      </w:r>
      <w:proofErr w:type="spellEnd"/>
      <w:r>
        <w:rPr>
          <w:rFonts w:ascii="Verdana" w:hAnsi="Verdana"/>
          <w:i/>
          <w:iCs/>
          <w:sz w:val="20"/>
          <w:szCs w:val="20"/>
        </w:rPr>
        <w:t xml:space="preserve"> Leasing and Industries Ltd. (2010) 324 ITR 170 (SC)</w:t>
      </w:r>
    </w:p>
    <w:p w:rsidR="003C100D" w:rsidRDefault="003C100D" w:rsidP="00815C67">
      <w:pPr>
        <w:pStyle w:val="NormalWeb"/>
        <w:jc w:val="both"/>
        <w:rPr>
          <w:b/>
          <w:bCs/>
        </w:rPr>
      </w:pPr>
      <w:r>
        <w:rPr>
          <w:rFonts w:ascii="Verdana" w:hAnsi="Verdana"/>
          <w:b/>
          <w:bCs/>
          <w:sz w:val="20"/>
          <w:szCs w:val="20"/>
        </w:rPr>
        <w:t>75. National Tax Tribunal Act, 2005 – Constitutional validity</w:t>
      </w:r>
    </w:p>
    <w:p w:rsidR="003C100D" w:rsidRDefault="003C100D" w:rsidP="00815C67">
      <w:pPr>
        <w:pStyle w:val="NormalWeb"/>
        <w:jc w:val="both"/>
      </w:pPr>
      <w:r>
        <w:rPr>
          <w:rFonts w:ascii="Verdana" w:hAnsi="Verdana"/>
          <w:sz w:val="20"/>
          <w:szCs w:val="20"/>
        </w:rPr>
        <w:t xml:space="preserve">On petitions challenging the constitutional validity of the National Tax Tribunal Act, 2005, the Supreme Court </w:t>
      </w:r>
      <w:proofErr w:type="gramStart"/>
      <w:r>
        <w:rPr>
          <w:rFonts w:ascii="Verdana" w:hAnsi="Verdana"/>
          <w:sz w:val="20"/>
          <w:szCs w:val="20"/>
        </w:rPr>
        <w:t>held :</w:t>
      </w:r>
      <w:proofErr w:type="gramEnd"/>
    </w:p>
    <w:p w:rsidR="003C100D" w:rsidRDefault="003C100D" w:rsidP="00815C67">
      <w:pPr>
        <w:pStyle w:val="NormalWeb"/>
        <w:jc w:val="both"/>
        <w:rPr>
          <w:rFonts w:ascii="Verdana" w:hAnsi="Verdana"/>
          <w:sz w:val="20"/>
          <w:szCs w:val="20"/>
        </w:rPr>
      </w:pPr>
      <w:r>
        <w:rPr>
          <w:rFonts w:ascii="Verdana" w:hAnsi="Verdana"/>
          <w:sz w:val="20"/>
          <w:szCs w:val="20"/>
        </w:rPr>
        <w:t>(</w:t>
      </w:r>
      <w:proofErr w:type="spellStart"/>
      <w:r>
        <w:rPr>
          <w:rFonts w:ascii="Verdana" w:hAnsi="Verdana"/>
          <w:sz w:val="20"/>
          <w:szCs w:val="20"/>
        </w:rPr>
        <w:t>i</w:t>
      </w:r>
      <w:proofErr w:type="spellEnd"/>
      <w:r>
        <w:rPr>
          <w:rFonts w:ascii="Verdana" w:hAnsi="Verdana"/>
          <w:sz w:val="20"/>
          <w:szCs w:val="20"/>
        </w:rPr>
        <w:t xml:space="preserve">) The </w:t>
      </w:r>
      <w:proofErr w:type="spellStart"/>
      <w:r>
        <w:rPr>
          <w:rFonts w:ascii="Verdana" w:hAnsi="Verdana"/>
          <w:sz w:val="20"/>
          <w:szCs w:val="20"/>
        </w:rPr>
        <w:t>UoI</w:t>
      </w:r>
      <w:proofErr w:type="spellEnd"/>
      <w:r>
        <w:rPr>
          <w:rFonts w:ascii="Verdana" w:hAnsi="Verdana"/>
          <w:sz w:val="20"/>
          <w:szCs w:val="20"/>
        </w:rPr>
        <w:t xml:space="preserve"> agreed that appropriate would be made in the Act to ensure that only lawyers, Chartered Accountants and parties in person would be permitted to appear before the National Tax Tribunal.</w:t>
      </w:r>
    </w:p>
    <w:p w:rsidR="003C100D" w:rsidRDefault="003C100D" w:rsidP="00815C67">
      <w:pPr>
        <w:pStyle w:val="NormalWeb"/>
        <w:jc w:val="both"/>
        <w:rPr>
          <w:rFonts w:ascii="Verdana" w:hAnsi="Verdana"/>
          <w:sz w:val="20"/>
          <w:szCs w:val="20"/>
        </w:rPr>
      </w:pPr>
      <w:r>
        <w:rPr>
          <w:rFonts w:ascii="Verdana" w:hAnsi="Verdana"/>
          <w:sz w:val="20"/>
          <w:szCs w:val="20"/>
        </w:rPr>
        <w:t xml:space="preserve">(ii) In regard to section 5(5) dealing with the transfer of Members of the Tribunal from one State to another, the </w:t>
      </w:r>
      <w:proofErr w:type="spellStart"/>
      <w:r>
        <w:rPr>
          <w:rFonts w:ascii="Verdana" w:hAnsi="Verdana"/>
          <w:sz w:val="20"/>
          <w:szCs w:val="20"/>
        </w:rPr>
        <w:t>UoI</w:t>
      </w:r>
      <w:proofErr w:type="spellEnd"/>
      <w:r>
        <w:rPr>
          <w:rFonts w:ascii="Verdana" w:hAnsi="Verdana"/>
          <w:sz w:val="20"/>
          <w:szCs w:val="20"/>
        </w:rPr>
        <w:t xml:space="preserve"> agreed that the expression "consultation with the Chairperson" should be read and construed as "concurrence of the Chairperson".</w:t>
      </w:r>
    </w:p>
    <w:p w:rsidR="003C100D" w:rsidRDefault="003C100D" w:rsidP="00815C67">
      <w:pPr>
        <w:pStyle w:val="NormalWeb"/>
        <w:jc w:val="both"/>
        <w:rPr>
          <w:rFonts w:ascii="Verdana" w:hAnsi="Verdana"/>
          <w:sz w:val="20"/>
          <w:szCs w:val="20"/>
        </w:rPr>
      </w:pPr>
      <w:r>
        <w:rPr>
          <w:rFonts w:ascii="Verdana" w:hAnsi="Verdana"/>
          <w:sz w:val="20"/>
          <w:szCs w:val="20"/>
        </w:rPr>
        <w:t>(iii) In regard to section 7 providing for a selection committee comprising the Chief Justice or a judge of the Supreme Court and the Secretaries of the Ministry of Law and the Ministry of Finance, it was held that there was no question of the two Secretaries overriding the opinion of the Chief Justice or Judge, since primacy of the Chairperson was inbuilt and this aspect would be clarified.</w:t>
      </w:r>
    </w:p>
    <w:p w:rsidR="003C100D" w:rsidRDefault="003C100D" w:rsidP="00815C67">
      <w:pPr>
        <w:pStyle w:val="NormalWeb"/>
        <w:jc w:val="both"/>
        <w:rPr>
          <w:rFonts w:ascii="Verdana" w:hAnsi="Verdana"/>
          <w:sz w:val="20"/>
          <w:szCs w:val="20"/>
        </w:rPr>
      </w:pPr>
      <w:proofErr w:type="gramStart"/>
      <w:r>
        <w:rPr>
          <w:rFonts w:ascii="Verdana" w:hAnsi="Verdana"/>
          <w:sz w:val="20"/>
          <w:szCs w:val="20"/>
        </w:rPr>
        <w:t>(iv) Matters</w:t>
      </w:r>
      <w:proofErr w:type="gramEnd"/>
      <w:r>
        <w:rPr>
          <w:rFonts w:ascii="Verdana" w:hAnsi="Verdana"/>
          <w:sz w:val="20"/>
          <w:szCs w:val="20"/>
        </w:rPr>
        <w:t xml:space="preserve"> relating to the National Tax Tribunal and challenge to article 323B of the Constitution of India raising other issues had to be heard separately.</w:t>
      </w:r>
    </w:p>
    <w:p w:rsidR="003C100D" w:rsidRDefault="003C100D" w:rsidP="00815C67">
      <w:pPr>
        <w:pStyle w:val="NormalWeb"/>
        <w:jc w:val="both"/>
      </w:pPr>
      <w:r>
        <w:rPr>
          <w:rFonts w:ascii="Verdana" w:hAnsi="Verdana"/>
          <w:i/>
          <w:iCs/>
          <w:sz w:val="20"/>
          <w:szCs w:val="20"/>
        </w:rPr>
        <w:t xml:space="preserve">Madras Bar Association vs. </w:t>
      </w:r>
      <w:proofErr w:type="spellStart"/>
      <w:r>
        <w:rPr>
          <w:rFonts w:ascii="Verdana" w:hAnsi="Verdana"/>
          <w:i/>
          <w:iCs/>
          <w:sz w:val="20"/>
          <w:szCs w:val="20"/>
        </w:rPr>
        <w:t>UoI</w:t>
      </w:r>
      <w:proofErr w:type="spellEnd"/>
      <w:r>
        <w:rPr>
          <w:rFonts w:ascii="Verdana" w:hAnsi="Verdana"/>
          <w:i/>
          <w:iCs/>
          <w:sz w:val="20"/>
          <w:szCs w:val="20"/>
        </w:rPr>
        <w:t xml:space="preserve"> and </w:t>
      </w:r>
      <w:proofErr w:type="gramStart"/>
      <w:r>
        <w:rPr>
          <w:rFonts w:ascii="Verdana" w:hAnsi="Verdana"/>
          <w:i/>
          <w:iCs/>
          <w:sz w:val="20"/>
          <w:szCs w:val="20"/>
        </w:rPr>
        <w:t>Another</w:t>
      </w:r>
      <w:proofErr w:type="gramEnd"/>
      <w:r>
        <w:rPr>
          <w:rFonts w:ascii="Verdana" w:hAnsi="Verdana"/>
          <w:i/>
          <w:iCs/>
          <w:sz w:val="20"/>
          <w:szCs w:val="20"/>
        </w:rPr>
        <w:t xml:space="preserve"> (2010) 324 ITR 166 (SC)</w:t>
      </w:r>
    </w:p>
    <w:p w:rsidR="003C100D" w:rsidRDefault="003C100D" w:rsidP="00815C67">
      <w:pPr>
        <w:pStyle w:val="NormalWeb"/>
        <w:jc w:val="both"/>
      </w:pPr>
      <w:r>
        <w:rPr>
          <w:rFonts w:ascii="Verdana" w:hAnsi="Verdana"/>
          <w:b/>
          <w:bCs/>
          <w:i/>
          <w:iCs/>
          <w:sz w:val="20"/>
          <w:szCs w:val="20"/>
        </w:rPr>
        <w:t xml:space="preserve">Editorial </w:t>
      </w:r>
      <w:proofErr w:type="gramStart"/>
      <w:r>
        <w:rPr>
          <w:rFonts w:ascii="Verdana" w:hAnsi="Verdana"/>
          <w:b/>
          <w:bCs/>
          <w:i/>
          <w:iCs/>
          <w:sz w:val="20"/>
          <w:szCs w:val="20"/>
        </w:rPr>
        <w:t>Note</w:t>
      </w:r>
      <w:r>
        <w:rPr>
          <w:rFonts w:ascii="Verdana" w:hAnsi="Verdana"/>
          <w:i/>
          <w:iCs/>
          <w:sz w:val="20"/>
          <w:szCs w:val="20"/>
        </w:rPr>
        <w:t xml:space="preserve"> :</w:t>
      </w:r>
      <w:proofErr w:type="gramEnd"/>
      <w:r>
        <w:rPr>
          <w:rFonts w:ascii="Verdana" w:hAnsi="Verdana"/>
          <w:i/>
          <w:iCs/>
          <w:sz w:val="20"/>
          <w:szCs w:val="20"/>
        </w:rPr>
        <w:t xml:space="preserve"> Refer Y. R. Gandhi (2010) 156 Company Cases 392 (SC)</w:t>
      </w:r>
    </w:p>
    <w:p w:rsidR="003C100D" w:rsidRDefault="003C100D" w:rsidP="00815C67">
      <w:pPr>
        <w:pStyle w:val="NormalWeb"/>
        <w:jc w:val="both"/>
        <w:rPr>
          <w:b/>
          <w:bCs/>
        </w:rPr>
      </w:pPr>
      <w:r>
        <w:rPr>
          <w:rFonts w:ascii="Verdana" w:hAnsi="Verdana"/>
          <w:b/>
          <w:bCs/>
          <w:sz w:val="20"/>
          <w:szCs w:val="20"/>
        </w:rPr>
        <w:t xml:space="preserve">76. Land Acquisition Act, 1894 – Agricultural activity </w:t>
      </w:r>
    </w:p>
    <w:p w:rsidR="003C100D" w:rsidRDefault="003C100D" w:rsidP="00815C67">
      <w:pPr>
        <w:pStyle w:val="NormalWeb"/>
        <w:jc w:val="both"/>
      </w:pPr>
      <w:r>
        <w:rPr>
          <w:rFonts w:ascii="Verdana" w:hAnsi="Verdana"/>
          <w:sz w:val="20"/>
          <w:szCs w:val="20"/>
        </w:rPr>
        <w:t>Manufacture of silk thread held not to be an agricultural activity.</w:t>
      </w:r>
    </w:p>
    <w:p w:rsidR="003C100D" w:rsidRDefault="003C100D" w:rsidP="00815C67">
      <w:pPr>
        <w:pStyle w:val="NormalWeb"/>
        <w:jc w:val="both"/>
      </w:pPr>
      <w:r>
        <w:rPr>
          <w:rFonts w:ascii="Verdana" w:hAnsi="Verdana"/>
          <w:i/>
          <w:iCs/>
          <w:sz w:val="20"/>
          <w:szCs w:val="20"/>
        </w:rPr>
        <w:t xml:space="preserve">Special Land Acquisition Officer vs. </w:t>
      </w:r>
      <w:proofErr w:type="spellStart"/>
      <w:r>
        <w:rPr>
          <w:rFonts w:ascii="Verdana" w:hAnsi="Verdana"/>
          <w:i/>
          <w:iCs/>
          <w:sz w:val="20"/>
          <w:szCs w:val="20"/>
        </w:rPr>
        <w:t>Karigowda</w:t>
      </w:r>
      <w:proofErr w:type="spellEnd"/>
      <w:r>
        <w:rPr>
          <w:rFonts w:ascii="Verdana" w:hAnsi="Verdana"/>
          <w:i/>
          <w:iCs/>
          <w:sz w:val="20"/>
          <w:szCs w:val="20"/>
        </w:rPr>
        <w:t xml:space="preserve"> &amp; Others (2010) 5 SCC 708</w:t>
      </w:r>
    </w:p>
    <w:p w:rsidR="007F4B57" w:rsidRDefault="007F4B57" w:rsidP="00815C67">
      <w:pPr>
        <w:jc w:val="both"/>
      </w:pPr>
    </w:p>
    <w:sectPr w:rsidR="007F4B57" w:rsidSect="001712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B22A9"/>
    <w:multiLevelType w:val="multilevel"/>
    <w:tmpl w:val="ABB4C5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BB14B7"/>
    <w:multiLevelType w:val="hybridMultilevel"/>
    <w:tmpl w:val="7BC01B74"/>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7204AE"/>
    <w:multiLevelType w:val="multilevel"/>
    <w:tmpl w:val="5F28D5B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5A74BF"/>
    <w:multiLevelType w:val="multilevel"/>
    <w:tmpl w:val="3E662A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9D779B"/>
    <w:multiLevelType w:val="multilevel"/>
    <w:tmpl w:val="9E5E07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836FA0"/>
    <w:multiLevelType w:val="multilevel"/>
    <w:tmpl w:val="5E3484B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233A39"/>
    <w:multiLevelType w:val="multilevel"/>
    <w:tmpl w:val="98E285B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D76435"/>
    <w:multiLevelType w:val="multilevel"/>
    <w:tmpl w:val="FDAE8F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9E1D28"/>
    <w:multiLevelType w:val="multilevel"/>
    <w:tmpl w:val="6002C80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F820E2"/>
    <w:multiLevelType w:val="multilevel"/>
    <w:tmpl w:val="606CA59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3006F8"/>
    <w:multiLevelType w:val="multilevel"/>
    <w:tmpl w:val="EF6CB84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505275"/>
    <w:multiLevelType w:val="multilevel"/>
    <w:tmpl w:val="31865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87416D"/>
    <w:multiLevelType w:val="multilevel"/>
    <w:tmpl w:val="4C92D3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54726C"/>
    <w:multiLevelType w:val="multilevel"/>
    <w:tmpl w:val="EC2AB0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685706"/>
    <w:multiLevelType w:val="multilevel"/>
    <w:tmpl w:val="8870C9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276E7B"/>
    <w:multiLevelType w:val="multilevel"/>
    <w:tmpl w:val="801C167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414026"/>
    <w:multiLevelType w:val="multilevel"/>
    <w:tmpl w:val="79BA6B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120D29"/>
    <w:multiLevelType w:val="multilevel"/>
    <w:tmpl w:val="1DB4F0C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E7530A"/>
    <w:multiLevelType w:val="multilevel"/>
    <w:tmpl w:val="BC2EE98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FC2F4E"/>
    <w:multiLevelType w:val="multilevel"/>
    <w:tmpl w:val="DE004A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9E26F7"/>
    <w:multiLevelType w:val="multilevel"/>
    <w:tmpl w:val="206C507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2E3465"/>
    <w:multiLevelType w:val="multilevel"/>
    <w:tmpl w:val="A1F008F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811721"/>
    <w:multiLevelType w:val="multilevel"/>
    <w:tmpl w:val="10F835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D533C7"/>
    <w:multiLevelType w:val="multilevel"/>
    <w:tmpl w:val="3E6C31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nsid w:val="67D76BF0"/>
    <w:multiLevelType w:val="multilevel"/>
    <w:tmpl w:val="2FD4313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155DED"/>
    <w:multiLevelType w:val="multilevel"/>
    <w:tmpl w:val="385C93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73532B"/>
    <w:multiLevelType w:val="multilevel"/>
    <w:tmpl w:val="C22EFA8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9BB51D0"/>
    <w:multiLevelType w:val="multilevel"/>
    <w:tmpl w:val="AAB8D7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E527600"/>
    <w:multiLevelType w:val="multilevel"/>
    <w:tmpl w:val="71E26D0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7"/>
  </w:num>
  <w:num w:numId="4">
    <w:abstractNumId w:val="19"/>
  </w:num>
  <w:num w:numId="5">
    <w:abstractNumId w:val="22"/>
  </w:num>
  <w:num w:numId="6">
    <w:abstractNumId w:val="12"/>
  </w:num>
  <w:num w:numId="7">
    <w:abstractNumId w:val="25"/>
  </w:num>
  <w:num w:numId="8">
    <w:abstractNumId w:val="16"/>
  </w:num>
  <w:num w:numId="9">
    <w:abstractNumId w:val="3"/>
  </w:num>
  <w:num w:numId="10">
    <w:abstractNumId w:val="27"/>
  </w:num>
  <w:num w:numId="11">
    <w:abstractNumId w:val="15"/>
  </w:num>
  <w:num w:numId="12">
    <w:abstractNumId w:val="14"/>
  </w:num>
  <w:num w:numId="13">
    <w:abstractNumId w:val="6"/>
  </w:num>
  <w:num w:numId="14">
    <w:abstractNumId w:val="18"/>
  </w:num>
  <w:num w:numId="15">
    <w:abstractNumId w:val="0"/>
  </w:num>
  <w:num w:numId="16">
    <w:abstractNumId w:val="20"/>
  </w:num>
  <w:num w:numId="17">
    <w:abstractNumId w:val="24"/>
  </w:num>
  <w:num w:numId="18">
    <w:abstractNumId w:val="8"/>
  </w:num>
  <w:num w:numId="19">
    <w:abstractNumId w:val="28"/>
  </w:num>
  <w:num w:numId="20">
    <w:abstractNumId w:val="9"/>
  </w:num>
  <w:num w:numId="21">
    <w:abstractNumId w:val="26"/>
  </w:num>
  <w:num w:numId="22">
    <w:abstractNumId w:val="21"/>
  </w:num>
  <w:num w:numId="23">
    <w:abstractNumId w:val="23"/>
  </w:num>
  <w:num w:numId="24">
    <w:abstractNumId w:val="5"/>
  </w:num>
  <w:num w:numId="25">
    <w:abstractNumId w:val="2"/>
  </w:num>
  <w:num w:numId="26">
    <w:abstractNumId w:val="10"/>
  </w:num>
  <w:num w:numId="27">
    <w:abstractNumId w:val="4"/>
  </w:num>
  <w:num w:numId="28">
    <w:abstractNumId w:val="17"/>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A54F3"/>
    <w:rsid w:val="001058E0"/>
    <w:rsid w:val="001712F8"/>
    <w:rsid w:val="001B45B0"/>
    <w:rsid w:val="002E0E48"/>
    <w:rsid w:val="0037540A"/>
    <w:rsid w:val="003C100D"/>
    <w:rsid w:val="0059677A"/>
    <w:rsid w:val="0063387C"/>
    <w:rsid w:val="006767D1"/>
    <w:rsid w:val="00712B43"/>
    <w:rsid w:val="00712E0B"/>
    <w:rsid w:val="007F4B57"/>
    <w:rsid w:val="00813C3A"/>
    <w:rsid w:val="00815C67"/>
    <w:rsid w:val="009425D8"/>
    <w:rsid w:val="00FA54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2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54F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425D8"/>
    <w:pPr>
      <w:ind w:left="720"/>
      <w:contextualSpacing/>
    </w:pPr>
  </w:style>
  <w:style w:type="character" w:styleId="Hyperlink">
    <w:name w:val="Hyperlink"/>
    <w:basedOn w:val="DefaultParagraphFont"/>
    <w:uiPriority w:val="99"/>
    <w:semiHidden/>
    <w:unhideWhenUsed/>
    <w:rsid w:val="0037540A"/>
    <w:rPr>
      <w:color w:val="0000FF"/>
      <w:u w:val="single"/>
    </w:rPr>
  </w:style>
</w:styles>
</file>

<file path=word/webSettings.xml><?xml version="1.0" encoding="utf-8"?>
<w:webSettings xmlns:r="http://schemas.openxmlformats.org/officeDocument/2006/relationships" xmlns:w="http://schemas.openxmlformats.org/wordprocessingml/2006/main">
  <w:divs>
    <w:div w:id="138958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1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265624825">
      <w:bodyDiv w:val="1"/>
      <w:marLeft w:val="0"/>
      <w:marRight w:val="0"/>
      <w:marTop w:val="0"/>
      <w:marBottom w:val="0"/>
      <w:divBdr>
        <w:top w:val="none" w:sz="0" w:space="0" w:color="auto"/>
        <w:left w:val="none" w:sz="0" w:space="0" w:color="auto"/>
        <w:bottom w:val="none" w:sz="0" w:space="0" w:color="auto"/>
        <w:right w:val="none" w:sz="0" w:space="0" w:color="auto"/>
      </w:divBdr>
    </w:div>
    <w:div w:id="3516850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80896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4089347">
      <w:blockQuote w:val="1"/>
      <w:marLeft w:val="720"/>
      <w:marRight w:val="720"/>
      <w:marTop w:val="100"/>
      <w:marBottom w:val="100"/>
      <w:divBdr>
        <w:top w:val="none" w:sz="0" w:space="0" w:color="auto"/>
        <w:left w:val="none" w:sz="0" w:space="0" w:color="auto"/>
        <w:bottom w:val="none" w:sz="0" w:space="0" w:color="auto"/>
        <w:right w:val="none" w:sz="0" w:space="0" w:color="auto"/>
      </w:divBdr>
    </w:div>
    <w:div w:id="451024304">
      <w:blockQuote w:val="1"/>
      <w:marLeft w:val="720"/>
      <w:marRight w:val="720"/>
      <w:marTop w:val="100"/>
      <w:marBottom w:val="100"/>
      <w:divBdr>
        <w:top w:val="none" w:sz="0" w:space="0" w:color="auto"/>
        <w:left w:val="none" w:sz="0" w:space="0" w:color="auto"/>
        <w:bottom w:val="none" w:sz="0" w:space="0" w:color="auto"/>
        <w:right w:val="none" w:sz="0" w:space="0" w:color="auto"/>
      </w:divBdr>
    </w:div>
    <w:div w:id="457915812">
      <w:bodyDiv w:val="1"/>
      <w:marLeft w:val="0"/>
      <w:marRight w:val="0"/>
      <w:marTop w:val="0"/>
      <w:marBottom w:val="0"/>
      <w:divBdr>
        <w:top w:val="none" w:sz="0" w:space="0" w:color="auto"/>
        <w:left w:val="none" w:sz="0" w:space="0" w:color="auto"/>
        <w:bottom w:val="none" w:sz="0" w:space="0" w:color="auto"/>
        <w:right w:val="none" w:sz="0" w:space="0" w:color="auto"/>
      </w:divBdr>
    </w:div>
    <w:div w:id="458963459">
      <w:bodyDiv w:val="1"/>
      <w:marLeft w:val="0"/>
      <w:marRight w:val="0"/>
      <w:marTop w:val="0"/>
      <w:marBottom w:val="0"/>
      <w:divBdr>
        <w:top w:val="none" w:sz="0" w:space="0" w:color="auto"/>
        <w:left w:val="none" w:sz="0" w:space="0" w:color="auto"/>
        <w:bottom w:val="none" w:sz="0" w:space="0" w:color="auto"/>
        <w:right w:val="none" w:sz="0" w:space="0" w:color="auto"/>
      </w:divBdr>
    </w:div>
    <w:div w:id="46034432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438884">
      <w:blockQuote w:val="1"/>
      <w:marLeft w:val="720"/>
      <w:marRight w:val="720"/>
      <w:marTop w:val="100"/>
      <w:marBottom w:val="100"/>
      <w:divBdr>
        <w:top w:val="none" w:sz="0" w:space="0" w:color="auto"/>
        <w:left w:val="none" w:sz="0" w:space="0" w:color="auto"/>
        <w:bottom w:val="none" w:sz="0" w:space="0" w:color="auto"/>
        <w:right w:val="none" w:sz="0" w:space="0" w:color="auto"/>
      </w:divBdr>
    </w:div>
    <w:div w:id="58111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011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639922349">
      <w:blockQuote w:val="1"/>
      <w:marLeft w:val="720"/>
      <w:marRight w:val="720"/>
      <w:marTop w:val="100"/>
      <w:marBottom w:val="100"/>
      <w:divBdr>
        <w:top w:val="none" w:sz="0" w:space="0" w:color="auto"/>
        <w:left w:val="none" w:sz="0" w:space="0" w:color="auto"/>
        <w:bottom w:val="none" w:sz="0" w:space="0" w:color="auto"/>
        <w:right w:val="none" w:sz="0" w:space="0" w:color="auto"/>
      </w:divBdr>
    </w:div>
    <w:div w:id="72544942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74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0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70069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271397">
      <w:blockQuote w:val="1"/>
      <w:marLeft w:val="720"/>
      <w:marRight w:val="720"/>
      <w:marTop w:val="100"/>
      <w:marBottom w:val="100"/>
      <w:divBdr>
        <w:top w:val="none" w:sz="0" w:space="0" w:color="auto"/>
        <w:left w:val="none" w:sz="0" w:space="0" w:color="auto"/>
        <w:bottom w:val="none" w:sz="0" w:space="0" w:color="auto"/>
        <w:right w:val="none" w:sz="0" w:space="0" w:color="auto"/>
      </w:divBdr>
    </w:div>
    <w:div w:id="955719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99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634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568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851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7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916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313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246977">
      <w:bodyDiv w:val="1"/>
      <w:marLeft w:val="0"/>
      <w:marRight w:val="0"/>
      <w:marTop w:val="0"/>
      <w:marBottom w:val="0"/>
      <w:divBdr>
        <w:top w:val="none" w:sz="0" w:space="0" w:color="auto"/>
        <w:left w:val="none" w:sz="0" w:space="0" w:color="auto"/>
        <w:bottom w:val="none" w:sz="0" w:space="0" w:color="auto"/>
        <w:right w:val="none" w:sz="0" w:space="0" w:color="auto"/>
      </w:divBdr>
    </w:div>
    <w:div w:id="1323200971">
      <w:bodyDiv w:val="1"/>
      <w:marLeft w:val="0"/>
      <w:marRight w:val="0"/>
      <w:marTop w:val="0"/>
      <w:marBottom w:val="0"/>
      <w:divBdr>
        <w:top w:val="none" w:sz="0" w:space="0" w:color="auto"/>
        <w:left w:val="none" w:sz="0" w:space="0" w:color="auto"/>
        <w:bottom w:val="none" w:sz="0" w:space="0" w:color="auto"/>
        <w:right w:val="none" w:sz="0" w:space="0" w:color="auto"/>
      </w:divBdr>
    </w:div>
    <w:div w:id="1400787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8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2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41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765101">
      <w:bodyDiv w:val="1"/>
      <w:marLeft w:val="0"/>
      <w:marRight w:val="0"/>
      <w:marTop w:val="0"/>
      <w:marBottom w:val="0"/>
      <w:divBdr>
        <w:top w:val="none" w:sz="0" w:space="0" w:color="auto"/>
        <w:left w:val="none" w:sz="0" w:space="0" w:color="auto"/>
        <w:bottom w:val="none" w:sz="0" w:space="0" w:color="auto"/>
        <w:right w:val="none" w:sz="0" w:space="0" w:color="auto"/>
      </w:divBdr>
    </w:div>
    <w:div w:id="1645235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033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969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31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33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431605">
      <w:bodyDiv w:val="1"/>
      <w:marLeft w:val="0"/>
      <w:marRight w:val="0"/>
      <w:marTop w:val="0"/>
      <w:marBottom w:val="0"/>
      <w:divBdr>
        <w:top w:val="none" w:sz="0" w:space="0" w:color="auto"/>
        <w:left w:val="none" w:sz="0" w:space="0" w:color="auto"/>
        <w:bottom w:val="none" w:sz="0" w:space="0" w:color="auto"/>
        <w:right w:val="none" w:sz="0" w:space="0" w:color="auto"/>
      </w:divBdr>
    </w:div>
    <w:div w:id="1992441293">
      <w:bodyDiv w:val="1"/>
      <w:marLeft w:val="0"/>
      <w:marRight w:val="0"/>
      <w:marTop w:val="0"/>
      <w:marBottom w:val="0"/>
      <w:divBdr>
        <w:top w:val="none" w:sz="0" w:space="0" w:color="auto"/>
        <w:left w:val="none" w:sz="0" w:space="0" w:color="auto"/>
        <w:bottom w:val="none" w:sz="0" w:space="0" w:color="auto"/>
        <w:right w:val="none" w:sz="0" w:space="0" w:color="auto"/>
      </w:divBdr>
      <w:divsChild>
        <w:div w:id="17303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995186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84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967394">
          <w:blockQuote w:val="1"/>
          <w:marLeft w:val="720"/>
          <w:marRight w:val="720"/>
          <w:marTop w:val="100"/>
          <w:marBottom w:val="100"/>
          <w:divBdr>
            <w:top w:val="none" w:sz="0" w:space="0" w:color="auto"/>
            <w:left w:val="none" w:sz="0" w:space="0" w:color="auto"/>
            <w:bottom w:val="none" w:sz="0" w:space="0" w:color="auto"/>
            <w:right w:val="none" w:sz="0" w:space="0" w:color="auto"/>
          </w:divBdr>
        </w:div>
        <w:div w:id="875032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00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3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4403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5214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27525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66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763261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541229">
          <w:blockQuote w:val="1"/>
          <w:marLeft w:val="720"/>
          <w:marRight w:val="720"/>
          <w:marTop w:val="100"/>
          <w:marBottom w:val="100"/>
          <w:divBdr>
            <w:top w:val="none" w:sz="0" w:space="0" w:color="auto"/>
            <w:left w:val="none" w:sz="0" w:space="0" w:color="auto"/>
            <w:bottom w:val="none" w:sz="0" w:space="0" w:color="auto"/>
            <w:right w:val="none" w:sz="0" w:space="0" w:color="auto"/>
          </w:divBdr>
        </w:div>
        <w:div w:id="6593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82219">
          <w:blockQuote w:val="1"/>
          <w:marLeft w:val="720"/>
          <w:marRight w:val="720"/>
          <w:marTop w:val="100"/>
          <w:marBottom w:val="100"/>
          <w:divBdr>
            <w:top w:val="none" w:sz="0" w:space="0" w:color="auto"/>
            <w:left w:val="none" w:sz="0" w:space="0" w:color="auto"/>
            <w:bottom w:val="none" w:sz="0" w:space="0" w:color="auto"/>
            <w:right w:val="none" w:sz="0" w:space="0" w:color="auto"/>
          </w:divBdr>
        </w:div>
        <w:div w:id="51434255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6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8545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435354">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tatonlin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7316</Words>
  <Characters>41704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richlook</Company>
  <LinksUpToDate>false</LinksUpToDate>
  <CharactersWithSpaces>48923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dengue</dc:creator>
  <cp:keywords/>
  <dc:description/>
  <cp:lastModifiedBy>dengue</cp:lastModifiedBy>
  <cp:revision>14</cp:revision>
  <dcterms:created xsi:type="dcterms:W3CDTF">2010-12-29T08:41:00Z</dcterms:created>
  <dcterms:modified xsi:type="dcterms:W3CDTF">2010-12-29T12:08:00Z</dcterms:modified>
</cp:coreProperties>
</file>