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790" w:rsidRPr="00804320" w:rsidRDefault="00A82790" w:rsidP="00804320">
      <w:pPr>
        <w:spacing w:after="0" w:line="360" w:lineRule="auto"/>
        <w:jc w:val="center"/>
        <w:outlineLvl w:val="1"/>
        <w:rPr>
          <w:rFonts w:eastAsia="Times New Roman" w:cs="Times New Roman"/>
          <w:b/>
          <w:bCs/>
          <w:color w:val="000000"/>
          <w:sz w:val="32"/>
          <w:szCs w:val="32"/>
        </w:rPr>
      </w:pPr>
      <w:r w:rsidRPr="00804320">
        <w:rPr>
          <w:rFonts w:eastAsia="Times New Roman" w:cs="Arial"/>
          <w:b/>
          <w:bCs/>
          <w:color w:val="000080"/>
          <w:sz w:val="24"/>
          <w:szCs w:val="24"/>
          <w:u w:val="single"/>
        </w:rPr>
        <w:t xml:space="preserve">Bajaj Tempo Limited. </w:t>
      </w:r>
      <w:proofErr w:type="spellStart"/>
      <w:proofErr w:type="gramStart"/>
      <w:r w:rsidRPr="00804320">
        <w:rPr>
          <w:rFonts w:eastAsia="Times New Roman" w:cs="Arial"/>
          <w:b/>
          <w:bCs/>
          <w:color w:val="000080"/>
          <w:sz w:val="24"/>
          <w:szCs w:val="24"/>
          <w:u w:val="single"/>
        </w:rPr>
        <w:t>vs</w:t>
      </w:r>
      <w:proofErr w:type="spellEnd"/>
      <w:proofErr w:type="gramEnd"/>
      <w:r w:rsidRPr="00804320">
        <w:rPr>
          <w:rFonts w:eastAsia="Times New Roman" w:cs="Arial"/>
          <w:b/>
          <w:bCs/>
          <w:color w:val="000080"/>
          <w:sz w:val="24"/>
          <w:szCs w:val="24"/>
          <w:u w:val="single"/>
        </w:rPr>
        <w:t xml:space="preserve"> CIT(SC)</w:t>
      </w:r>
      <w:r w:rsidRPr="00804320">
        <w:rPr>
          <w:rFonts w:eastAsia="Times New Roman" w:cs="Arial"/>
          <w:b/>
          <w:bCs/>
          <w:color w:val="000080"/>
          <w:sz w:val="24"/>
          <w:szCs w:val="24"/>
          <w:u w:val="single"/>
        </w:rPr>
        <w:br/>
      </w:r>
      <w:r w:rsidRPr="00804320">
        <w:rPr>
          <w:rFonts w:eastAsia="Times New Roman" w:cs="Arial"/>
          <w:b/>
          <w:bCs/>
          <w:color w:val="000080"/>
          <w:sz w:val="24"/>
          <w:szCs w:val="24"/>
        </w:rPr>
        <w:t>Supreme Court Decision dt.24-04-1992</w:t>
      </w:r>
    </w:p>
    <w:p w:rsidR="00A82790" w:rsidRPr="00804320" w:rsidRDefault="00A82790" w:rsidP="00804320">
      <w:pPr>
        <w:spacing w:after="0" w:line="360" w:lineRule="auto"/>
        <w:jc w:val="center"/>
        <w:rPr>
          <w:rFonts w:eastAsia="Times New Roman" w:cs="Times New Roman"/>
          <w:b/>
          <w:bCs/>
          <w:color w:val="000000"/>
          <w:sz w:val="21"/>
          <w:szCs w:val="21"/>
        </w:rPr>
      </w:pPr>
      <w:r w:rsidRPr="00804320">
        <w:rPr>
          <w:rFonts w:eastAsia="Times New Roman" w:cs="Arial"/>
          <w:b/>
          <w:bCs/>
          <w:color w:val="000080"/>
          <w:sz w:val="24"/>
          <w:szCs w:val="24"/>
        </w:rPr>
        <w:t>196 ITR 188(SC)</w:t>
      </w:r>
    </w:p>
    <w:p w:rsidR="00A82790" w:rsidRPr="00804320" w:rsidRDefault="00A82790" w:rsidP="00804320">
      <w:pPr>
        <w:spacing w:after="0" w:line="360" w:lineRule="auto"/>
        <w:jc w:val="center"/>
        <w:rPr>
          <w:rFonts w:eastAsia="Times New Roman" w:cs="Times New Roman"/>
          <w:b/>
          <w:bCs/>
          <w:color w:val="000000"/>
          <w:sz w:val="21"/>
          <w:szCs w:val="21"/>
        </w:rPr>
      </w:pPr>
      <w:r w:rsidRPr="00804320">
        <w:rPr>
          <w:rFonts w:eastAsia="Times New Roman" w:cs="Arial"/>
          <w:b/>
          <w:bCs/>
          <w:color w:val="000080"/>
          <w:sz w:val="24"/>
          <w:szCs w:val="24"/>
        </w:rPr>
        <w:t>104 CTR 116(SC)</w:t>
      </w:r>
    </w:p>
    <w:p w:rsidR="00804320" w:rsidRDefault="00804320" w:rsidP="00804320">
      <w:pPr>
        <w:spacing w:after="0" w:line="360" w:lineRule="auto"/>
        <w:jc w:val="both"/>
        <w:rPr>
          <w:rFonts w:eastAsia="Times New Roman" w:cs="Arial"/>
          <w:b/>
          <w:bCs/>
          <w:color w:val="000080"/>
          <w:sz w:val="21"/>
          <w:szCs w:val="21"/>
        </w:rPr>
      </w:pP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b/>
          <w:bCs/>
          <w:color w:val="000080"/>
          <w:sz w:val="21"/>
          <w:szCs w:val="21"/>
        </w:rPr>
        <w:t>JUDGMENT</w:t>
      </w:r>
    </w:p>
    <w:p w:rsidR="00A82790" w:rsidRPr="00804320" w:rsidRDefault="00A82790" w:rsidP="00804320">
      <w:pPr>
        <w:spacing w:after="0" w:line="360" w:lineRule="auto"/>
        <w:jc w:val="both"/>
        <w:rPr>
          <w:rFonts w:eastAsia="Times New Roman" w:cs="Times New Roman"/>
          <w:b/>
          <w:color w:val="000000"/>
          <w:sz w:val="21"/>
          <w:szCs w:val="21"/>
        </w:rPr>
      </w:pPr>
      <w:r w:rsidRPr="00804320">
        <w:rPr>
          <w:rFonts w:eastAsia="Times New Roman" w:cs="Arial"/>
          <w:b/>
          <w:color w:val="000000"/>
          <w:sz w:val="21"/>
          <w:szCs w:val="21"/>
        </w:rPr>
        <w:t>The judgment of the court was delivered by</w:t>
      </w:r>
    </w:p>
    <w:p w:rsidR="00A82790" w:rsidRDefault="00A82790" w:rsidP="00804320">
      <w:pPr>
        <w:spacing w:after="0" w:line="360" w:lineRule="auto"/>
        <w:jc w:val="both"/>
        <w:rPr>
          <w:rFonts w:eastAsia="Times New Roman" w:cs="Arial"/>
          <w:color w:val="000000"/>
          <w:sz w:val="21"/>
          <w:szCs w:val="21"/>
        </w:rPr>
      </w:pPr>
      <w:r w:rsidRPr="00804320">
        <w:rPr>
          <w:rFonts w:eastAsia="Times New Roman" w:cs="Arial"/>
          <w:color w:val="000000"/>
          <w:sz w:val="21"/>
          <w:szCs w:val="21"/>
        </w:rPr>
        <w:t>R. M. SAHAI J.-The question of law that arises for consideration in these appeals directed against the order of the Bombay High Court, in an income-tax reference relating to the assessment year 1960-61, is whether the assessee was entitled to claim partial exemption from payment of tax under section 15C of the Indian Income-tax Act, 1922, on profits and gains derived from an industrial undertaking established in a building taken on lease used previously for another business.</w:t>
      </w:r>
    </w:p>
    <w:p w:rsidR="00804320" w:rsidRPr="00804320" w:rsidRDefault="00804320" w:rsidP="00804320">
      <w:pPr>
        <w:spacing w:after="0" w:line="360" w:lineRule="auto"/>
        <w:jc w:val="both"/>
        <w:rPr>
          <w:rFonts w:eastAsia="Times New Roman" w:cs="Times New Roman"/>
          <w:color w:val="000000"/>
          <w:sz w:val="21"/>
          <w:szCs w:val="21"/>
        </w:rPr>
      </w:pP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 xml:space="preserve">Messrs. </w:t>
      </w:r>
      <w:proofErr w:type="spellStart"/>
      <w:r w:rsidRPr="00804320">
        <w:rPr>
          <w:rFonts w:eastAsia="Times New Roman" w:cs="Arial"/>
          <w:color w:val="000000"/>
          <w:sz w:val="21"/>
          <w:szCs w:val="21"/>
        </w:rPr>
        <w:t>Bachhraj</w:t>
      </w:r>
      <w:proofErr w:type="spellEnd"/>
      <w:r w:rsidRPr="00804320">
        <w:rPr>
          <w:rFonts w:eastAsia="Times New Roman" w:cs="Arial"/>
          <w:color w:val="000000"/>
          <w:sz w:val="21"/>
          <w:szCs w:val="21"/>
        </w:rPr>
        <w:t xml:space="preserve"> Trading Corporation (in brief "the Corporation"), incorporated on September 29, 1945, carried on a business of import-export in various items. In 1957, it was granted </w:t>
      </w:r>
      <w:proofErr w:type="spellStart"/>
      <w:r w:rsidRPr="00804320">
        <w:rPr>
          <w:rFonts w:eastAsia="Times New Roman" w:cs="Arial"/>
          <w:color w:val="000000"/>
          <w:sz w:val="21"/>
          <w:szCs w:val="21"/>
        </w:rPr>
        <w:t>licence</w:t>
      </w:r>
      <w:proofErr w:type="spellEnd"/>
      <w:r w:rsidRPr="00804320">
        <w:rPr>
          <w:rFonts w:eastAsia="Times New Roman" w:cs="Arial"/>
          <w:color w:val="000000"/>
          <w:sz w:val="21"/>
          <w:szCs w:val="21"/>
        </w:rPr>
        <w:t xml:space="preserve"> for manufacturing tempo 400cc three-wheeled transporters. It entered into an agreement with a foreign collaborator who agreed to grant the licensee the knowhow rights for the manufacture, in India, of tempo commercial three-wheeler vehicles, against payment of German marks. Accordingly, the assessee-company, Messrs. Bajaj Tempo Ltd., Bombay (in short "the company"), was formed for exploiting the manufacturing </w:t>
      </w:r>
      <w:proofErr w:type="spellStart"/>
      <w:r w:rsidRPr="00804320">
        <w:rPr>
          <w:rFonts w:eastAsia="Times New Roman" w:cs="Arial"/>
          <w:color w:val="000000"/>
          <w:sz w:val="21"/>
          <w:szCs w:val="21"/>
        </w:rPr>
        <w:t>licence</w:t>
      </w:r>
      <w:proofErr w:type="spellEnd"/>
      <w:r w:rsidRPr="00804320">
        <w:rPr>
          <w:rFonts w:eastAsia="Times New Roman" w:cs="Arial"/>
          <w:color w:val="000000"/>
          <w:sz w:val="21"/>
          <w:szCs w:val="21"/>
        </w:rPr>
        <w:t xml:space="preserve"> issued by the Government, 32% of the share capital of which was subscribed by the foreign collaborators and the remaining 68% share capital was issued to the shareholders of the Corporation. The assessee-company entered into an agreement with the Corporation which was the promoter company, to secure and take over from the promoter company the rights under the </w:t>
      </w:r>
      <w:proofErr w:type="spellStart"/>
      <w:r w:rsidRPr="00804320">
        <w:rPr>
          <w:rFonts w:eastAsia="Times New Roman" w:cs="Arial"/>
          <w:color w:val="000000"/>
          <w:sz w:val="21"/>
          <w:szCs w:val="21"/>
        </w:rPr>
        <w:t>licence</w:t>
      </w:r>
      <w:proofErr w:type="spellEnd"/>
      <w:r w:rsidRPr="00804320">
        <w:rPr>
          <w:rFonts w:eastAsia="Times New Roman" w:cs="Arial"/>
          <w:color w:val="000000"/>
          <w:sz w:val="21"/>
          <w:szCs w:val="21"/>
        </w:rPr>
        <w:t xml:space="preserve"> to manufacture tempo vehicles and to take over the factory registered under the name of Auto Rickshaw Engineering Factory as going concern with its assets, liabilities, machinery, power, quotas, etc. Clause 10 of the agreement provided that the transferee, that is, the company, shall be in possession of the premises of the factory and the buildings on payment of monthly rent as a lessee. Tools and implements, valued at Rs. 3,500 of the Corporation, were also transferred to the company. After take over, the </w:t>
      </w:r>
      <w:proofErr w:type="spellStart"/>
      <w:r w:rsidRPr="00804320">
        <w:rPr>
          <w:rFonts w:eastAsia="Times New Roman" w:cs="Arial"/>
          <w:color w:val="000000"/>
          <w:sz w:val="21"/>
          <w:szCs w:val="21"/>
        </w:rPr>
        <w:t>licence</w:t>
      </w:r>
      <w:proofErr w:type="spellEnd"/>
      <w:r w:rsidRPr="00804320">
        <w:rPr>
          <w:rFonts w:eastAsia="Times New Roman" w:cs="Arial"/>
          <w:color w:val="000000"/>
          <w:sz w:val="21"/>
          <w:szCs w:val="21"/>
        </w:rPr>
        <w:t xml:space="preserve"> was endorsed by the appropriate authority of the Government of India in favour of the company.</w:t>
      </w:r>
    </w:p>
    <w:p w:rsidR="00804320" w:rsidRDefault="00804320" w:rsidP="00804320">
      <w:pPr>
        <w:spacing w:after="0" w:line="360" w:lineRule="auto"/>
        <w:jc w:val="both"/>
        <w:rPr>
          <w:rFonts w:eastAsia="Times New Roman" w:cs="Arial"/>
          <w:color w:val="000000"/>
          <w:sz w:val="21"/>
          <w:szCs w:val="21"/>
        </w:rPr>
      </w:pP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 xml:space="preserve">In assessment proceedings, the assessee claimed benefit of partial exemption from payment of tax as the company was a new undertaking. The Income-tax Officer rejected the claim as, even though the undertaking was new, it was not entitled to the benefit as it was formed by splitting up of a business already in existence </w:t>
      </w:r>
      <w:r w:rsidRPr="00804320">
        <w:rPr>
          <w:rFonts w:eastAsia="Times New Roman" w:cs="Arial"/>
          <w:color w:val="000000"/>
          <w:sz w:val="21"/>
          <w:szCs w:val="21"/>
        </w:rPr>
        <w:lastRenderedPageBreak/>
        <w:t>and also it was formed by transfer, to the new business, of the building and machinery previously used in another business. But, while rejecting the claim, the Income-tax Officer observed that, on facts furnished, it was difficult to hold that it was case of reconstruction of the business already in existence. He did not find much merit even in transfer of tools and implements worth Rs. 3,500 In fact, the main ground for rejection of the claim was establishing of business in a building which was used previously for business. The Appellate Assistant Commissioner did not agree with the Income-tax Officer as, according to him, taking premises on lease could not be held to amount to transfer of the building as the building in which the undertaking was set up was not purchased but taken on lease only. The appellate authority held that, since it was admitted that the value of the building could not be included in the capital computation for the purposes of section 15C the value of which would be negligible as compared to the value of the assets installed, the assessee was entitled to claim the benefit. In further appeal, the Income-tax Appellate Tribunal agreed with the order of the appellate authority. It rejected the contention advanced on behalf of the Revenue that, since the premises in question were earlier used for the purpose of business, the assessee was disentitled from claiming the benefit as the "newly established undertaking must also refer to a building previously used by the assessee himself in any other business". It was further of opinion that "lease" could not be held to be "transfer". The Tribunal held that an industrial undertaking to be covered under the mischief of clause (</w:t>
      </w:r>
      <w:proofErr w:type="spellStart"/>
      <w:r w:rsidRPr="00804320">
        <w:rPr>
          <w:rFonts w:eastAsia="Times New Roman" w:cs="Arial"/>
          <w:color w:val="000000"/>
          <w:sz w:val="21"/>
          <w:szCs w:val="21"/>
        </w:rPr>
        <w:t>i</w:t>
      </w:r>
      <w:proofErr w:type="spellEnd"/>
      <w:r w:rsidRPr="00804320">
        <w:rPr>
          <w:rFonts w:eastAsia="Times New Roman" w:cs="Arial"/>
          <w:color w:val="000000"/>
          <w:sz w:val="21"/>
          <w:szCs w:val="21"/>
        </w:rPr>
        <w:t>) of sub-section (2) of section 15C should have been "formed" by transfer of building, plant or machinery which was substantial and prominent in the formation of the undertaking. In other words, the part played by such transfer should have been such that the industry, without it, could not have come into being. According to the Tribunal, it could not stand to reason that a big industrial undertaking should be denied the benefit of section 15C only because it took the business premises on lease or used implements and tools worth a small amount previously used for the purposes of business. On further reference made by the Department in the High Court, the question of law raised by the Department was answered in its favour and against the assessee without any discussion, only in view of the decision in Capsulation Services P. Ltd. v. CIT [1973] 91 ITR 566 (</w:t>
      </w:r>
      <w:proofErr w:type="spellStart"/>
      <w:r w:rsidRPr="00804320">
        <w:rPr>
          <w:rFonts w:eastAsia="Times New Roman" w:cs="Arial"/>
          <w:color w:val="000000"/>
          <w:sz w:val="21"/>
          <w:szCs w:val="21"/>
        </w:rPr>
        <w:t>Bom</w:t>
      </w:r>
      <w:proofErr w:type="spellEnd"/>
      <w:r w:rsidRPr="00804320">
        <w:rPr>
          <w:rFonts w:eastAsia="Times New Roman" w:cs="Arial"/>
          <w:color w:val="000000"/>
          <w:sz w:val="21"/>
          <w:szCs w:val="21"/>
        </w:rPr>
        <w:t xml:space="preserve">). The finding of the Tribunal, thus, that the assessee-company cannot be said to have been formed by the reconstruction of the promoter company as "the business of the new industrial undertaking established by the </w:t>
      </w:r>
      <w:proofErr w:type="spellStart"/>
      <w:r w:rsidRPr="00804320">
        <w:rPr>
          <w:rFonts w:eastAsia="Times New Roman" w:cs="Arial"/>
          <w:color w:val="000000"/>
          <w:sz w:val="21"/>
          <w:szCs w:val="21"/>
        </w:rPr>
        <w:t>assesseecompany</w:t>
      </w:r>
      <w:proofErr w:type="spellEnd"/>
      <w:r w:rsidRPr="00804320">
        <w:rPr>
          <w:rFonts w:eastAsia="Times New Roman" w:cs="Arial"/>
          <w:color w:val="000000"/>
          <w:sz w:val="21"/>
          <w:szCs w:val="21"/>
        </w:rPr>
        <w:t xml:space="preserve"> did not exist prior to its incorporation and was neither carried on by the promoter company nor by any other company" has become final. The dispute </w:t>
      </w:r>
      <w:proofErr w:type="spellStart"/>
      <w:r w:rsidRPr="00804320">
        <w:rPr>
          <w:rFonts w:eastAsia="Times New Roman" w:cs="Arial"/>
          <w:color w:val="000000"/>
          <w:sz w:val="21"/>
          <w:szCs w:val="21"/>
        </w:rPr>
        <w:t>centres</w:t>
      </w:r>
      <w:proofErr w:type="spellEnd"/>
      <w:r w:rsidRPr="00804320">
        <w:rPr>
          <w:rFonts w:eastAsia="Times New Roman" w:cs="Arial"/>
          <w:color w:val="000000"/>
          <w:sz w:val="21"/>
          <w:szCs w:val="21"/>
        </w:rPr>
        <w:t xml:space="preserve"> round whether the company was formed by transfer of building or material used in a previous business. It had two aspects: one, the taking of the building on lease and the other, the transfer of tools and implements valued at Rs. 3,500.</w:t>
      </w:r>
    </w:p>
    <w:p w:rsidR="00804320" w:rsidRDefault="00804320" w:rsidP="00804320">
      <w:pPr>
        <w:spacing w:after="0" w:line="360" w:lineRule="auto"/>
        <w:jc w:val="both"/>
        <w:rPr>
          <w:rFonts w:eastAsia="Times New Roman" w:cs="Arial"/>
          <w:color w:val="000000"/>
          <w:sz w:val="21"/>
          <w:szCs w:val="21"/>
        </w:rPr>
      </w:pP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Section 15C of the Indian Income-tax Act, 1922, is extracted below:</w:t>
      </w: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 xml:space="preserve">"15C. (1) Save as otherwise hereinafter provided, the tax shall not be payable by an assessee on so much of the profits or gains derived from any industrial undertaking to which this section applies as do not exceed six </w:t>
      </w:r>
      <w:r w:rsidRPr="00804320">
        <w:rPr>
          <w:rFonts w:eastAsia="Times New Roman" w:cs="Arial"/>
          <w:color w:val="000000"/>
          <w:sz w:val="21"/>
          <w:szCs w:val="21"/>
        </w:rPr>
        <w:lastRenderedPageBreak/>
        <w:t xml:space="preserve">per cent. </w:t>
      </w:r>
      <w:proofErr w:type="gramStart"/>
      <w:r w:rsidRPr="00804320">
        <w:rPr>
          <w:rFonts w:eastAsia="Times New Roman" w:cs="Arial"/>
          <w:color w:val="000000"/>
          <w:sz w:val="21"/>
          <w:szCs w:val="21"/>
        </w:rPr>
        <w:t>per</w:t>
      </w:r>
      <w:proofErr w:type="gramEnd"/>
      <w:r w:rsidRPr="00804320">
        <w:rPr>
          <w:rFonts w:eastAsia="Times New Roman" w:cs="Arial"/>
          <w:color w:val="000000"/>
          <w:sz w:val="21"/>
          <w:szCs w:val="21"/>
        </w:rPr>
        <w:t xml:space="preserve"> annum on the capital employed in the undertaking, computed in accordance with such rules as may be made in this behalf by the Central Board of Revenue.</w:t>
      </w: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(2) This section applies to any industrial undertaking which (</w:t>
      </w:r>
      <w:proofErr w:type="spellStart"/>
      <w:r w:rsidRPr="00804320">
        <w:rPr>
          <w:rFonts w:eastAsia="Times New Roman" w:cs="Arial"/>
          <w:color w:val="000000"/>
          <w:sz w:val="21"/>
          <w:szCs w:val="21"/>
        </w:rPr>
        <w:t>i</w:t>
      </w:r>
      <w:proofErr w:type="spellEnd"/>
      <w:r w:rsidRPr="00804320">
        <w:rPr>
          <w:rFonts w:eastAsia="Times New Roman" w:cs="Arial"/>
          <w:color w:val="000000"/>
          <w:sz w:val="21"/>
          <w:szCs w:val="21"/>
        </w:rPr>
        <w:t>) is not formed by the splitting up, or the reconstruction, of business already in existence or by the transfer to a new business of building, machinery or plant previously used in any other business..."</w:t>
      </w: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 xml:space="preserve">The limited question is whether the assessee which has been found by the Tribunal to be a new company could be denied the benefit as </w:t>
      </w:r>
      <w:proofErr w:type="spellStart"/>
      <w:r w:rsidRPr="00804320">
        <w:rPr>
          <w:rFonts w:eastAsia="Times New Roman" w:cs="Arial"/>
          <w:color w:val="000000"/>
          <w:sz w:val="21"/>
          <w:szCs w:val="21"/>
        </w:rPr>
        <w:t>visualised</w:t>
      </w:r>
      <w:proofErr w:type="spellEnd"/>
      <w:r w:rsidRPr="00804320">
        <w:rPr>
          <w:rFonts w:eastAsia="Times New Roman" w:cs="Arial"/>
          <w:color w:val="000000"/>
          <w:sz w:val="21"/>
          <w:szCs w:val="21"/>
        </w:rPr>
        <w:t xml:space="preserve"> in section 15C(1) because of the operation of clause (</w:t>
      </w:r>
      <w:proofErr w:type="spellStart"/>
      <w:r w:rsidRPr="00804320">
        <w:rPr>
          <w:rFonts w:eastAsia="Times New Roman" w:cs="Arial"/>
          <w:color w:val="000000"/>
          <w:sz w:val="21"/>
          <w:szCs w:val="21"/>
        </w:rPr>
        <w:t>i</w:t>
      </w:r>
      <w:proofErr w:type="spellEnd"/>
      <w:r w:rsidRPr="00804320">
        <w:rPr>
          <w:rFonts w:eastAsia="Times New Roman" w:cs="Arial"/>
          <w:color w:val="000000"/>
          <w:sz w:val="21"/>
          <w:szCs w:val="21"/>
        </w:rPr>
        <w:t>) of subsection (2). It is a restrictive clause. It denies the benefit which is otherwise available in sub-section (1). A provision in a taxing statute granting incentives for promoting growth and development should be construed liberally : In Broach District Co-operative Cotton Sales, Ginning and Pressing Society Ltd. v. CIT [1989] 177 ITR 148 (SC), the assessee, a co-operative society, claimed that the receipts from ginning and pressing activities was exempt under section 81 of the Income-tax Act. The question for interpretation was whether the co-operative society which carried on the business of ginning and pressing was a society engaged in "marketing" of the agricultural produce of its members. The court held that the object of section 81(1) was to encourage and promote the growth of co-operative societies and, consequently, a liberal construction must be given to the operation of that provision. And since ginning and pressing was incidental or ancillary to the activities mentioned in section 81(1), the assessee was entitled to exemption and the proviso did not stand in his way. In CIT v. Strawboard Manufacturing Co. Ltd. [1989] 177 ITR 431 (SC), it was held that the law providing for concession for tax purposes to encourage industrial activity should be liberally construed. The question before the court was whether strawboard could be said to fall within the expression "paper and pulp" mentioned in the Schedule relevant to the respective assessment years. The court held that since the words "paper and pulp" were mentioned in the Schedule, the intention was to refer to the paper and pulp industry and since the strawboard industry could be described as forming part of the paper and pulp industry, it was entitled to the benefit.</w:t>
      </w: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 xml:space="preserve">The section, read as a whole, was a provision directed towards encouraging </w:t>
      </w:r>
      <w:proofErr w:type="spellStart"/>
      <w:r w:rsidRPr="00804320">
        <w:rPr>
          <w:rFonts w:eastAsia="Times New Roman" w:cs="Arial"/>
          <w:color w:val="000000"/>
          <w:sz w:val="21"/>
          <w:szCs w:val="21"/>
        </w:rPr>
        <w:t>industrialisation</w:t>
      </w:r>
      <w:proofErr w:type="spellEnd"/>
      <w:r w:rsidRPr="00804320">
        <w:rPr>
          <w:rFonts w:eastAsia="Times New Roman" w:cs="Arial"/>
          <w:color w:val="000000"/>
          <w:sz w:val="21"/>
          <w:szCs w:val="21"/>
        </w:rPr>
        <w:t xml:space="preserve"> by permitting an assessee setting up a new undertaking to claim the benefit of not paying tax to the extent of six per cent. </w:t>
      </w:r>
      <w:proofErr w:type="gramStart"/>
      <w:r w:rsidRPr="00804320">
        <w:rPr>
          <w:rFonts w:eastAsia="Times New Roman" w:cs="Arial"/>
          <w:color w:val="000000"/>
          <w:sz w:val="21"/>
          <w:szCs w:val="21"/>
        </w:rPr>
        <w:t>in</w:t>
      </w:r>
      <w:proofErr w:type="gramEnd"/>
      <w:r w:rsidRPr="00804320">
        <w:rPr>
          <w:rFonts w:eastAsia="Times New Roman" w:cs="Arial"/>
          <w:color w:val="000000"/>
          <w:sz w:val="21"/>
          <w:szCs w:val="21"/>
        </w:rPr>
        <w:t xml:space="preserve"> a year on the capital employed. But the Legislature took care to restrict such benefit only to those undertakings which were new in form and substance by providing that the undertaking should not be "formed" in any manner provided in clause (</w:t>
      </w:r>
      <w:proofErr w:type="spellStart"/>
      <w:r w:rsidRPr="00804320">
        <w:rPr>
          <w:rFonts w:eastAsia="Times New Roman" w:cs="Arial"/>
          <w:color w:val="000000"/>
          <w:sz w:val="21"/>
          <w:szCs w:val="21"/>
        </w:rPr>
        <w:t>i</w:t>
      </w:r>
      <w:proofErr w:type="spellEnd"/>
      <w:r w:rsidRPr="00804320">
        <w:rPr>
          <w:rFonts w:eastAsia="Times New Roman" w:cs="Arial"/>
          <w:color w:val="000000"/>
          <w:sz w:val="21"/>
          <w:szCs w:val="21"/>
        </w:rPr>
        <w:t xml:space="preserve">) of sub-section (2) of section 15C. Each of these requirements, namely, formation of the undertaking by splitting up or reconstruction of an existing business or transfer to the undertaking of building, raw material or plant used in any previous business results in denial of the benefit contemplated under sub-section (1). Since a provision intended for promoting economic growth has to be interpreted liberally, the restriction on it, too, has to be construed so as to advance the objective of the section and not to frustrate it. But that turned out to be the unintended consequence of construing the </w:t>
      </w:r>
      <w:r w:rsidRPr="00804320">
        <w:rPr>
          <w:rFonts w:eastAsia="Times New Roman" w:cs="Arial"/>
          <w:color w:val="000000"/>
          <w:sz w:val="21"/>
          <w:szCs w:val="21"/>
        </w:rPr>
        <w:lastRenderedPageBreak/>
        <w:t xml:space="preserve">clause literally, as was done by the High Court, for which it cannot be blamed, as the provision is susceptible of such construction if the purpose behind its enactment, the objective it sought to achieve and the mischief it intended to control are lost sight of. One way of reading it is that the clause excludes any undertaking formed by transfer to it of any building, plant or machinery used previously in any other business. No objection could have been taken to such reading but when the result of reading in such plain and simple manner is </w:t>
      </w:r>
      <w:proofErr w:type="spellStart"/>
      <w:r w:rsidRPr="00804320">
        <w:rPr>
          <w:rFonts w:eastAsia="Times New Roman" w:cs="Arial"/>
          <w:color w:val="000000"/>
          <w:sz w:val="21"/>
          <w:szCs w:val="21"/>
        </w:rPr>
        <w:t>analysed</w:t>
      </w:r>
      <w:proofErr w:type="spellEnd"/>
      <w:r w:rsidRPr="00804320">
        <w:rPr>
          <w:rFonts w:eastAsia="Times New Roman" w:cs="Arial"/>
          <w:color w:val="000000"/>
          <w:sz w:val="21"/>
          <w:szCs w:val="21"/>
        </w:rPr>
        <w:t xml:space="preserve">, then it appears that a literal construction would not be proper. </w:t>
      </w:r>
      <w:proofErr w:type="gramStart"/>
      <w:r w:rsidRPr="00804320">
        <w:rPr>
          <w:rFonts w:eastAsia="Times New Roman" w:cs="Arial"/>
          <w:color w:val="000000"/>
          <w:sz w:val="21"/>
          <w:szCs w:val="21"/>
        </w:rPr>
        <w:t>Taking the facts of this case as an illustration, the inherent fallacy surfaces.</w:t>
      </w:r>
      <w:proofErr w:type="gramEnd"/>
      <w:r w:rsidRPr="00804320">
        <w:rPr>
          <w:rFonts w:eastAsia="Times New Roman" w:cs="Arial"/>
          <w:color w:val="000000"/>
          <w:sz w:val="21"/>
          <w:szCs w:val="21"/>
        </w:rPr>
        <w:t xml:space="preserve"> The Income-tax Officer found that tools and implements worth Rs. 3,500 used in an earlier business were transferred to it. They comprised machines which were of very minor nature. But for one </w:t>
      </w:r>
      <w:proofErr w:type="spellStart"/>
      <w:r w:rsidRPr="00804320">
        <w:rPr>
          <w:rFonts w:eastAsia="Times New Roman" w:cs="Arial"/>
          <w:color w:val="000000"/>
          <w:sz w:val="21"/>
          <w:szCs w:val="21"/>
        </w:rPr>
        <w:t>spotwelding</w:t>
      </w:r>
      <w:proofErr w:type="spellEnd"/>
      <w:r w:rsidRPr="00804320">
        <w:rPr>
          <w:rFonts w:eastAsia="Times New Roman" w:cs="Arial"/>
          <w:color w:val="000000"/>
          <w:sz w:val="21"/>
          <w:szCs w:val="21"/>
        </w:rPr>
        <w:t xml:space="preserve"> machine the cost of which was Rs. 1,500, the other 13 items were of value of Rs. 100, Rs. 200, Rs. 300 or at most Rs. 400. On a plain reading, the effect of such transfer was the operation of the clause and denial of benefit to the assessee. But that would be denial of the very purpose for which the provision was enacted. The Legislature, by clause (</w:t>
      </w:r>
      <w:proofErr w:type="spellStart"/>
      <w:r w:rsidRPr="00804320">
        <w:rPr>
          <w:rFonts w:eastAsia="Times New Roman" w:cs="Arial"/>
          <w:color w:val="000000"/>
          <w:sz w:val="21"/>
          <w:szCs w:val="21"/>
        </w:rPr>
        <w:t>i</w:t>
      </w:r>
      <w:proofErr w:type="spellEnd"/>
      <w:r w:rsidRPr="00804320">
        <w:rPr>
          <w:rFonts w:eastAsia="Times New Roman" w:cs="Arial"/>
          <w:color w:val="000000"/>
          <w:sz w:val="21"/>
          <w:szCs w:val="21"/>
        </w:rPr>
        <w:t xml:space="preserve">) of sub-section (2) of section 15C, intended to control any attempt or effort to abuse the benefit intended for new undertakings by change of label. The intention was not to deny benefit to genuine new industrial undertakings but to control the mischief which might have otherwise taken place. The result was, however, just the contrary. Any use of building or plant or machinery, howsoever nominal, either because of compulsion or inadvertence or sheer necessity fell within the mischief and the departmental authorities, bound as they were by the provisions of the section, refused to grant exemption. High Courts also differed in their approach. Various decisions which were placed before us leave no room. Some related to transfer of machinery to the new business and others to the building. In respect of machinery, the High </w:t>
      </w:r>
      <w:proofErr w:type="spellStart"/>
      <w:r w:rsidRPr="00804320">
        <w:rPr>
          <w:rFonts w:eastAsia="Times New Roman" w:cs="Arial"/>
          <w:color w:val="000000"/>
          <w:sz w:val="21"/>
          <w:szCs w:val="21"/>
        </w:rPr>
        <w:t>Courts</w:t>
      </w:r>
      <w:proofErr w:type="spellEnd"/>
      <w:r w:rsidRPr="00804320">
        <w:rPr>
          <w:rFonts w:eastAsia="Times New Roman" w:cs="Arial"/>
          <w:color w:val="000000"/>
          <w:sz w:val="21"/>
          <w:szCs w:val="21"/>
        </w:rPr>
        <w:t xml:space="preserve"> appear to be nearly unanimous that, where the value of transferred machinery was low or </w:t>
      </w:r>
      <w:proofErr w:type="spellStart"/>
      <w:r w:rsidRPr="00804320">
        <w:rPr>
          <w:rFonts w:eastAsia="Times New Roman" w:cs="Arial"/>
          <w:color w:val="000000"/>
          <w:sz w:val="21"/>
          <w:szCs w:val="21"/>
        </w:rPr>
        <w:t>meagre</w:t>
      </w:r>
      <w:proofErr w:type="spellEnd"/>
      <w:r w:rsidRPr="00804320">
        <w:rPr>
          <w:rFonts w:eastAsia="Times New Roman" w:cs="Arial"/>
          <w:color w:val="000000"/>
          <w:sz w:val="21"/>
          <w:szCs w:val="21"/>
        </w:rPr>
        <w:t xml:space="preserve">, the assessee should not be denied the benefit. For instance, the Calcutta High Court, in CIT v. </w:t>
      </w:r>
      <w:proofErr w:type="spellStart"/>
      <w:r w:rsidRPr="00804320">
        <w:rPr>
          <w:rFonts w:eastAsia="Times New Roman" w:cs="Arial"/>
          <w:color w:val="000000"/>
          <w:sz w:val="21"/>
          <w:szCs w:val="21"/>
        </w:rPr>
        <w:t>Sainthia</w:t>
      </w:r>
      <w:proofErr w:type="spellEnd"/>
      <w:r w:rsidRPr="00804320">
        <w:rPr>
          <w:rFonts w:eastAsia="Times New Roman" w:cs="Arial"/>
          <w:color w:val="000000"/>
          <w:sz w:val="21"/>
          <w:szCs w:val="21"/>
        </w:rPr>
        <w:t xml:space="preserve"> Rice and Oil Mills [1971] 182 ITR 778, did not find any reason to deny the benefit to the assessee where the undertaking was formed by acquisition of part of the machinery the second hand from the open market. But the decision which became a leading decision on transfer of machinery was rendered by the Delhi High Court in CIT v. </w:t>
      </w:r>
      <w:proofErr w:type="spellStart"/>
      <w:r w:rsidRPr="00804320">
        <w:rPr>
          <w:rFonts w:eastAsia="Times New Roman" w:cs="Arial"/>
          <w:color w:val="000000"/>
          <w:sz w:val="21"/>
          <w:szCs w:val="21"/>
        </w:rPr>
        <w:t>Ganga</w:t>
      </w:r>
      <w:proofErr w:type="spellEnd"/>
      <w:r w:rsidRPr="00804320">
        <w:rPr>
          <w:rFonts w:eastAsia="Times New Roman" w:cs="Arial"/>
          <w:color w:val="000000"/>
          <w:sz w:val="21"/>
          <w:szCs w:val="21"/>
        </w:rPr>
        <w:t xml:space="preserve"> Sugar Corporation Ltd. [1973] 92 ITR 173. It has been followed in nearly all the decisions given subsequently as it was approved by this court. It was held that use of scrap and material of the old unit of the value of a small fraction of the expenditure involved in the setting up of the new unit did not attract the concluding words of clause (</w:t>
      </w:r>
      <w:proofErr w:type="spellStart"/>
      <w:r w:rsidRPr="00804320">
        <w:rPr>
          <w:rFonts w:eastAsia="Times New Roman" w:cs="Arial"/>
          <w:color w:val="000000"/>
          <w:sz w:val="21"/>
          <w:szCs w:val="21"/>
        </w:rPr>
        <w:t>i</w:t>
      </w:r>
      <w:proofErr w:type="spellEnd"/>
      <w:r w:rsidRPr="00804320">
        <w:rPr>
          <w:rFonts w:eastAsia="Times New Roman" w:cs="Arial"/>
          <w:color w:val="000000"/>
          <w:sz w:val="21"/>
          <w:szCs w:val="21"/>
        </w:rPr>
        <w:t>) of section 15(2). The Calcutta High Court, in CIT v. Electric Construction and Equipment Co. Ltd. [1976] 104 ITR 101, was of the view that where machinery previously used was "very small compared to the value of the machinery installed"</w:t>
      </w:r>
      <w:proofErr w:type="gramStart"/>
      <w:r w:rsidRPr="00804320">
        <w:rPr>
          <w:rFonts w:eastAsia="Times New Roman" w:cs="Arial"/>
          <w:color w:val="000000"/>
          <w:sz w:val="21"/>
          <w:szCs w:val="21"/>
        </w:rPr>
        <w:t>,</w:t>
      </w:r>
      <w:proofErr w:type="gramEnd"/>
      <w:r w:rsidRPr="00804320">
        <w:rPr>
          <w:rFonts w:eastAsia="Times New Roman" w:cs="Arial"/>
          <w:color w:val="000000"/>
          <w:sz w:val="21"/>
          <w:szCs w:val="21"/>
        </w:rPr>
        <w:t xml:space="preserve"> the assessee was well within sub-section (1) of section 15C. The same view was taken by the Bombay High Court in CIT v. Asbestos, Magnesia and Friction Materials Ltd. [1977] 106 ITR 286 and it was observed that the important aspect to be considered must be the "monetary value of the old assets transferred to and </w:t>
      </w:r>
      <w:proofErr w:type="spellStart"/>
      <w:r w:rsidRPr="00804320">
        <w:rPr>
          <w:rFonts w:eastAsia="Times New Roman" w:cs="Arial"/>
          <w:color w:val="000000"/>
          <w:sz w:val="21"/>
          <w:szCs w:val="21"/>
        </w:rPr>
        <w:t>utilised</w:t>
      </w:r>
      <w:proofErr w:type="spellEnd"/>
      <w:r w:rsidRPr="00804320">
        <w:rPr>
          <w:rFonts w:eastAsia="Times New Roman" w:cs="Arial"/>
          <w:color w:val="000000"/>
          <w:sz w:val="21"/>
          <w:szCs w:val="21"/>
        </w:rPr>
        <w:t xml:space="preserve"> in the new undertaking". In CIT v. </w:t>
      </w:r>
      <w:proofErr w:type="spellStart"/>
      <w:r w:rsidRPr="00804320">
        <w:rPr>
          <w:rFonts w:eastAsia="Times New Roman" w:cs="Arial"/>
          <w:color w:val="000000"/>
          <w:sz w:val="21"/>
          <w:szCs w:val="21"/>
        </w:rPr>
        <w:t>Kopran</w:t>
      </w:r>
      <w:proofErr w:type="spellEnd"/>
      <w:r w:rsidRPr="00804320">
        <w:rPr>
          <w:rFonts w:eastAsia="Times New Roman" w:cs="Arial"/>
          <w:color w:val="000000"/>
          <w:sz w:val="21"/>
          <w:szCs w:val="21"/>
        </w:rPr>
        <w:t xml:space="preserve"> Chemical Co. Ltd. [1978] 112 ITR 893 (</w:t>
      </w:r>
      <w:proofErr w:type="spellStart"/>
      <w:r w:rsidRPr="00804320">
        <w:rPr>
          <w:rFonts w:eastAsia="Times New Roman" w:cs="Arial"/>
          <w:color w:val="000000"/>
          <w:sz w:val="21"/>
          <w:szCs w:val="21"/>
        </w:rPr>
        <w:t>Bom</w:t>
      </w:r>
      <w:proofErr w:type="spellEnd"/>
      <w:r w:rsidRPr="00804320">
        <w:rPr>
          <w:rFonts w:eastAsia="Times New Roman" w:cs="Arial"/>
          <w:color w:val="000000"/>
          <w:sz w:val="21"/>
          <w:szCs w:val="21"/>
        </w:rPr>
        <w:t xml:space="preserve">), the court answered the question </w:t>
      </w:r>
      <w:r w:rsidRPr="00804320">
        <w:rPr>
          <w:rFonts w:eastAsia="Times New Roman" w:cs="Arial"/>
          <w:color w:val="000000"/>
          <w:sz w:val="21"/>
          <w:szCs w:val="21"/>
        </w:rPr>
        <w:lastRenderedPageBreak/>
        <w:t xml:space="preserve">in favour of the assessee as the machinery transferred to the new business was of "insignificant value". In another decision, the Bombay High Court, in CIT v. Sawyer's Asia Ltd. [1980] 122 ITR 259, while construing an analogous provision, section 84(2) of the 1961 Act, opined that where machinery taken on hire formed an "insignificant part of the total value", the assessee could not be denied the benefit. In the case of L. G. </w:t>
      </w:r>
      <w:proofErr w:type="spellStart"/>
      <w:r w:rsidRPr="00804320">
        <w:rPr>
          <w:rFonts w:eastAsia="Times New Roman" w:cs="Arial"/>
          <w:color w:val="000000"/>
          <w:sz w:val="21"/>
          <w:szCs w:val="21"/>
        </w:rPr>
        <w:t>Balakrishnan</w:t>
      </w:r>
      <w:proofErr w:type="spellEnd"/>
      <w:r w:rsidRPr="00804320">
        <w:rPr>
          <w:rFonts w:eastAsia="Times New Roman" w:cs="Arial"/>
          <w:color w:val="000000"/>
          <w:sz w:val="21"/>
          <w:szCs w:val="21"/>
        </w:rPr>
        <w:t xml:space="preserve"> and Bros. Ltd. v. CIT [1985] 151 ITR 170, the Madras High Court decided against the assessee not on the proportion or value of the machinery transferred but because lease of machinery amounted to transfer.</w:t>
      </w: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On transfer of building, the decision of the Bombay High Court on which reliance was placed by the High Court for deciding the case against the assessee shall be adverted to later. But this was relied on by the same High Court in CIT v. Fordham Pressing (India) P. Ltd. [1980] 121 ITR 462 (</w:t>
      </w:r>
      <w:proofErr w:type="spellStart"/>
      <w:r w:rsidRPr="00804320">
        <w:rPr>
          <w:rFonts w:eastAsia="Times New Roman" w:cs="Arial"/>
          <w:color w:val="000000"/>
          <w:sz w:val="21"/>
          <w:szCs w:val="21"/>
        </w:rPr>
        <w:t>Bom</w:t>
      </w:r>
      <w:proofErr w:type="spellEnd"/>
      <w:r w:rsidRPr="00804320">
        <w:rPr>
          <w:rFonts w:eastAsia="Times New Roman" w:cs="Arial"/>
          <w:color w:val="000000"/>
          <w:sz w:val="21"/>
          <w:szCs w:val="21"/>
        </w:rPr>
        <w:t xml:space="preserve">) in a case where the assessee took land with a superstructure on lease, removed the tin roofing, extended the height of the wall and covered the ceiling with a new roof. It was held that since the new structure used by the assessee was not a totally new structure, the undertaking was formed by transfer of the building used previously for business. In CIT v. </w:t>
      </w:r>
      <w:proofErr w:type="spellStart"/>
      <w:r w:rsidRPr="00804320">
        <w:rPr>
          <w:rFonts w:eastAsia="Times New Roman" w:cs="Arial"/>
          <w:color w:val="000000"/>
          <w:sz w:val="21"/>
          <w:szCs w:val="21"/>
        </w:rPr>
        <w:t>Suessin</w:t>
      </w:r>
      <w:proofErr w:type="spellEnd"/>
      <w:r w:rsidRPr="00804320">
        <w:rPr>
          <w:rFonts w:eastAsia="Times New Roman" w:cs="Arial"/>
          <w:color w:val="000000"/>
          <w:sz w:val="21"/>
          <w:szCs w:val="21"/>
        </w:rPr>
        <w:t xml:space="preserve"> Textile Bearing Ltd. [1982] 135 ITR 443, the Gujarat High Court, while deciding the claim of the assessee under the 1961 Act, struck dissenting note and observed (at p. 452) "practical common sense and commercial expediency would necessitate the conclusion that, in so far as a new undertaking is being carried on in a building which was previously being used by someone else or which was rented by someone else other than the assessee and the new undertaking being started for the first time by the assessee in the newly rented premises, then, the third negative condition cannot be said to be violated."</w:t>
      </w: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 xml:space="preserve">Thus so far as transfer of machinery is concerned, High Courts have consistently taken the view that if the value of transferred machinery was nominal, it could not result in denial of benefit to the assessee. This conclusion was reached by construing the provision either on principles of commercial expediency or practical common sense or to avoid unjust hardship to the assessee. This was legislatively </w:t>
      </w:r>
      <w:proofErr w:type="spellStart"/>
      <w:r w:rsidRPr="00804320">
        <w:rPr>
          <w:rFonts w:eastAsia="Times New Roman" w:cs="Arial"/>
          <w:color w:val="000000"/>
          <w:sz w:val="21"/>
          <w:szCs w:val="21"/>
        </w:rPr>
        <w:t>recognised</w:t>
      </w:r>
      <w:proofErr w:type="spellEnd"/>
      <w:r w:rsidRPr="00804320">
        <w:rPr>
          <w:rFonts w:eastAsia="Times New Roman" w:cs="Arial"/>
          <w:color w:val="000000"/>
          <w:sz w:val="21"/>
          <w:szCs w:val="21"/>
        </w:rPr>
        <w:t xml:space="preserve"> by Explanation 2, to sub-</w:t>
      </w:r>
      <w:proofErr w:type="gramStart"/>
      <w:r w:rsidRPr="00804320">
        <w:rPr>
          <w:rFonts w:eastAsia="Times New Roman" w:cs="Arial"/>
          <w:color w:val="000000"/>
          <w:sz w:val="21"/>
          <w:szCs w:val="21"/>
        </w:rPr>
        <w:t>section(</w:t>
      </w:r>
      <w:proofErr w:type="gramEnd"/>
      <w:r w:rsidRPr="00804320">
        <w:rPr>
          <w:rFonts w:eastAsia="Times New Roman" w:cs="Arial"/>
          <w:color w:val="000000"/>
          <w:sz w:val="21"/>
          <w:szCs w:val="21"/>
        </w:rPr>
        <w:t>4) of section 80J of the 1961 Act. Similarly, the ineligibility due to transfer of building was toned down in the first instance by amending the provision in 1967 and providing that any building used previously for business purposes taken on lease by the new company would not be covered by the mischief in clause (ii) of sub-section (4) of section 80J of the 1961 Act. Later, in 1976, it was deleted, altogether; thus, the restriction of the new undertaking not being formed by transfer to a new business of building used previously for any other business did not disentitle an assessee from claiming the benefit of partial exemption.</w:t>
      </w: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 xml:space="preserve">Sri Ramamurthy, learned counsel for the Department, urged that even though from the analogous provision in section 80J(4)(ii) in the Act of 1961, the restriction of transfer of new business to the building used previously for business has been omitted, that would not reflect </w:t>
      </w:r>
      <w:proofErr w:type="spellStart"/>
      <w:r w:rsidRPr="00804320">
        <w:rPr>
          <w:rFonts w:eastAsia="Times New Roman" w:cs="Arial"/>
          <w:color w:val="000000"/>
          <w:sz w:val="21"/>
          <w:szCs w:val="21"/>
        </w:rPr>
        <w:t>favourably</w:t>
      </w:r>
      <w:proofErr w:type="spellEnd"/>
      <w:r w:rsidRPr="00804320">
        <w:rPr>
          <w:rFonts w:eastAsia="Times New Roman" w:cs="Arial"/>
          <w:color w:val="000000"/>
          <w:sz w:val="21"/>
          <w:szCs w:val="21"/>
        </w:rPr>
        <w:t xml:space="preserve"> for the assessee in 1960-61. Rather, it would show that the Legislature which is the best judge of the needs of the people manifests its </w:t>
      </w:r>
      <w:r w:rsidRPr="00804320">
        <w:rPr>
          <w:rFonts w:eastAsia="Times New Roman" w:cs="Arial"/>
          <w:color w:val="000000"/>
          <w:sz w:val="21"/>
          <w:szCs w:val="21"/>
        </w:rPr>
        <w:lastRenderedPageBreak/>
        <w:t xml:space="preserve">intention from time to time through amendment, substitution and omission considering the social and economic conditions in view. Since, during the operation of the 1922 Act, it intended that an undertaking established in a building used earlier for business could not claim the benefit, the court should restrain its hands and may not interpret the provision by the 1967 amendment in the 1961 Act, when the restriction was lifted from leased or rented building or 1976 or when the transfer of business to building used previously for business no more remained one of the conditions for disentitling the assessee from claiming the benefit. Subsequent amendments in the 1961 Act may or may not be taken as </w:t>
      </w:r>
      <w:proofErr w:type="spellStart"/>
      <w:r w:rsidRPr="00804320">
        <w:rPr>
          <w:rFonts w:eastAsia="Times New Roman" w:cs="Arial"/>
          <w:color w:val="000000"/>
          <w:sz w:val="21"/>
          <w:szCs w:val="21"/>
        </w:rPr>
        <w:t>clarificatory</w:t>
      </w:r>
      <w:proofErr w:type="spellEnd"/>
      <w:r w:rsidRPr="00804320">
        <w:rPr>
          <w:rFonts w:eastAsia="Times New Roman" w:cs="Arial"/>
          <w:color w:val="000000"/>
          <w:sz w:val="21"/>
          <w:szCs w:val="21"/>
        </w:rPr>
        <w:t xml:space="preserve"> but, if a provision for checking abuse is found to have resulted in nullifying the very purpose of its enactment and the Legislature intervenes, then it can be assumed that the Legislature, having been satisfied of failure of the purpose for which the provisions were inserted, proceeded to cure the defect by suitably amending the provision or removing it. But, for purposes of construing the proviso in section 15C, it is not necessary to go that far as there can be no doubt that a literal construction of clause (</w:t>
      </w:r>
      <w:proofErr w:type="spellStart"/>
      <w:r w:rsidRPr="00804320">
        <w:rPr>
          <w:rFonts w:eastAsia="Times New Roman" w:cs="Arial"/>
          <w:color w:val="000000"/>
          <w:sz w:val="21"/>
          <w:szCs w:val="21"/>
        </w:rPr>
        <w:t>i</w:t>
      </w:r>
      <w:proofErr w:type="spellEnd"/>
      <w:r w:rsidRPr="00804320">
        <w:rPr>
          <w:rFonts w:eastAsia="Times New Roman" w:cs="Arial"/>
          <w:color w:val="000000"/>
          <w:sz w:val="21"/>
          <w:szCs w:val="21"/>
        </w:rPr>
        <w:t xml:space="preserve">) of sub-section (2) was amenable to denial of benefit to the assessee even in genuine cases. For instance, an undertaking otherwise entitled to the benefit would fall within the mischief of the sub-clause if it was established in a building which was used for business purposes at any time in the remote past. Or it might have been established in a part of building, earlier used for business purposes due to paucity of accommodation. Denying benefit to such undertaking could not have been intended when the very purpose of section 15C was to encourage </w:t>
      </w:r>
      <w:proofErr w:type="spellStart"/>
      <w:r w:rsidRPr="00804320">
        <w:rPr>
          <w:rFonts w:eastAsia="Times New Roman" w:cs="Arial"/>
          <w:color w:val="000000"/>
          <w:sz w:val="21"/>
          <w:szCs w:val="21"/>
        </w:rPr>
        <w:t>industrialisation</w:t>
      </w:r>
      <w:proofErr w:type="spellEnd"/>
      <w:r w:rsidRPr="00804320">
        <w:rPr>
          <w:rFonts w:eastAsia="Times New Roman" w:cs="Arial"/>
          <w:color w:val="000000"/>
          <w:sz w:val="21"/>
          <w:szCs w:val="21"/>
        </w:rPr>
        <w:t>. It was for this reason that various High Courts evolved the test of commercial expediency or substantial involvement valued in terms of money, etc., to interpret this clause. Adopting a literal construction in such cases would have resulted in defeating the very purpose of section 15C. Therefore, it becomes necessary to resort to a construction which is reasonable and purposive to make the provision meaningful.</w:t>
      </w: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The initial exercise, therefore, should be to find out if the undertaking was a new one. Once this test is satisfied, then clause (</w:t>
      </w:r>
      <w:proofErr w:type="spellStart"/>
      <w:r w:rsidRPr="00804320">
        <w:rPr>
          <w:rFonts w:eastAsia="Times New Roman" w:cs="Arial"/>
          <w:color w:val="000000"/>
          <w:sz w:val="21"/>
          <w:szCs w:val="21"/>
        </w:rPr>
        <w:t>i</w:t>
      </w:r>
      <w:proofErr w:type="spellEnd"/>
      <w:r w:rsidRPr="00804320">
        <w:rPr>
          <w:rFonts w:eastAsia="Times New Roman" w:cs="Arial"/>
          <w:color w:val="000000"/>
          <w:sz w:val="21"/>
          <w:szCs w:val="21"/>
        </w:rPr>
        <w:t xml:space="preserve">) should be applied reasonably and liberally in keeping with the spirit of section </w:t>
      </w:r>
      <w:proofErr w:type="gramStart"/>
      <w:r w:rsidRPr="00804320">
        <w:rPr>
          <w:rFonts w:eastAsia="Times New Roman" w:cs="Arial"/>
          <w:color w:val="000000"/>
          <w:sz w:val="21"/>
          <w:szCs w:val="21"/>
        </w:rPr>
        <w:t>15C(</w:t>
      </w:r>
      <w:proofErr w:type="gramEnd"/>
      <w:r w:rsidRPr="00804320">
        <w:rPr>
          <w:rFonts w:eastAsia="Times New Roman" w:cs="Arial"/>
          <w:color w:val="000000"/>
          <w:sz w:val="21"/>
          <w:szCs w:val="21"/>
        </w:rPr>
        <w:t xml:space="preserve">1) of the Act. While doing so, various situations may arise, for instance, the formation may be without anything to do with any earlier business. That is, the undertaking may be formed without splitting up or reconstructing any existing business or without transfer of any building, material or plant of any previous business. Such an undertaking undoubtedly would be eligible to the benefit without any difficulty. On the other extreme may be an undertaking, new in its form but not in substance. It may be new in name only. Such an undertaking would obviously not be entitled to the benefit. In between the two, there may be various other situations. Difficulty arises only in such cases. For instance, a new company may be formed, as in this case a fact which could not be disputed, even by the Income-tax Officer. But tools and implements worth Rs. 3,500 were transferred to it from the previous firm. Technically speaking, it was transfer of material used in a previous business. One could say, as was vehemently urged by learned counsel for the Department, that where the language of the statute was clear, there was no scope for interpretation. If the submission of learned counsel </w:t>
      </w:r>
      <w:r w:rsidRPr="00804320">
        <w:rPr>
          <w:rFonts w:eastAsia="Times New Roman" w:cs="Arial"/>
          <w:color w:val="000000"/>
          <w:sz w:val="21"/>
          <w:szCs w:val="21"/>
        </w:rPr>
        <w:lastRenderedPageBreak/>
        <w:t xml:space="preserve">is accepted, then once it is found that the material used in the undertaking was of a previous business, there was an end of the inquiry and the assessee was precluded from claiming any benefit. The words of a statute are undoubtedly the best guide. But, if their meaning gets clouded, then the </w:t>
      </w:r>
      <w:proofErr w:type="gramStart"/>
      <w:r w:rsidRPr="00804320">
        <w:rPr>
          <w:rFonts w:eastAsia="Times New Roman" w:cs="Arial"/>
          <w:color w:val="000000"/>
          <w:sz w:val="21"/>
          <w:szCs w:val="21"/>
        </w:rPr>
        <w:t>courts,</w:t>
      </w:r>
      <w:proofErr w:type="gramEnd"/>
      <w:r w:rsidRPr="00804320">
        <w:rPr>
          <w:rFonts w:eastAsia="Times New Roman" w:cs="Arial"/>
          <w:color w:val="000000"/>
          <w:sz w:val="21"/>
          <w:szCs w:val="21"/>
        </w:rPr>
        <w:t xml:space="preserve"> are required to clear the haze. Sub-section (2) advances the objective of sub-section (1) by including in it every undertaking except if it is covered by clause (</w:t>
      </w:r>
      <w:proofErr w:type="spellStart"/>
      <w:r w:rsidRPr="00804320">
        <w:rPr>
          <w:rFonts w:eastAsia="Times New Roman" w:cs="Arial"/>
          <w:color w:val="000000"/>
          <w:sz w:val="21"/>
          <w:szCs w:val="21"/>
        </w:rPr>
        <w:t>i</w:t>
      </w:r>
      <w:proofErr w:type="spellEnd"/>
      <w:r w:rsidRPr="00804320">
        <w:rPr>
          <w:rFonts w:eastAsia="Times New Roman" w:cs="Arial"/>
          <w:color w:val="000000"/>
          <w:sz w:val="21"/>
          <w:szCs w:val="21"/>
        </w:rPr>
        <w:t>) for which it is necessary that it should not be formed by transfer of building or machinery. The restriction or denial of benefit arises not by transfer of building or material to the new company but that it should not be formed by such transfer. This is the key to interpretation. The formation should not be by such transfer. The emphasis is on formation not on use. Therefore, it is not every transfer of building or material but the one which can be held to have resulted in formation of the undertaking. In Textile Machinery Corporation Ltd. v. CIT [1977] 107 ITR 195 (SC), this court, while interpreting section 15C, observed (at page 203</w:t>
      </w:r>
      <w:proofErr w:type="gramStart"/>
      <w:r w:rsidRPr="00804320">
        <w:rPr>
          <w:rFonts w:eastAsia="Times New Roman" w:cs="Arial"/>
          <w:color w:val="000000"/>
          <w:sz w:val="21"/>
          <w:szCs w:val="21"/>
        </w:rPr>
        <w:t>) :</w:t>
      </w:r>
      <w:proofErr w:type="gramEnd"/>
    </w:p>
    <w:p w:rsidR="00804320" w:rsidRDefault="00804320" w:rsidP="00804320">
      <w:pPr>
        <w:spacing w:after="0" w:line="360" w:lineRule="auto"/>
        <w:jc w:val="both"/>
        <w:rPr>
          <w:rFonts w:eastAsia="Times New Roman" w:cs="Arial"/>
          <w:color w:val="000000"/>
          <w:sz w:val="21"/>
          <w:szCs w:val="21"/>
        </w:rPr>
      </w:pP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"The true test is not whether the new industrial undertaking connotes expansion of the existing business of the assessee but whether it is all the same a new and identifiable undertaking separate and distinct from the existing business. No particular decision in one case can lay down an inexorable test to determine whether a given case comes under section 15C or not. In order that the new undertaking can be said to be not formed out of the already existing business, there must be a new emergence of a physically separate industrial unit which may exist on its own as a viable unit. An undertaking is formed out of the existing business if the physical identity with the old unit is preserved."</w:t>
      </w: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Even though this decision was concerned with the clause dealing with reconstruction of an existing business, the expression "not formed" was construed to mean that the undertaking should not be a continuation of the old but emergence of a new unit. Therefore, even if the undertaking is established by transfer of building, plant or machinery, but it is not formed as a result of such transfer, the assessee could not be denied the benefit.</w:t>
      </w:r>
    </w:p>
    <w:p w:rsidR="00804320" w:rsidRDefault="00804320" w:rsidP="00804320">
      <w:pPr>
        <w:spacing w:after="0" w:line="360" w:lineRule="auto"/>
        <w:jc w:val="both"/>
        <w:rPr>
          <w:rFonts w:eastAsia="Times New Roman" w:cs="Arial"/>
          <w:color w:val="000000"/>
          <w:sz w:val="21"/>
          <w:szCs w:val="21"/>
        </w:rPr>
      </w:pPr>
    </w:p>
    <w:p w:rsidR="00A82790" w:rsidRPr="00804320" w:rsidRDefault="00A82790" w:rsidP="00804320">
      <w:pPr>
        <w:spacing w:after="0" w:line="360" w:lineRule="auto"/>
        <w:jc w:val="both"/>
        <w:rPr>
          <w:rFonts w:eastAsia="Times New Roman" w:cs="Times New Roman"/>
          <w:color w:val="000000"/>
          <w:sz w:val="21"/>
          <w:szCs w:val="21"/>
        </w:rPr>
      </w:pPr>
      <w:r w:rsidRPr="00804320">
        <w:rPr>
          <w:rFonts w:eastAsia="Times New Roman" w:cs="Arial"/>
          <w:color w:val="000000"/>
          <w:sz w:val="21"/>
          <w:szCs w:val="21"/>
        </w:rPr>
        <w:t xml:space="preserve">Reverting to the Bombay decision on which the High Court relied for answering the question against the assessee, we would assume for purposes of this case that the lease of the building amounted to transfer. Yet what is significant is that the High Court did not examine the impact of the word "formed". It proceeded on the basis that once the lease amounted to a transfer, the assessee became ineligible from claiming any exemption. The court further repelled the contention advanced on behalf of the assessee on the strength of the Calcutta decision in CIT v. </w:t>
      </w:r>
      <w:proofErr w:type="spellStart"/>
      <w:r w:rsidRPr="00804320">
        <w:rPr>
          <w:rFonts w:eastAsia="Times New Roman" w:cs="Arial"/>
          <w:color w:val="000000"/>
          <w:sz w:val="21"/>
          <w:szCs w:val="21"/>
        </w:rPr>
        <w:t>Sainthia</w:t>
      </w:r>
      <w:proofErr w:type="spellEnd"/>
      <w:r w:rsidRPr="00804320">
        <w:rPr>
          <w:rFonts w:eastAsia="Times New Roman" w:cs="Arial"/>
          <w:color w:val="000000"/>
          <w:sz w:val="21"/>
          <w:szCs w:val="21"/>
        </w:rPr>
        <w:t xml:space="preserve"> Rice and Oil Mills [1971] 82 ITR 778 (Cal), that transfer of building to the new business to disentitle the undertaking should have been of the assessee himself. In our opinion, this aspect of the Bombay decision was correctly decided and the Tribunal was not justified in deciding in favour of the assessee on this ground. We, therefore, endorse the view of the Bombay High Court and that of the </w:t>
      </w:r>
      <w:r w:rsidRPr="00804320">
        <w:rPr>
          <w:rFonts w:eastAsia="Times New Roman" w:cs="Arial"/>
          <w:color w:val="000000"/>
          <w:sz w:val="21"/>
          <w:szCs w:val="21"/>
        </w:rPr>
        <w:lastRenderedPageBreak/>
        <w:t xml:space="preserve">Punjab and Haryana High Court in </w:t>
      </w:r>
      <w:proofErr w:type="spellStart"/>
      <w:r w:rsidRPr="00804320">
        <w:rPr>
          <w:rFonts w:eastAsia="Times New Roman" w:cs="Arial"/>
          <w:color w:val="000000"/>
          <w:sz w:val="21"/>
          <w:szCs w:val="21"/>
        </w:rPr>
        <w:t>Phagoo</w:t>
      </w:r>
      <w:proofErr w:type="spellEnd"/>
      <w:r w:rsidRPr="00804320">
        <w:rPr>
          <w:rFonts w:eastAsia="Times New Roman" w:cs="Arial"/>
          <w:color w:val="000000"/>
          <w:sz w:val="21"/>
          <w:szCs w:val="21"/>
        </w:rPr>
        <w:t xml:space="preserve"> Mal </w:t>
      </w:r>
      <w:proofErr w:type="spellStart"/>
      <w:r w:rsidRPr="00804320">
        <w:rPr>
          <w:rFonts w:eastAsia="Times New Roman" w:cs="Arial"/>
          <w:color w:val="000000"/>
          <w:sz w:val="21"/>
          <w:szCs w:val="21"/>
        </w:rPr>
        <w:t>Sant</w:t>
      </w:r>
      <w:proofErr w:type="spellEnd"/>
      <w:r w:rsidRPr="00804320">
        <w:rPr>
          <w:rFonts w:eastAsia="Times New Roman" w:cs="Arial"/>
          <w:color w:val="000000"/>
          <w:sz w:val="21"/>
          <w:szCs w:val="21"/>
        </w:rPr>
        <w:t xml:space="preserve"> Ram v. CIT [1969] 74 ITR 734 to this extent that, previously used in any other business" cannot be construed so narrowly as to confine it to the building of the assessee only. But we do not approve of the Bombay view that, if a new undertaking is established in premises taken on lease, then it always amounted to formation of the undertaking by transfer of the building previously used as the decision was given without examining the scope of the word "formed" which, as we have indicated above, was construed by this court in Textile Machinery Corporation Ltd. [1977] ITR 195, which approved a decision of the Delhi High Court in CIT v. </w:t>
      </w:r>
      <w:proofErr w:type="spellStart"/>
      <w:r w:rsidRPr="00804320">
        <w:rPr>
          <w:rFonts w:eastAsia="Times New Roman" w:cs="Arial"/>
          <w:color w:val="000000"/>
          <w:sz w:val="21"/>
          <w:szCs w:val="21"/>
        </w:rPr>
        <w:t>Ganga</w:t>
      </w:r>
      <w:proofErr w:type="spellEnd"/>
      <w:r w:rsidRPr="00804320">
        <w:rPr>
          <w:rFonts w:eastAsia="Times New Roman" w:cs="Arial"/>
          <w:color w:val="000000"/>
          <w:sz w:val="21"/>
          <w:szCs w:val="21"/>
        </w:rPr>
        <w:t xml:space="preserve"> Sugar Corporation Ltd. [1973] 92 ITR 173. "Form", according to the dictionary, has different meanings. In the context in which it has been used, it was intended to connote that the body of the company or its shape did not come up in consequence of transfer of building, machinery or plant used previously for business purpose. Use of the negative before the word "formed" further strengthens it. In other words, building, machinery or plant used previously in other business should not result in the undertaking being formed by it. The transfer, to take the new undertaking out of the purview of sub-section (1), must be such that, but for the transfer, the new undertaking could not have come into being. In our opinion, on the facts found by the Tribunal, the part played by taking the building on lease was not dominant in the formation of the company. The High Court was, therefore, not jus</w:t>
      </w:r>
      <w:r w:rsidR="00804320">
        <w:rPr>
          <w:rFonts w:eastAsia="Times New Roman" w:cs="Arial"/>
          <w:color w:val="000000"/>
          <w:sz w:val="21"/>
          <w:szCs w:val="21"/>
        </w:rPr>
        <w:t>tified.</w:t>
      </w:r>
    </w:p>
    <w:p w:rsidR="009B57D5" w:rsidRPr="00804320" w:rsidRDefault="009B57D5" w:rsidP="00804320">
      <w:pPr>
        <w:spacing w:line="360" w:lineRule="auto"/>
        <w:jc w:val="both"/>
      </w:pPr>
    </w:p>
    <w:sectPr w:rsidR="009B57D5" w:rsidRPr="00804320" w:rsidSect="009B57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2790"/>
    <w:rsid w:val="001E43DE"/>
    <w:rsid w:val="001F58DD"/>
    <w:rsid w:val="0023491D"/>
    <w:rsid w:val="003B7222"/>
    <w:rsid w:val="00485672"/>
    <w:rsid w:val="00517655"/>
    <w:rsid w:val="00593AE6"/>
    <w:rsid w:val="00716891"/>
    <w:rsid w:val="00804320"/>
    <w:rsid w:val="008B23B7"/>
    <w:rsid w:val="009B57D5"/>
    <w:rsid w:val="00A14292"/>
    <w:rsid w:val="00A82790"/>
    <w:rsid w:val="00B43C07"/>
    <w:rsid w:val="00B86C33"/>
    <w:rsid w:val="00BA14DF"/>
    <w:rsid w:val="00D32200"/>
    <w:rsid w:val="00D65413"/>
    <w:rsid w:val="00EF0A2A"/>
    <w:rsid w:val="00EF245F"/>
    <w:rsid w:val="00F87C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7D5"/>
  </w:style>
  <w:style w:type="paragraph" w:styleId="Heading2">
    <w:name w:val="heading 2"/>
    <w:basedOn w:val="Normal"/>
    <w:link w:val="Heading2Char"/>
    <w:uiPriority w:val="9"/>
    <w:qFormat/>
    <w:rsid w:val="00A827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279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827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0670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3740</Words>
  <Characters>21324</Characters>
  <Application>Microsoft Office Word</Application>
  <DocSecurity>0</DocSecurity>
  <Lines>177</Lines>
  <Paragraphs>50</Paragraphs>
  <ScaleCrop>false</ScaleCrop>
  <Company/>
  <LinksUpToDate>false</LinksUpToDate>
  <CharactersWithSpaces>25014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dvs-06</dc:creator>
  <cp:keywords/>
  <dc:description/>
  <cp:lastModifiedBy>sys-32</cp:lastModifiedBy>
  <cp:revision>2</cp:revision>
  <dcterms:created xsi:type="dcterms:W3CDTF">2010-07-08T07:04:00Z</dcterms:created>
  <dcterms:modified xsi:type="dcterms:W3CDTF">2010-10-05T05:00:00Z</dcterms:modified>
</cp:coreProperties>
</file>