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735" w:rsidRPr="00EA1735" w:rsidRDefault="00EA1735" w:rsidP="00EA1735">
      <w:pPr>
        <w:adjustRightInd w:val="0"/>
        <w:spacing w:before="240" w:after="120" w:line="240" w:lineRule="auto"/>
        <w:jc w:val="center"/>
        <w:rPr>
          <w:rFonts w:ascii="Times New Roman" w:eastAsia="Times New Roman" w:hAnsi="Times New Roman" w:cs="Times New Roman"/>
          <w:b/>
          <w:bCs/>
          <w:caps/>
          <w:sz w:val="24"/>
          <w:szCs w:val="16"/>
          <w:lang w:val="en-US" w:eastAsia="en-GB" w:bidi="mr-IN"/>
        </w:rPr>
      </w:pPr>
      <w:smartTag w:uri="urn:schemas-microsoft-com:office:smarttags" w:element="country-region">
        <w:smartTag w:uri="urn:schemas-microsoft-com:office:smarttags" w:element="place">
          <w:r w:rsidRPr="00EA1735">
            <w:rPr>
              <w:rFonts w:ascii="Times New Roman" w:eastAsia="Times New Roman" w:hAnsi="Times New Roman" w:cs="Times New Roman"/>
              <w:b/>
              <w:bCs/>
              <w:caps/>
              <w:sz w:val="24"/>
              <w:szCs w:val="16"/>
              <w:lang w:val="en-US" w:eastAsia="en-GB" w:bidi="mr-IN"/>
            </w:rPr>
            <w:t>Spain</w:t>
          </w:r>
        </w:smartTag>
      </w:smartTag>
    </w:p>
    <w:p w:rsidR="00EA1735" w:rsidRPr="00EA1735" w:rsidRDefault="00EA1735" w:rsidP="00EA1735">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b/>
          <w:bCs/>
          <w:sz w:val="24"/>
          <w:szCs w:val="16"/>
          <w:lang w:val="en-US" w:eastAsia="en-GB" w:bidi="mr-IN"/>
        </w:rPr>
        <w:t>43. Agreement for avoidance of double taxation and prevention of fiscal evasion with Spain</w:t>
      </w:r>
    </w:p>
    <w:p w:rsidR="00EA1735" w:rsidRPr="00EA1735" w:rsidRDefault="00EA1735" w:rsidP="00EA1735">
      <w:pPr>
        <w:adjustRightInd w:val="0"/>
        <w:spacing w:after="60" w:line="240" w:lineRule="auto"/>
        <w:jc w:val="both"/>
        <w:rPr>
          <w:rFonts w:ascii="Times New Roman" w:eastAsia="Times New Roman" w:hAnsi="Times New Roman" w:cs="Times New Roman"/>
          <w:i/>
          <w:iCs/>
          <w:sz w:val="24"/>
          <w:szCs w:val="16"/>
          <w:lang w:val="en-US" w:eastAsia="en-GB" w:bidi="mr-IN"/>
        </w:rPr>
      </w:pPr>
      <w:r w:rsidRPr="00EA1735">
        <w:rPr>
          <w:rFonts w:ascii="Times New Roman" w:eastAsia="Times New Roman" w:hAnsi="Times New Roman" w:cs="Times New Roman"/>
          <w:i/>
          <w:iCs/>
          <w:sz w:val="24"/>
          <w:szCs w:val="16"/>
          <w:lang w:val="en-US" w:eastAsia="en-GB" w:bidi="mr-IN"/>
        </w:rPr>
        <w:t>Whereas the annexed Convention between the Government of the Republic of India and the Kingdom of Spain for the avoidance of double taxation and the prevention of fiscal evasion with respect to taxes on income and on capital has entered into force on 12th January, 1995 after the exchange of Instruments of Ratification as required by paragraph 2 of Article 30 of the said Convention ;</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EA1735">
            <w:rPr>
              <w:rFonts w:ascii="Times New Roman" w:eastAsia="Times New Roman" w:hAnsi="Times New Roman" w:cs="Times New Roman"/>
              <w:i/>
              <w:iCs/>
              <w:sz w:val="24"/>
              <w:szCs w:val="16"/>
              <w:lang w:val="en-US" w:eastAsia="en-GB" w:bidi="mr-IN"/>
            </w:rPr>
            <w:t>India</w:t>
          </w:r>
        </w:smartTag>
      </w:smartTag>
      <w:r w:rsidRPr="00EA1735">
        <w:rPr>
          <w:rFonts w:ascii="Times New Roman" w:eastAsia="Times New Roman" w:hAnsi="Times New Roman" w:cs="Times New Roman"/>
          <w:sz w:val="24"/>
          <w:szCs w:val="16"/>
          <w:lang w:val="en-US" w:eastAsia="en-GB" w:bidi="mr-IN"/>
        </w:rPr>
        <w:t>.</w:t>
      </w:r>
    </w:p>
    <w:p w:rsidR="00EA1735" w:rsidRPr="00EA1735" w:rsidRDefault="00EA1735" w:rsidP="00EA1735">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b/>
          <w:bCs/>
          <w:sz w:val="24"/>
          <w:szCs w:val="16"/>
          <w:lang w:val="en-US" w:eastAsia="en-GB" w:bidi="mr-IN"/>
        </w:rPr>
        <w:t xml:space="preserve">Notification : </w:t>
      </w:r>
      <w:r w:rsidRPr="00EA1735">
        <w:rPr>
          <w:rFonts w:ascii="Times New Roman" w:eastAsia="Times New Roman" w:hAnsi="Times New Roman" w:cs="Times New Roman"/>
          <w:i/>
          <w:iCs/>
          <w:sz w:val="24"/>
          <w:szCs w:val="16"/>
          <w:lang w:val="en-US" w:eastAsia="en-GB" w:bidi="mr-IN"/>
        </w:rPr>
        <w:t>No. GSR 356(E), dated 21-4-1995</w:t>
      </w:r>
      <w:r w:rsidRPr="00EA1735">
        <w:rPr>
          <w:rFonts w:ascii="Times New Roman" w:eastAsia="Times New Roman" w:hAnsi="Times New Roman" w:cs="Times New Roman"/>
          <w:sz w:val="24"/>
          <w:szCs w:val="16"/>
          <w:lang w:val="en-US" w:eastAsia="en-GB" w:bidi="mr-IN"/>
        </w:rPr>
        <w:t>.</w:t>
      </w:r>
    </w:p>
    <w:p w:rsidR="00EA1735" w:rsidRPr="00EA1735" w:rsidRDefault="00EA1735" w:rsidP="00EA1735">
      <w:pPr>
        <w:tabs>
          <w:tab w:val="left" w:pos="576"/>
          <w:tab w:val="decimal" w:pos="2016"/>
          <w:tab w:val="left" w:pos="2736"/>
          <w:tab w:val="decimal" w:pos="6624"/>
          <w:tab w:val="decimal" w:pos="7776"/>
        </w:tabs>
        <w:adjustRightInd w:val="0"/>
        <w:spacing w:before="120" w:after="80" w:line="240" w:lineRule="auto"/>
        <w:jc w:val="center"/>
        <w:rPr>
          <w:rFonts w:ascii="Times New Roman" w:eastAsia="Times New Roman" w:hAnsi="Times New Roman" w:cs="Times New Roman"/>
          <w:caps/>
          <w:sz w:val="24"/>
          <w:szCs w:val="16"/>
          <w:lang w:val="en-US" w:eastAsia="en-GB" w:bidi="mr-IN"/>
        </w:rPr>
      </w:pPr>
      <w:r w:rsidRPr="00EA1735">
        <w:rPr>
          <w:rFonts w:ascii="Times New Roman" w:eastAsia="Times New Roman" w:hAnsi="Times New Roman" w:cs="Times New Roman"/>
          <w:i/>
          <w:iCs/>
          <w:caps/>
          <w:sz w:val="24"/>
          <w:szCs w:val="14"/>
          <w:lang w:val="en-US" w:eastAsia="en-GB" w:bidi="mr-IN"/>
        </w:rPr>
        <w:t>Annexure</w:t>
      </w:r>
    </w:p>
    <w:p w:rsidR="00EA1735" w:rsidRPr="00EA1735" w:rsidRDefault="00EA1735" w:rsidP="00EA1735">
      <w:pPr>
        <w:adjustRightInd w:val="0"/>
        <w:spacing w:after="60" w:line="240" w:lineRule="auto"/>
        <w:jc w:val="center"/>
        <w:rPr>
          <w:rFonts w:ascii="Times New Roman" w:eastAsia="Times New Roman" w:hAnsi="Times New Roman" w:cs="Times New Roman"/>
          <w:caps/>
          <w:sz w:val="24"/>
          <w:szCs w:val="14"/>
          <w:lang w:val="en-US" w:eastAsia="en-GB" w:bidi="mr-IN"/>
        </w:rPr>
      </w:pPr>
      <w:r w:rsidRPr="00EA1735">
        <w:rPr>
          <w:rFonts w:ascii="Times New Roman" w:eastAsia="Times New Roman" w:hAnsi="Times New Roman" w:cs="Times New Roman"/>
          <w:caps/>
          <w:sz w:val="24"/>
          <w:szCs w:val="14"/>
          <w:lang w:val="en-US" w:eastAsia="en-GB" w:bidi="mr-IN"/>
        </w:rPr>
        <w:t>CONVENTION BETWEEN THE GOVERNMENT OF THE REPUBLIC OF INDIA AND THE KINGDOM OF SPAIN FOR THE AVOIDANCE OF DOUBLE TAXATION AND THE PREVENTION OF FISCAL EVASION WITH RESPECT tO TAXES ON INCOME AND ON CAPITAL</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EA1735">
          <w:rPr>
            <w:rFonts w:ascii="Times New Roman" w:eastAsia="Times New Roman" w:hAnsi="Times New Roman" w:cs="Times New Roman"/>
            <w:sz w:val="24"/>
            <w:szCs w:val="16"/>
            <w:lang w:val="en-US" w:eastAsia="en-GB" w:bidi="mr-IN"/>
          </w:rPr>
          <w:t>Republic</w:t>
        </w:r>
      </w:smartTag>
      <w:r w:rsidRPr="00EA1735">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EA1735">
          <w:rPr>
            <w:rFonts w:ascii="Times New Roman" w:eastAsia="Times New Roman" w:hAnsi="Times New Roman" w:cs="Times New Roman"/>
            <w:sz w:val="24"/>
            <w:szCs w:val="16"/>
            <w:lang w:val="en-US" w:eastAsia="en-GB" w:bidi="mr-IN"/>
          </w:rPr>
          <w:t>India</w:t>
        </w:r>
      </w:smartTag>
      <w:r w:rsidRPr="00EA1735">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EA1735">
            <w:rPr>
              <w:rFonts w:ascii="Times New Roman" w:eastAsia="Times New Roman" w:hAnsi="Times New Roman" w:cs="Times New Roman"/>
              <w:sz w:val="24"/>
              <w:szCs w:val="16"/>
              <w:lang w:val="en-US" w:eastAsia="en-GB" w:bidi="mr-IN"/>
            </w:rPr>
            <w:t>Kingdom</w:t>
          </w:r>
        </w:smartTag>
        <w:r w:rsidRPr="00EA1735">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EA1735">
            <w:rPr>
              <w:rFonts w:ascii="Times New Roman" w:eastAsia="Times New Roman" w:hAnsi="Times New Roman" w:cs="Times New Roman"/>
              <w:sz w:val="24"/>
              <w:szCs w:val="16"/>
              <w:lang w:val="en-US" w:eastAsia="en-GB" w:bidi="mr-IN"/>
            </w:rPr>
            <w:t>Spain</w:t>
          </w:r>
        </w:smartTag>
      </w:smartTag>
      <w:r w:rsidRPr="00EA1735">
        <w:rPr>
          <w:rFonts w:ascii="Times New Roman" w:eastAsia="Times New Roman" w:hAnsi="Times New Roman" w:cs="Times New Roman"/>
          <w:sz w:val="24"/>
          <w:szCs w:val="16"/>
          <w:lang w:val="en-US" w:eastAsia="en-GB" w:bidi="mr-IN"/>
        </w:rPr>
        <w:t xml:space="preserve"> desiring to conclude a Convention for the Avoidance of Double Taxation and the Prevention of Fiscal Evasion with respect to taxes on income and on capital have agreed as follows :</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Personal scope</w:t>
      </w:r>
      <w:r w:rsidRPr="00EA1735">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Taxes covered</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This Convention shall apply to taxes on income and on capital imposed on behalf of a </w:t>
      </w:r>
      <w:smartTag w:uri="urn:schemas-microsoft-com:office:smarttags" w:element="place">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smartTag>
      <w:r w:rsidRPr="00EA1735">
        <w:rPr>
          <w:rFonts w:ascii="Times New Roman" w:eastAsia="Times New Roman" w:hAnsi="Times New Roman" w:cs="Times New Roman"/>
          <w:sz w:val="24"/>
          <w:szCs w:val="16"/>
          <w:lang w:val="en-US" w:eastAsia="en-GB" w:bidi="mr-IN"/>
        </w:rPr>
        <w:t xml:space="preserve"> irrespective of the manner in which they are levied.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The existing taxes to which the Convention shall apply are in particular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EA1735">
            <w:rPr>
              <w:rFonts w:ascii="Times New Roman" w:eastAsia="Times New Roman" w:hAnsi="Times New Roman" w:cs="Times New Roman"/>
              <w:sz w:val="24"/>
              <w:szCs w:val="16"/>
              <w:lang w:val="en-US" w:eastAsia="en-GB" w:bidi="mr-IN"/>
            </w:rPr>
            <w:t>Spain</w:t>
          </w:r>
        </w:smartTag>
      </w:smartTag>
      <w:r w:rsidRPr="00EA1735">
        <w:rPr>
          <w:rFonts w:ascii="Times New Roman" w:eastAsia="Times New Roman" w:hAnsi="Times New Roman" w:cs="Times New Roman"/>
          <w:sz w:val="24"/>
          <w:szCs w:val="16"/>
          <w:lang w:val="en-US" w:eastAsia="en-GB" w:bidi="mr-IN"/>
        </w:rPr>
        <w:t xml:space="preserve"> :</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Income-tax on Individuals (el Impuesto sobre la Renta de las Personas Fisicas);</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Corporation Tax (el Impuesto sobre Sociedades);</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Capital Tax (el Impuesto sobre el Patrimonio);</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r>
      <w:r w:rsidRPr="00EA1735">
        <w:rPr>
          <w:rFonts w:ascii="Times New Roman" w:eastAsia="Times New Roman" w:hAnsi="Times New Roman" w:cs="Times New Roman"/>
          <w:sz w:val="24"/>
          <w:szCs w:val="16"/>
          <w:lang w:val="en-US" w:eastAsia="en-GB" w:bidi="mr-IN"/>
        </w:rPr>
        <w:tab/>
        <w:t>(hereinafter referred to as “Spanish tax”).</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EA1735">
            <w:rPr>
              <w:rFonts w:ascii="Times New Roman" w:eastAsia="Times New Roman" w:hAnsi="Times New Roman" w:cs="Times New Roman"/>
              <w:sz w:val="24"/>
              <w:szCs w:val="16"/>
              <w:lang w:val="en-US" w:eastAsia="en-GB" w:bidi="mr-IN"/>
            </w:rPr>
            <w:t>India</w:t>
          </w:r>
        </w:smartTag>
      </w:smartTag>
      <w:r w:rsidRPr="00EA1735">
        <w:rPr>
          <w:rFonts w:ascii="Times New Roman" w:eastAsia="Times New Roman" w:hAnsi="Times New Roman" w:cs="Times New Roman"/>
          <w:sz w:val="24"/>
          <w:szCs w:val="16"/>
          <w:lang w:val="en-US" w:eastAsia="en-GB" w:bidi="mr-IN"/>
        </w:rPr>
        <w:t xml:space="preserve"> :</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income-tax including any surcharge thereon;</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surtax; and</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wealth-tax (hereinafter referred to as “Indian tax”).</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This Convention shall also apply to any identical or substantially similar taxes which are imposed after the date of signature of the Convention in addition to, or in place of, the existing taxes. The competent authorities of the Contracting States shall notify to each other any significant changes which have been made in their respective taxation laws.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lastRenderedPageBreak/>
        <w:t>Article 3</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General Definitions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In this Convention, unless the context otherwise requires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term “</w:t>
      </w:r>
      <w:smartTag w:uri="urn:schemas-microsoft-com:office:smarttags" w:element="country-region">
        <w:r w:rsidRPr="00EA1735">
          <w:rPr>
            <w:rFonts w:ascii="Times New Roman" w:eastAsia="Times New Roman" w:hAnsi="Times New Roman" w:cs="Times New Roman"/>
            <w:sz w:val="24"/>
            <w:szCs w:val="16"/>
            <w:lang w:val="en-US" w:eastAsia="en-GB" w:bidi="mr-IN"/>
          </w:rPr>
          <w:t>Spain</w:t>
        </w:r>
      </w:smartTag>
      <w:r w:rsidRPr="00EA1735">
        <w:rPr>
          <w:rFonts w:ascii="Times New Roman" w:eastAsia="Times New Roman" w:hAnsi="Times New Roman" w:cs="Times New Roman"/>
          <w:sz w:val="24"/>
          <w:szCs w:val="16"/>
          <w:lang w:val="en-US" w:eastAsia="en-GB" w:bidi="mr-IN"/>
        </w:rPr>
        <w:t xml:space="preserve">” means the </w:t>
      </w:r>
      <w:smartTag w:uri="urn:schemas-microsoft-com:office:smarttags" w:element="place">
        <w:smartTag w:uri="urn:schemas-microsoft-com:office:smarttags" w:element="PlaceType">
          <w:r w:rsidRPr="00EA1735">
            <w:rPr>
              <w:rFonts w:ascii="Times New Roman" w:eastAsia="Times New Roman" w:hAnsi="Times New Roman" w:cs="Times New Roman"/>
              <w:sz w:val="24"/>
              <w:szCs w:val="16"/>
              <w:lang w:val="en-US" w:eastAsia="en-GB" w:bidi="mr-IN"/>
            </w:rPr>
            <w:t>territory</w:t>
          </w:r>
        </w:smartTag>
        <w:r w:rsidRPr="00EA1735">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EA1735">
            <w:rPr>
              <w:rFonts w:ascii="Times New Roman" w:eastAsia="Times New Roman" w:hAnsi="Times New Roman" w:cs="Times New Roman"/>
              <w:sz w:val="24"/>
              <w:szCs w:val="16"/>
              <w:lang w:val="en-US" w:eastAsia="en-GB" w:bidi="mr-IN"/>
            </w:rPr>
            <w:t>Spain</w:t>
          </w:r>
        </w:smartTag>
      </w:smartTag>
      <w:r w:rsidRPr="00EA1735">
        <w:rPr>
          <w:rFonts w:ascii="Times New Roman" w:eastAsia="Times New Roman" w:hAnsi="Times New Roman" w:cs="Times New Roman"/>
          <w:sz w:val="24"/>
          <w:szCs w:val="16"/>
          <w:lang w:val="en-US" w:eastAsia="en-GB" w:bidi="mr-IN"/>
        </w:rPr>
        <w:t xml:space="preserve"> and includes the territorial sea and airspace above it. It also includes any other maritime zone in which </w:t>
      </w:r>
      <w:smartTag w:uri="urn:schemas-microsoft-com:office:smarttags" w:element="country-region">
        <w:smartTag w:uri="urn:schemas-microsoft-com:office:smarttags" w:element="place">
          <w:r w:rsidRPr="00EA1735">
            <w:rPr>
              <w:rFonts w:ascii="Times New Roman" w:eastAsia="Times New Roman" w:hAnsi="Times New Roman" w:cs="Times New Roman"/>
              <w:sz w:val="24"/>
              <w:szCs w:val="16"/>
              <w:lang w:val="en-US" w:eastAsia="en-GB" w:bidi="mr-IN"/>
            </w:rPr>
            <w:t>Spain</w:t>
          </w:r>
        </w:smartTag>
      </w:smartTag>
      <w:r w:rsidRPr="00EA1735">
        <w:rPr>
          <w:rFonts w:ascii="Times New Roman" w:eastAsia="Times New Roman" w:hAnsi="Times New Roman" w:cs="Times New Roman"/>
          <w:sz w:val="24"/>
          <w:szCs w:val="16"/>
          <w:lang w:val="en-US" w:eastAsia="en-GB" w:bidi="mr-IN"/>
        </w:rPr>
        <w:t xml:space="preserve"> has sovereign rights, other rights and jurisdiction, according to the Spanish law and in accordance with international law;</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term “</w:t>
      </w:r>
      <w:smartTag w:uri="urn:schemas-microsoft-com:office:smarttags" w:element="country-region">
        <w:r w:rsidRPr="00EA1735">
          <w:rPr>
            <w:rFonts w:ascii="Times New Roman" w:eastAsia="Times New Roman" w:hAnsi="Times New Roman" w:cs="Times New Roman"/>
            <w:sz w:val="24"/>
            <w:szCs w:val="16"/>
            <w:lang w:val="en-US" w:eastAsia="en-GB" w:bidi="mr-IN"/>
          </w:rPr>
          <w:t>India</w:t>
        </w:r>
      </w:smartTag>
      <w:r w:rsidRPr="00EA1735">
        <w:rPr>
          <w:rFonts w:ascii="Times New Roman" w:eastAsia="Times New Roman" w:hAnsi="Times New Roman" w:cs="Times New Roman"/>
          <w:sz w:val="24"/>
          <w:szCs w:val="16"/>
          <w:lang w:val="en-US" w:eastAsia="en-GB" w:bidi="mr-IN"/>
        </w:rPr>
        <w:t xml:space="preserve">” means the </w:t>
      </w:r>
      <w:smartTag w:uri="urn:schemas-microsoft-com:office:smarttags" w:element="place">
        <w:smartTag w:uri="urn:schemas-microsoft-com:office:smarttags" w:element="PlaceType">
          <w:r w:rsidRPr="00EA1735">
            <w:rPr>
              <w:rFonts w:ascii="Times New Roman" w:eastAsia="Times New Roman" w:hAnsi="Times New Roman" w:cs="Times New Roman"/>
              <w:sz w:val="24"/>
              <w:szCs w:val="16"/>
              <w:lang w:val="en-US" w:eastAsia="en-GB" w:bidi="mr-IN"/>
            </w:rPr>
            <w:t>territory</w:t>
          </w:r>
        </w:smartTag>
        <w:r w:rsidRPr="00EA1735">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EA1735">
            <w:rPr>
              <w:rFonts w:ascii="Times New Roman" w:eastAsia="Times New Roman" w:hAnsi="Times New Roman" w:cs="Times New Roman"/>
              <w:sz w:val="24"/>
              <w:szCs w:val="16"/>
              <w:lang w:val="en-US" w:eastAsia="en-GB" w:bidi="mr-IN"/>
            </w:rPr>
            <w:t>India</w:t>
          </w:r>
        </w:smartTag>
      </w:smartTag>
      <w:r w:rsidRPr="00EA1735">
        <w:rPr>
          <w:rFonts w:ascii="Times New Roman" w:eastAsia="Times New Roman" w:hAnsi="Times New Roman" w:cs="Times New Roman"/>
          <w:sz w:val="24"/>
          <w:szCs w:val="16"/>
          <w:lang w:val="en-US" w:eastAsia="en-GB" w:bidi="mr-IN"/>
        </w:rPr>
        <w:t xml:space="preserve"> and includes the territorial sea and airspace above it. It also includes any other maritime zone in which </w:t>
      </w:r>
      <w:smartTag w:uri="urn:schemas-microsoft-com:office:smarttags" w:element="country-region">
        <w:smartTag w:uri="urn:schemas-microsoft-com:office:smarttags" w:element="place">
          <w:r w:rsidRPr="00EA1735">
            <w:rPr>
              <w:rFonts w:ascii="Times New Roman" w:eastAsia="Times New Roman" w:hAnsi="Times New Roman" w:cs="Times New Roman"/>
              <w:sz w:val="24"/>
              <w:szCs w:val="16"/>
              <w:lang w:val="en-US" w:eastAsia="en-GB" w:bidi="mr-IN"/>
            </w:rPr>
            <w:t>India</w:t>
          </w:r>
        </w:smartTag>
      </w:smartTag>
      <w:r w:rsidRPr="00EA1735">
        <w:rPr>
          <w:rFonts w:ascii="Times New Roman" w:eastAsia="Times New Roman" w:hAnsi="Times New Roman" w:cs="Times New Roman"/>
          <w:sz w:val="24"/>
          <w:szCs w:val="16"/>
          <w:lang w:val="en-US" w:eastAsia="en-GB" w:bidi="mr-IN"/>
        </w:rPr>
        <w:t xml:space="preserve"> has sovereign rights, other rights and jurisdictions, according to the Indian Law and in accordance with international law;</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r w:rsidRPr="00EA1735">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r w:rsidRPr="00EA1735">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EA1735">
          <w:rPr>
            <w:rFonts w:ascii="Times New Roman" w:eastAsia="Times New Roman" w:hAnsi="Times New Roman" w:cs="Times New Roman"/>
            <w:sz w:val="24"/>
            <w:szCs w:val="16"/>
            <w:lang w:val="en-US" w:eastAsia="en-GB" w:bidi="mr-IN"/>
          </w:rPr>
          <w:t>Spain</w:t>
        </w:r>
      </w:smartTag>
      <w:r w:rsidRPr="00EA1735">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EA1735">
            <w:rPr>
              <w:rFonts w:ascii="Times New Roman" w:eastAsia="Times New Roman" w:hAnsi="Times New Roman" w:cs="Times New Roman"/>
              <w:sz w:val="24"/>
              <w:szCs w:val="16"/>
              <w:lang w:val="en-US" w:eastAsia="en-GB" w:bidi="mr-IN"/>
            </w:rPr>
            <w:t>India</w:t>
          </w:r>
        </w:smartTag>
      </w:smartTag>
      <w:r w:rsidRPr="00EA1735">
        <w:rPr>
          <w:rFonts w:ascii="Times New Roman" w:eastAsia="Times New Roman" w:hAnsi="Times New Roman" w:cs="Times New Roman"/>
          <w:sz w:val="24"/>
          <w:szCs w:val="16"/>
          <w:lang w:val="en-US" w:eastAsia="en-GB" w:bidi="mr-IN"/>
        </w:rPr>
        <w:t xml:space="preserve"> as the context requires;</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d</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term “tax” means “Indian tax” or “Spanish tax”, as the context requires;</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e</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the term “person” includes an individual, a company, any other body of persons or any other entity which is treated as a taxable unit under the taxation laws in force in the respective </w:t>
      </w:r>
      <w:smartTag w:uri="urn:schemas-microsoft-com:office:smarttags" w:element="place">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smartTag>
      <w:r w:rsidRPr="00EA1735">
        <w:rPr>
          <w:rFonts w:ascii="Times New Roman" w:eastAsia="Times New Roman" w:hAnsi="Times New Roman" w:cs="Times New Roman"/>
          <w:sz w:val="24"/>
          <w:szCs w:val="16"/>
          <w:lang w:val="en-US" w:eastAsia="en-GB" w:bidi="mr-IN"/>
        </w:rPr>
        <w:t>;</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f</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the term “company” means any body corporate or any entity which is treated as a company or body corporate under the taxation laws in force in the respective </w:t>
      </w:r>
      <w:smartTag w:uri="urn:schemas-microsoft-com:office:smarttags" w:element="place">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smartTag>
      <w:r w:rsidRPr="00EA1735">
        <w:rPr>
          <w:rFonts w:ascii="Times New Roman" w:eastAsia="Times New Roman" w:hAnsi="Times New Roman" w:cs="Times New Roman"/>
          <w:sz w:val="24"/>
          <w:szCs w:val="16"/>
          <w:lang w:val="en-US" w:eastAsia="en-GB" w:bidi="mr-IN"/>
        </w:rPr>
        <w:t>;</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g</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h</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term “national” means :</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smartTag>
      <w:r w:rsidRPr="00EA1735">
        <w:rPr>
          <w:rFonts w:ascii="Times New Roman" w:eastAsia="Times New Roman" w:hAnsi="Times New Roman" w:cs="Times New Roman"/>
          <w:sz w:val="24"/>
          <w:szCs w:val="16"/>
          <w:lang w:val="en-US" w:eastAsia="en-GB" w:bidi="mr-IN"/>
        </w:rPr>
        <w:t>;</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any legal person, partnership and association deriving its status as such from the law in force in a </w:t>
      </w:r>
      <w:smartTag w:uri="urn:schemas-microsoft-com:office:smarttags" w:element="place">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smartTag>
      <w:r w:rsidRPr="00EA1735">
        <w:rPr>
          <w:rFonts w:ascii="Times New Roman" w:eastAsia="Times New Roman" w:hAnsi="Times New Roman" w:cs="Times New Roman"/>
          <w:sz w:val="24"/>
          <w:szCs w:val="16"/>
          <w:lang w:val="en-US" w:eastAsia="en-GB" w:bidi="mr-IN"/>
        </w:rPr>
        <w:t>;</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r w:rsidRPr="00EA1735">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smartTag>
      <w:r w:rsidRPr="00EA1735">
        <w:rPr>
          <w:rFonts w:ascii="Times New Roman" w:eastAsia="Times New Roman" w:hAnsi="Times New Roman" w:cs="Times New Roman"/>
          <w:sz w:val="24"/>
          <w:szCs w:val="16"/>
          <w:lang w:val="en-US" w:eastAsia="en-GB" w:bidi="mr-IN"/>
        </w:rPr>
        <w:t>;</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j</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term “competent authority” means :</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EA1735">
            <w:rPr>
              <w:rFonts w:ascii="Times New Roman" w:eastAsia="Times New Roman" w:hAnsi="Times New Roman" w:cs="Times New Roman"/>
              <w:sz w:val="24"/>
              <w:szCs w:val="16"/>
              <w:lang w:val="en-US" w:eastAsia="en-GB" w:bidi="mr-IN"/>
            </w:rPr>
            <w:t>Spain</w:t>
          </w:r>
        </w:smartTag>
      </w:smartTag>
      <w:r w:rsidRPr="00EA1735">
        <w:rPr>
          <w:rFonts w:ascii="Times New Roman" w:eastAsia="Times New Roman" w:hAnsi="Times New Roman" w:cs="Times New Roman"/>
          <w:sz w:val="24"/>
          <w:szCs w:val="16"/>
          <w:lang w:val="en-US" w:eastAsia="en-GB" w:bidi="mr-IN"/>
        </w:rPr>
        <w:t>, the Minister of Economy and Finance or his authorised representative;</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EA1735">
            <w:rPr>
              <w:rFonts w:ascii="Times New Roman" w:eastAsia="Times New Roman" w:hAnsi="Times New Roman" w:cs="Times New Roman"/>
              <w:sz w:val="24"/>
              <w:szCs w:val="16"/>
              <w:lang w:val="en-US" w:eastAsia="en-GB" w:bidi="mr-IN"/>
            </w:rPr>
            <w:t>India</w:t>
          </w:r>
        </w:smartTag>
      </w:smartTag>
      <w:r w:rsidRPr="00EA1735">
        <w:rPr>
          <w:rFonts w:ascii="Times New Roman" w:eastAsia="Times New Roman" w:hAnsi="Times New Roman" w:cs="Times New Roman"/>
          <w:sz w:val="24"/>
          <w:szCs w:val="16"/>
          <w:lang w:val="en-US" w:eastAsia="en-GB" w:bidi="mr-IN"/>
        </w:rPr>
        <w:t>, the Central Government in the Ministry of Finance (Department of Revenue) or its authorised representative.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In the application of this Convention by a Contracting State, any term not defined therein shall, unless the context otherwise requires, have the meaning which it has under the law of that Contracting State relating to the taxes which are the subject of this Convention.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4</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Resident</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taxation therein by reason of his domicile, residence, place of management or any other criterion of similar nature. But this term does not include any person who is liable to tax in that State in respect only of income from sources in that State, or capital situated therein.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in accordance with the following rules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lastRenderedPageBreak/>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He shall be deemed to be resident of the </w:t>
      </w:r>
      <w:smartTag w:uri="urn:schemas-microsoft-com:office:smarttags" w:element="place">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smartTag>
      <w:r w:rsidRPr="00EA1735">
        <w:rPr>
          <w:rFonts w:ascii="Times New Roman" w:eastAsia="Times New Roman" w:hAnsi="Times New Roman" w:cs="Times New Roman"/>
          <w:sz w:val="24"/>
          <w:szCs w:val="16"/>
          <w:lang w:val="en-US" w:eastAsia="en-GB" w:bidi="mr-IN"/>
        </w:rPr>
        <w:t xml:space="preserve"> in which he has a permanent home available to him. If he has a permanent home available to him in both Contracting States, he shall be deemed to be a resident of the Contracting State with which his personal and economic relations are closer (centre of vital interests).</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 xml:space="preserve">If the </w:t>
      </w:r>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r w:rsidRPr="00EA1735">
        <w:rPr>
          <w:rFonts w:ascii="Times New Roman" w:eastAsia="Times New Roman" w:hAnsi="Times New Roman" w:cs="Times New Roman"/>
          <w:sz w:val="24"/>
          <w:szCs w:val="16"/>
          <w:lang w:val="en-US" w:eastAsia="en-GB" w:bidi="mr-IN"/>
        </w:rPr>
        <w:t xml:space="preserve"> in which he has his centre of vital interests cannot be determined, or if he has not a permanent home available to him in either </w:t>
      </w:r>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r w:rsidRPr="00EA1735">
        <w:rPr>
          <w:rFonts w:ascii="Times New Roman" w:eastAsia="Times New Roman" w:hAnsi="Times New Roman" w:cs="Times New Roman"/>
          <w:sz w:val="24"/>
          <w:szCs w:val="16"/>
          <w:lang w:val="en-US" w:eastAsia="en-GB" w:bidi="mr-IN"/>
        </w:rPr>
        <w:t xml:space="preserve">, he shall be deemed to be resident of the </w:t>
      </w:r>
      <w:smartTag w:uri="urn:schemas-microsoft-com:office:smarttags" w:element="place">
        <w:smartTag w:uri="urn:schemas-microsoft-com:office:smarttags" w:element="PlaceName">
          <w:r w:rsidRPr="00EA1735">
            <w:rPr>
              <w:rFonts w:ascii="Times New Roman" w:eastAsia="Times New Roman" w:hAnsi="Times New Roman" w:cs="Times New Roman"/>
              <w:sz w:val="24"/>
              <w:szCs w:val="16"/>
              <w:lang w:val="en-US" w:eastAsia="en-GB" w:bidi="mr-IN"/>
            </w:rPr>
            <w:t>Contracting</w:t>
          </w:r>
        </w:smartTag>
        <w:r w:rsidRPr="00EA17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A1735">
            <w:rPr>
              <w:rFonts w:ascii="Times New Roman" w:eastAsia="Times New Roman" w:hAnsi="Times New Roman" w:cs="Times New Roman"/>
              <w:sz w:val="24"/>
              <w:szCs w:val="16"/>
              <w:lang w:val="en-US" w:eastAsia="en-GB" w:bidi="mr-IN"/>
            </w:rPr>
            <w:t>State</w:t>
          </w:r>
        </w:smartTag>
      </w:smartTag>
      <w:r w:rsidRPr="00EA1735">
        <w:rPr>
          <w:rFonts w:ascii="Times New Roman" w:eastAsia="Times New Roman" w:hAnsi="Times New Roman" w:cs="Times New Roman"/>
          <w:sz w:val="24"/>
          <w:szCs w:val="16"/>
          <w:lang w:val="en-US" w:eastAsia="en-GB" w:bidi="mr-IN"/>
        </w:rPr>
        <w:t xml:space="preserve"> in which he has an habitual abode.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d</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Contracting State in which its place of effective management is situated.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5</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Permanent establishment</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 term “permanent establishment” includes especially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place of management;</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branch;</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an office;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d</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factory;</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e</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workshop;</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f</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g</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warehouse in relation to a person providing storage facilities for others;</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h</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premises used as a sales outlet;</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j</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an installation or structure used for the exploration or exploitation of natural resources, but only if so used for a period of more than three months;</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k</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(together with other such sites, projects or activities, if any) continue for a period of more than six months in any twelve-months period, or where such project or supervisory activity, being incidental to the sale of machinery or equipment, continues for a period not exceeding six months and the charges payable for the project or supervisory activity exceed 10 per cent of the sale price of the machinery and equipment :</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b/>
          <w:bCs/>
          <w:sz w:val="24"/>
          <w:szCs w:val="16"/>
          <w:lang w:val="en-US" w:eastAsia="en-GB" w:bidi="mr-IN"/>
        </w:rPr>
        <w:t>Provided</w:t>
      </w:r>
      <w:r w:rsidRPr="00EA1735">
        <w:rPr>
          <w:rFonts w:ascii="Times New Roman" w:eastAsia="Times New Roman" w:hAnsi="Times New Roman" w:cs="Times New Roman"/>
          <w:sz w:val="24"/>
          <w:szCs w:val="16"/>
          <w:lang w:val="en-US" w:eastAsia="en-GB" w:bidi="mr-IN"/>
        </w:rPr>
        <w:t xml:space="preserve"> that, for the purpose of this paragraph, an enterprise shall be deemed to have a permanent establishment in a Contracting State and to carry on business through that permanent establishment if it provides services or facilities in connection with or supplies plant and machinery on hire used or to be used in, the prospecting for, or extraction or production of mineral oils in the State if the activities continue for a period of more than thirty days in any twelve-month period.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d</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maintenance of a fixed place of business solely for the purpose of purchasing goods and merchandise, or of collecting information for the enterprise;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e</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maintenance of a fixed place of business solely for the purpose of advertising, for supply of information, for scientific research or for similar activities which have a preparatory or auxiliary character, for the enterprise.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in a Contracting State on behalf of an enterprise of the other Contracting State that enterprise shall be deemed to have a permanent establishment in the first-mentioned State, if,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6.</w:t>
      </w:r>
      <w:r w:rsidRPr="00EA1735">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6</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Income from immovable property</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usufruct of immovable property and rights to variable or fixed payments as consideration for the working of, or the right to work, mineral deposits, sources and other natural resources. Ships, boats and aircraft shall not be regarded as immovable property.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or independent personal services.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7</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Business profits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 that permanent establishment; (</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 sales in that other State of goods or merchandise of the same or similar kind as those sold through that permanent establishment; or (</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 other business activities carried on in that other State of the same or similar kind as those effected through that permanent establishment.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permanent establishment, including executive and general administrative expenses, research and development expenses, interest and other similar expenses so incurred, whether in the State in which the permanent establishment is situated or elsewhere, in accordance with the provisions of and subject to the limitations of the taxation laws of that State.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6.</w:t>
      </w:r>
      <w:r w:rsidRPr="00EA1735">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8</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Air Transport</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Profits derived by an enterprise of a Contracting State from the operation of aircraft in international traffic shall be taxable only in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9</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Shipping</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Profits derived by an enterprise of a Contracting State from the operation of ships in international traffic shall be taxable only in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 engaged in the operation of ships.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For the purposes of this Article, profits derived from the operation of ships include profits from the use, maintenance or rental of containers (including trailers and related equipment for the transport of containers) in connection with the transport of goods or merchandise in the international traffic.</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10</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Associated enterprises</w:t>
      </w:r>
      <w:r w:rsidRPr="00EA1735">
        <w:rPr>
          <w:rFonts w:ascii="Times New Roman" w:eastAsia="Times New Roman" w:hAnsi="Times New Roman" w:cs="Times New Roman"/>
          <w:sz w:val="24"/>
          <w:szCs w:val="16"/>
          <w:lang w:val="en-US" w:eastAsia="en-GB" w:bidi="mr-IN"/>
        </w:rPr>
        <w:t xml:space="preserve"> - Where,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11</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Dividends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15 per cent of the gross amount of the dividends.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12</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Interest</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15 per cent of the gross amount of the interest.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Notwithstanding the provisions of paragraph 2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Central Bank of the other Contracting State;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 who is a resident of the other Contracting State provided that transaction giving rise to the debt-claim has been approved in this regard by the Government of the first-mentioned Contracting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6.</w:t>
      </w:r>
      <w:r w:rsidRPr="00EA1735">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7.</w:t>
      </w:r>
      <w:r w:rsidRPr="00EA1735">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13</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Royalties and fees for technical services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 of that State, but if the recipient is the beneficial owner of the royalties or fees for technical services the tax so charged shall not exceed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the case of royalties relating to the payments for the use of, or the right to use, industrial, commercial or scientific equipment, 10 per cent of the gross amount of the royalties;</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the case of fees for technical services and other royalties, 20 per cent of the gross amount of fees for technical services or royalties.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cinematographic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The term “fees for technical services” as used in this Article means payments of any kind to any person other than payments to an employee of the person making the payments and to any individual for independent personal services mentioned in Article 15 (Independent Personal Services), in consideration for the services of a technical or consultancy nature, including the provision of services of technical or other personnel.</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15, as the case may be, shall apply.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6.</w:t>
      </w:r>
      <w:r w:rsidRPr="00EA1735">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when the payer in that State itself, a political sub-division, a local authority or a resident of that State. Where, however, the person paying the royalties or fees for technical services whether he is a resident of a Contracting State or not, has in a Contracting State a permanent establishment or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7.</w:t>
      </w:r>
      <w:r w:rsidRPr="00EA1735">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14</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Capital gains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Gains from the alienation of ships or aircraft operated in international traffic or of movable property pertaining to the operation of such ships or aircraft shall be taxable only in the Contracting State of which the alienator is a resident.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Gains for the alienation of shares of the capital stock of a company forming part of a participation of at least 10 per cent in a company which is a resident of a Contracting State may be taxed in that Contracting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6.</w:t>
      </w:r>
      <w:r w:rsidRPr="00EA1735">
        <w:rPr>
          <w:rFonts w:ascii="Times New Roman" w:eastAsia="Times New Roman" w:hAnsi="Times New Roman" w:cs="Times New Roman"/>
          <w:sz w:val="24"/>
          <w:szCs w:val="16"/>
          <w:lang w:val="en-US" w:eastAsia="en-GB" w:bidi="mr-IN"/>
        </w:rPr>
        <w:t xml:space="preserve"> Gains from the alienation of any property other than that mentioned in paragraphs 1, 2, 3, 4 and 5 shall be taxable only in the Contracting State of which the alienator is a resident.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15</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Independent personal services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Income derived by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“taxable year”; in that case, only so much of the income as is derived from his activities performed in that other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16</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Dependent personal services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Subject to the provisions of Articles 17, 18, 19, 20, 21 and 22,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“taxable year”; and</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17</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Directors’ fees</w:t>
      </w:r>
      <w:r w:rsidRPr="00EA1735">
        <w:rPr>
          <w:rFonts w:ascii="Times New Roman" w:eastAsia="Times New Roman" w:hAnsi="Times New Roman" w:cs="Times New Roman"/>
          <w:sz w:val="24"/>
          <w:szCs w:val="16"/>
          <w:lang w:val="en-US" w:eastAsia="en-GB" w:bidi="mr-IN"/>
        </w:rPr>
        <w:t xml:space="preserve"> - Directors’ fees and similar payments derived by a resident of a Contracting State in his capacity as a member of the board of directors of a company which is a resident of the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18</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Artistes and athletes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theatre, motion picture, radio or television artiste, or a musician or as an athlete, from his personal activities as such exercised in the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While income in respect of personal activities exercised by an entertainer or an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Notwithstanding the provisions of paragraphs 1 and 2,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19</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Pensions</w:t>
      </w:r>
      <w:r w:rsidRPr="00EA1735">
        <w:rPr>
          <w:rFonts w:ascii="Times New Roman" w:eastAsia="Times New Roman" w:hAnsi="Times New Roman" w:cs="Times New Roman"/>
          <w:sz w:val="24"/>
          <w:szCs w:val="16"/>
          <w:lang w:val="en-US" w:eastAsia="en-GB" w:bidi="mr-IN"/>
        </w:rPr>
        <w:t xml:space="preserve"> - Subject to the provisions of paragraph 2 of Article 20, pensions and other similar remuneration paid to a resident of a Contracting State in consideration of past employment shall be taxable only in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20</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Remuneration and pensions in respect of Government services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 xml:space="preserve">1. </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is a national of that State; or</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 xml:space="preserve">2. </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The provisions of Articles 16, 17 and 19 shall apply to remuneration and pensions in respect of services rendered in connection with a business carried on by a Contracting State or a political sub-division or a local authority thereof.</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21</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Students</w:t>
      </w:r>
      <w:r w:rsidRPr="00EA1735">
        <w:rPr>
          <w:rFonts w:ascii="Times New Roman" w:eastAsia="Times New Roman" w:hAnsi="Times New Roman" w:cs="Times New Roman"/>
          <w:sz w:val="24"/>
          <w:szCs w:val="16"/>
          <w:lang w:val="en-US" w:eastAsia="en-GB" w:bidi="mr-IN"/>
        </w:rPr>
        <w:t xml:space="preserve"> - Payments which a student or business apprentice who is or was immediately before visiting a Contracting State, a resident of the other Contracting State and who is present in the first-mentioned State solely for the purpose of his education or training receives for the purpose of this maintenance, education or training shall not be taxed in that State, provided that such payments arise from sources outside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22</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Payments received by professors, teachers and research scholars</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A professor or teacher who is or was a resident of one of the Contracting States immediately before visiting the other Contracting State for the purpose of teaching or engaging in research, or both, at an officially recognised university, college, school or other institution in that other Contracting State shall be exempt from tax in that other State on any remuneration for such teaching or research for a period not exceeding two years from the date of his arrival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This Article shall not apply to income from research if such research is undertaken not in the general interest but primarily for the private benefit of a specific person or persons.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23</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 xml:space="preserve">Other income </w:t>
      </w:r>
      <w:r w:rsidRPr="00EA1735">
        <w:rPr>
          <w:rFonts w:ascii="Times New Roman" w:eastAsia="Times New Roman" w:hAnsi="Times New Roman" w:cs="Times New Roman"/>
          <w:sz w:val="24"/>
          <w:szCs w:val="16"/>
          <w:lang w:val="en-US" w:eastAsia="en-GB" w:bidi="mr-IN"/>
        </w:rPr>
        <w:t xml:space="preserve">-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Convention, shall be taxable only in that Contracting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a case, the provisions of Article 7 or Article 15, as the case may be, shall apply.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Convention, and arising in the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24</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Capital</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Capital represented by ships or aircraft, operated in international traffic or by movable property pertaining to the operation of such ships or aircraft shall be taxable only in the Contracting State of which the enterprise operating such ships, aircraft or property is a resident.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Capital represented by shares of the capital stock of a company the property of which consists, directly or indirectly, principally of immovable property situated in Contracting State may be taxed in that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Capital represented by shares of the capital stock of a company which is a resident of a Contracting State representing a participation of at least 10 per cent in the capital stock of that company may be taxed in that Contracting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6.</w:t>
      </w:r>
      <w:r w:rsidRPr="00EA1735">
        <w:rPr>
          <w:rFonts w:ascii="Times New Roman" w:eastAsia="Times New Roman" w:hAnsi="Times New Roman" w:cs="Times New Roman"/>
          <w:sz w:val="24"/>
          <w:szCs w:val="16"/>
          <w:lang w:val="en-US" w:eastAsia="en-GB" w:bidi="mr-IN"/>
        </w:rPr>
        <w:t xml:space="preserve"> All other elements of capital of a resident of a Contracting State shall be taxable only in that Contracting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25</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Elimination of double taxation</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and capital in the respective Contracting States except where express provisions to the contrary are made in this Convention.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In India, double taxation will be avoided in the following manner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Where a resident of India derives income or owns capital which, in accordance with the provisions of this Convention, may be taxed in Spain, India shall allow :</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as a deduction from the tax on the income of that resident, an amount equal to the income-tax paid in Spain, whether directly or by deduction; and</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as a deduction from the tax on the capital of that resident, an amount equal to the capital tax paid in Spain.</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r>
      <w:r w:rsidRPr="00EA1735">
        <w:rPr>
          <w:rFonts w:ascii="Times New Roman" w:eastAsia="Times New Roman" w:hAnsi="Times New Roman" w:cs="Times New Roman"/>
          <w:sz w:val="24"/>
          <w:szCs w:val="16"/>
          <w:lang w:val="en-US" w:eastAsia="en-GB" w:bidi="mr-IN"/>
        </w:rPr>
        <w:tab/>
        <w:t>Such deduction in either case shall not, however, exceed that part of the income-tax or capital tax, as computed before the deduction is given, which is attributable, as the case may be, to the income or the capital which may be taxed in Spain.</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Where a resident of India derives income or owns capital which in accordance with the provisions of this Convention, shall be taxable only in Spain, India may include this income or capital in the tax base but shall allow as a deduction from the income-tax or capital tax, that part of the income-tax or capital tax which is attributable, as the case may be, to the income derived from or the capital owned in Spain.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In Spain, subject to the provisions of its internal law, double taxation will be avoided in the following manner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Where a resident of Spain derives income or owns capital which, in accordance with the provisions of this Convention, may be taxed in India, Spain shall allow :</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as a deduction from the tax on the income of that resident, an amount equal to the income-tax paid in India;</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as a deduction from the tax on the capital of that resident, an amount equal to the capital tax paid in India.</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the case of a dividend paid by a company which is a resident of India to a company which is a resident of Spain and which holds at least 25 per cent of the capital of the company paying the dividend, the deduction shall take into account [in addition to the deduction provided under sub-paragraph (</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 the income-tax paid in India by the company in respect of the profits out of which such dividend is paid provided that such tax is taken into account in calculating the base of the Spanish tax.</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r>
      <w:r w:rsidRPr="00EA1735">
        <w:rPr>
          <w:rFonts w:ascii="Times New Roman" w:eastAsia="Times New Roman" w:hAnsi="Times New Roman" w:cs="Times New Roman"/>
          <w:sz w:val="24"/>
          <w:szCs w:val="16"/>
          <w:lang w:val="en-US" w:eastAsia="en-GB" w:bidi="mr-IN"/>
        </w:rPr>
        <w:tab/>
        <w:t>Such deduction in either case shall not, however, exceed that part of the income-tax or capital tax, as computed before the deduction is given, which is attributable, as the case may be, to the income or the capital which may be taxed in India.</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Where in accordance with any provision of the Convention income derived or capital owned by a resident of Spain is exempt from tax in Spain, Spain may nevertheless, in calculating the amount of tax on the remaining income or capital of such resident, take into account the exempted income or capital.</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For the purposes of deduction referred to in paragraph 3, the term “income-tax paid in India” shall be deemed to include any amount which would have been payable as Indian tax under the laws of India and in accordance with this Convention for any year but for an exemption from, or reduction of, tax granted for that year under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Sections 10(</w:t>
      </w: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10(</w:t>
      </w:r>
      <w:r w:rsidRPr="00EA1735">
        <w:rPr>
          <w:rFonts w:ascii="Times New Roman" w:eastAsia="Times New Roman" w:hAnsi="Times New Roman" w:cs="Times New Roman"/>
          <w:i/>
          <w:iCs/>
          <w:sz w:val="24"/>
          <w:szCs w:val="16"/>
          <w:lang w:val="en-US" w:eastAsia="en-GB" w:bidi="mr-IN"/>
        </w:rPr>
        <w:t>15</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i/>
          <w:iCs/>
          <w:sz w:val="24"/>
          <w:szCs w:val="16"/>
          <w:lang w:val="en-US" w:eastAsia="en-GB" w:bidi="mr-IN"/>
        </w:rPr>
        <w:t>iv</w:t>
      </w:r>
      <w:r w:rsidRPr="00EA1735">
        <w:rPr>
          <w:rFonts w:ascii="Times New Roman" w:eastAsia="Times New Roman" w:hAnsi="Times New Roman" w:cs="Times New Roman"/>
          <w:sz w:val="24"/>
          <w:szCs w:val="16"/>
          <w:lang w:val="en-US" w:eastAsia="en-GB" w:bidi="mr-IN"/>
        </w:rPr>
        <w:t>), 10A, 10B, 32A, 32AB, 80HH, 80HHC and 80-I of the Income-tax Act, 1961 (43 of 1961) so far as they were in force on, and have not been modified since, the date of the signature of this Convention, or have been modified only in minor respects so as not to affect their general character; or</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any other provisions which may be enacted hereafter granting a deduction in computing the taxable income or an exemption or reduction from tax which the competent authorities of the Contracting States agree to be of a substantially similar character if it has not been modified thereafter or has been modified only in minor respects so as not to affect its general character.</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The provisions of paragraph 4 shall apply for the first 10 years for which this Convention is effective but the competent authorities of the Contracting States may consult each other to determine whether this period shall be extended.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26</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Non-discrimination</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 or under the same conditions.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in any taxation or any requirement connected therewith which is other or more burdensome than the taxation and connected requirements to which other similar enterprises of that first-mentioned State are or may be subjected.</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Except where the provisions of Article 10, paragraph 7 of Article 12, or paragraph 7 of Article 13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shall, for the purpose of determining the taxable capital of such enterprise, be deductible under the same conditions as if they had been contracted to a resident of the first-mentioned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27</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Mutual agreement procedure</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or, if his case comes under paragraph 1 of Article 26, to that of the Contracting State of which he is a national. The case must be presented within three years from the first notification of the action resulting in taxation not in accordance with the provisions of the Convention.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 Any agreement reached shall be implemented notwithstanding any time limits in the national laws of the Contracting States.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 The competent authorities shall also, by mutual agreement, develop appropriate actions, methods and techniques to improve the exchange of information carried out under Article 28 of this Convention.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28</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Exchange of information</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copies of documents when relevant) as is necessary for carrying out the provisions of the Convention or of the domestic laws of the Contracting States concerning taxes covered by the Convention, insofar as the taxation thereunder is not contrary to the Convention, in particular for the prevention of fraud or tax evasion and of tax avoidance. The exchange of information is not restricted by Article 1.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29</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Diplomatic and consular officers</w:t>
      </w:r>
      <w:r w:rsidRPr="00EA1735">
        <w:rPr>
          <w:rFonts w:ascii="Times New Roman" w:eastAsia="Times New Roman" w:hAnsi="Times New Roman" w:cs="Times New Roman"/>
          <w:sz w:val="24"/>
          <w:szCs w:val="16"/>
          <w:lang w:val="en-US" w:eastAsia="en-GB" w:bidi="mr-IN"/>
        </w:rPr>
        <w:t xml:space="preserve"> - Nothing in this Convention shall affect the fiscal privileges of diplomatic agents or consular officers under the general rules of international law or under the provisions of special agreements.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30</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Entry into force</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as soon as possible.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This Convention shall enter into force upon the exchange of the instruments of ratification and its provisions shall have effect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Spain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r>
      <w:r w:rsidRPr="00EA1735">
        <w:rPr>
          <w:rFonts w:ascii="Times New Roman" w:eastAsia="Times New Roman" w:hAnsi="Times New Roman" w:cs="Times New Roman"/>
          <w:sz w:val="24"/>
          <w:szCs w:val="16"/>
          <w:lang w:val="en-US" w:eastAsia="en-GB" w:bidi="mr-IN"/>
        </w:rPr>
        <w:tab/>
        <w:t>in respect of taxes chargeable on income or on capital for any taxable year beginning on or after the first day of January of the calendar year next following that in which the Convention enters into force.</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India :</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respect of income arising in any taxable year beginning on or after the first day of April of the calendar year next following that in which the Convention enters into force,</w:t>
      </w:r>
    </w:p>
    <w:p w:rsidR="00EA1735" w:rsidRPr="00EA1735" w:rsidRDefault="00EA1735" w:rsidP="00EA173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ii</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respect of capital which is held on the last day of any taxable year beginning on or after the first day of April of the calendar year next following that in which the Convention enters into force.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Article 31</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Termination</w:t>
      </w:r>
      <w:r w:rsidRPr="00EA1735">
        <w:rPr>
          <w:rFonts w:ascii="Times New Roman" w:eastAsia="Times New Roman" w:hAnsi="Times New Roman" w:cs="Times New Roman"/>
          <w:sz w:val="24"/>
          <w:szCs w:val="16"/>
          <w:lang w:val="en-US" w:eastAsia="en-GB" w:bidi="mr-IN"/>
        </w:rPr>
        <w:t xml:space="preserve"> - </w:t>
      </w: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The Convention shall remain in force indefinitely, but either of the Contracting States may, on or before the thirtieth day of June in any calendar year beginning after the expiration of a period of five years from the date of its entry into force, give to the other Contracting State through diplomatic channels, written notice of termination. In such event, the Convention shall cease to have effect :</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a</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Spain, in respect of taxes chargeable for any taxable year beginning on or after the first day of January of the calendar year next following that in which the notice of termination is given;</w:t>
      </w:r>
    </w:p>
    <w:p w:rsidR="00EA1735" w:rsidRPr="00EA1735" w:rsidRDefault="00EA1735" w:rsidP="00EA17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b/>
        <w:t>(</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w:t>
      </w:r>
      <w:r w:rsidRPr="00EA1735">
        <w:rPr>
          <w:rFonts w:ascii="Times New Roman" w:eastAsia="Times New Roman" w:hAnsi="Times New Roman" w:cs="Times New Roman"/>
          <w:sz w:val="24"/>
          <w:szCs w:val="16"/>
          <w:lang w:val="en-US" w:eastAsia="en-GB" w:bidi="mr-IN"/>
        </w:rPr>
        <w:tab/>
        <w:t>in India, in respect of income arising in any taxable year beginning on or after the first day of April of the calendar year next following that in which the notice of termination is given and in respect of capital which is held on the last day of any taxable year beginning on or after the first day of April next following the calendar year in which the notice of termination is given.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In witness whereof the undersigned, being duly authorised thereto, have signed the present Convention.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Done in duplicate at New Delhi this 8th day of February, one thousand nine hundred and ninety three in the Hindi, Spanish and English languages, all the texts being equally authentic. In case of divergence between any of the texts, the English text shall be the operative one.</w:t>
      </w:r>
    </w:p>
    <w:tbl>
      <w:tblPr>
        <w:tblW w:w="5000" w:type="pct"/>
        <w:jc w:val="center"/>
        <w:tblLook w:val="04A0"/>
      </w:tblPr>
      <w:tblGrid>
        <w:gridCol w:w="6639"/>
        <w:gridCol w:w="2603"/>
      </w:tblGrid>
      <w:tr w:rsidR="00EA1735" w:rsidRPr="00EA1735" w:rsidTr="00EA1735">
        <w:trPr>
          <w:jc w:val="center"/>
        </w:trPr>
        <w:tc>
          <w:tcPr>
            <w:tcW w:w="3592" w:type="pct"/>
            <w:hideMark/>
          </w:tcPr>
          <w:p w:rsidR="00EA1735" w:rsidRPr="00EA1735" w:rsidRDefault="00EA1735" w:rsidP="00EA1735">
            <w:pPr>
              <w:adjustRightInd w:val="0"/>
              <w:spacing w:after="80" w:line="240" w:lineRule="auto"/>
              <w:jc w:val="both"/>
              <w:rPr>
                <w:rFonts w:ascii="Times New Roman" w:eastAsia="Times New Roman" w:hAnsi="Times New Roman" w:cs="Times New Roman"/>
                <w:i/>
                <w:iCs/>
                <w:sz w:val="24"/>
                <w:szCs w:val="16"/>
                <w:lang w:eastAsia="en-GB" w:bidi="mr-IN"/>
              </w:rPr>
            </w:pPr>
            <w:r w:rsidRPr="00EA1735">
              <w:rPr>
                <w:rFonts w:ascii="Times New Roman" w:eastAsia="Times New Roman" w:hAnsi="Times New Roman" w:cs="Times New Roman"/>
                <w:i/>
                <w:iCs/>
                <w:sz w:val="24"/>
                <w:szCs w:val="16"/>
                <w:lang w:eastAsia="en-GB" w:bidi="mr-IN"/>
              </w:rPr>
              <w:t>For the Government of the</w:t>
            </w:r>
          </w:p>
        </w:tc>
        <w:tc>
          <w:tcPr>
            <w:tcW w:w="1408" w:type="pct"/>
            <w:hideMark/>
          </w:tcPr>
          <w:p w:rsidR="00EA1735" w:rsidRPr="00EA1735" w:rsidRDefault="00EA1735" w:rsidP="00EA1735">
            <w:pPr>
              <w:adjustRightInd w:val="0"/>
              <w:spacing w:after="80" w:line="240" w:lineRule="auto"/>
              <w:jc w:val="both"/>
              <w:rPr>
                <w:rFonts w:ascii="Times New Roman" w:eastAsia="Times New Roman" w:hAnsi="Times New Roman" w:cs="Times New Roman"/>
                <w:i/>
                <w:iCs/>
                <w:sz w:val="24"/>
                <w:szCs w:val="16"/>
                <w:lang w:eastAsia="en-GB" w:bidi="mr-IN"/>
              </w:rPr>
            </w:pPr>
            <w:r w:rsidRPr="00EA1735">
              <w:rPr>
                <w:rFonts w:ascii="Times New Roman" w:eastAsia="Times New Roman" w:hAnsi="Times New Roman" w:cs="Times New Roman"/>
                <w:i/>
                <w:iCs/>
                <w:sz w:val="24"/>
                <w:szCs w:val="16"/>
                <w:lang w:eastAsia="en-GB" w:bidi="mr-IN"/>
              </w:rPr>
              <w:t>For the Government of the</w:t>
            </w:r>
          </w:p>
        </w:tc>
      </w:tr>
      <w:tr w:rsidR="00EA1735" w:rsidRPr="00EA1735" w:rsidTr="00EA1735">
        <w:trPr>
          <w:jc w:val="center"/>
        </w:trPr>
        <w:tc>
          <w:tcPr>
            <w:tcW w:w="3592" w:type="pct"/>
            <w:hideMark/>
          </w:tcPr>
          <w:p w:rsidR="00EA1735" w:rsidRPr="00EA1735" w:rsidRDefault="00EA1735" w:rsidP="00EA1735">
            <w:pPr>
              <w:adjustRightInd w:val="0"/>
              <w:spacing w:after="80" w:line="240" w:lineRule="auto"/>
              <w:jc w:val="both"/>
              <w:rPr>
                <w:rFonts w:ascii="Times New Roman" w:eastAsia="Times New Roman" w:hAnsi="Times New Roman" w:cs="Times New Roman"/>
                <w:i/>
                <w:iCs/>
                <w:sz w:val="24"/>
                <w:szCs w:val="16"/>
                <w:lang w:eastAsia="en-GB" w:bidi="mr-IN"/>
              </w:rPr>
            </w:pPr>
            <w:r w:rsidRPr="00EA1735">
              <w:rPr>
                <w:rFonts w:ascii="Times New Roman" w:eastAsia="Times New Roman" w:hAnsi="Times New Roman" w:cs="Times New Roman"/>
                <w:i/>
                <w:iCs/>
                <w:sz w:val="24"/>
                <w:szCs w:val="16"/>
                <w:lang w:eastAsia="en-GB" w:bidi="mr-IN"/>
              </w:rPr>
              <w:t>Republic of India</w:t>
            </w:r>
          </w:p>
        </w:tc>
        <w:tc>
          <w:tcPr>
            <w:tcW w:w="1408" w:type="pct"/>
            <w:hideMark/>
          </w:tcPr>
          <w:p w:rsidR="00EA1735" w:rsidRPr="00EA1735" w:rsidRDefault="00EA1735" w:rsidP="00EA1735">
            <w:pPr>
              <w:adjustRightInd w:val="0"/>
              <w:spacing w:after="80" w:line="240" w:lineRule="auto"/>
              <w:jc w:val="both"/>
              <w:rPr>
                <w:rFonts w:ascii="Times New Roman" w:eastAsia="Times New Roman" w:hAnsi="Times New Roman" w:cs="Times New Roman"/>
                <w:i/>
                <w:iCs/>
                <w:sz w:val="24"/>
                <w:szCs w:val="16"/>
                <w:lang w:eastAsia="en-GB" w:bidi="mr-IN"/>
              </w:rPr>
            </w:pPr>
            <w:r w:rsidRPr="00EA1735">
              <w:rPr>
                <w:rFonts w:ascii="Times New Roman" w:eastAsia="Times New Roman" w:hAnsi="Times New Roman" w:cs="Times New Roman"/>
                <w:i/>
                <w:iCs/>
                <w:sz w:val="24"/>
                <w:szCs w:val="16"/>
                <w:lang w:eastAsia="en-GB" w:bidi="mr-IN"/>
              </w:rPr>
              <w:t>Kingdom of Spain</w:t>
            </w:r>
          </w:p>
        </w:tc>
      </w:tr>
    </w:tbl>
    <w:p w:rsidR="00EA1735" w:rsidRPr="00EA1735" w:rsidRDefault="00EA1735" w:rsidP="00EA1735">
      <w:pPr>
        <w:tabs>
          <w:tab w:val="left" w:pos="576"/>
          <w:tab w:val="decimal" w:pos="2016"/>
          <w:tab w:val="left" w:pos="2736"/>
          <w:tab w:val="decimal" w:pos="6624"/>
          <w:tab w:val="decimal" w:pos="7776"/>
        </w:tabs>
        <w:adjustRightInd w:val="0"/>
        <w:spacing w:before="240" w:after="80" w:line="240" w:lineRule="auto"/>
        <w:jc w:val="center"/>
        <w:rPr>
          <w:rFonts w:ascii="Times New Roman" w:eastAsia="Times New Roman" w:hAnsi="Times New Roman" w:cs="Times New Roman"/>
          <w:caps/>
          <w:sz w:val="24"/>
          <w:szCs w:val="14"/>
          <w:lang w:val="en-US" w:eastAsia="en-GB" w:bidi="mr-IN"/>
        </w:rPr>
      </w:pPr>
      <w:r w:rsidRPr="00EA1735">
        <w:rPr>
          <w:rFonts w:ascii="Times New Roman" w:eastAsia="Times New Roman" w:hAnsi="Times New Roman" w:cs="Times New Roman"/>
          <w:i/>
          <w:iCs/>
          <w:caps/>
          <w:sz w:val="24"/>
          <w:szCs w:val="16"/>
          <w:lang w:val="en-US" w:eastAsia="en-GB" w:bidi="mr-IN"/>
        </w:rPr>
        <w:t>PROTOCOL</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sz w:val="24"/>
          <w:szCs w:val="16"/>
          <w:lang w:val="en-US" w:eastAsia="en-GB" w:bidi="mr-IN"/>
        </w:rPr>
        <w:t>At the moment of signing the Convention between the Government of the Republic of India and the Government of the Kingdom of Spain for the Avoidance of Double Taxation and the Prevention of Fiscal Evasion with respect to taxes on income and on capital, the undersigned have agreed upon the following provisions which shall be an integral part of the Convention :</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1.</w:t>
      </w:r>
      <w:r w:rsidRPr="00EA1735">
        <w:rPr>
          <w:rFonts w:ascii="Times New Roman" w:eastAsia="Times New Roman" w:hAnsi="Times New Roman" w:cs="Times New Roman"/>
          <w:sz w:val="24"/>
          <w:szCs w:val="16"/>
          <w:lang w:val="en-US" w:eastAsia="en-GB" w:bidi="mr-IN"/>
        </w:rPr>
        <w:t xml:space="preserve"> In respect of clause (</w:t>
      </w:r>
      <w:r w:rsidRPr="00EA1735">
        <w:rPr>
          <w:rFonts w:ascii="Times New Roman" w:eastAsia="Times New Roman" w:hAnsi="Times New Roman" w:cs="Times New Roman"/>
          <w:i/>
          <w:iCs/>
          <w:sz w:val="24"/>
          <w:szCs w:val="16"/>
          <w:lang w:val="en-US" w:eastAsia="en-GB" w:bidi="mr-IN"/>
        </w:rPr>
        <w:t>d</w:t>
      </w:r>
      <w:r w:rsidRPr="00EA1735">
        <w:rPr>
          <w:rFonts w:ascii="Times New Roman" w:eastAsia="Times New Roman" w:hAnsi="Times New Roman" w:cs="Times New Roman"/>
          <w:sz w:val="24"/>
          <w:szCs w:val="16"/>
          <w:lang w:val="en-US" w:eastAsia="en-GB" w:bidi="mr-IN"/>
        </w:rPr>
        <w:t>) of paragraph 1 of Article 3 (General Definitions), it is understood that the term “tax” shall not include any amount which is payable in respect of any default or omission in relation to the taxes to which this Convention applies or which represents a penalty imposed relating to those taxes.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2.</w:t>
      </w:r>
      <w:r w:rsidRPr="00EA1735">
        <w:rPr>
          <w:rFonts w:ascii="Times New Roman" w:eastAsia="Times New Roman" w:hAnsi="Times New Roman" w:cs="Times New Roman"/>
          <w:sz w:val="24"/>
          <w:szCs w:val="16"/>
          <w:lang w:val="en-US" w:eastAsia="en-GB" w:bidi="mr-IN"/>
        </w:rPr>
        <w:t xml:space="preserve"> In respect of clause (</w:t>
      </w:r>
      <w:r w:rsidRPr="00EA1735">
        <w:rPr>
          <w:rFonts w:ascii="Times New Roman" w:eastAsia="Times New Roman" w:hAnsi="Times New Roman" w:cs="Times New Roman"/>
          <w:i/>
          <w:iCs/>
          <w:sz w:val="24"/>
          <w:szCs w:val="16"/>
          <w:lang w:val="en-US" w:eastAsia="en-GB" w:bidi="mr-IN"/>
        </w:rPr>
        <w:t>g</w:t>
      </w:r>
      <w:r w:rsidRPr="00EA1735">
        <w:rPr>
          <w:rFonts w:ascii="Times New Roman" w:eastAsia="Times New Roman" w:hAnsi="Times New Roman" w:cs="Times New Roman"/>
          <w:sz w:val="24"/>
          <w:szCs w:val="16"/>
          <w:lang w:val="en-US" w:eastAsia="en-GB" w:bidi="mr-IN"/>
        </w:rPr>
        <w:t>) of paragraph 2 of Article 5 (Permanent Establishment), it is understood that this clause refers to a warehouse where space is rented to other persons.</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3.</w:t>
      </w:r>
      <w:r w:rsidRPr="00EA1735">
        <w:rPr>
          <w:rFonts w:ascii="Times New Roman" w:eastAsia="Times New Roman" w:hAnsi="Times New Roman" w:cs="Times New Roman"/>
          <w:sz w:val="24"/>
          <w:szCs w:val="16"/>
          <w:lang w:val="en-US" w:eastAsia="en-GB" w:bidi="mr-IN"/>
        </w:rPr>
        <w:t xml:space="preserve"> In respect of clauses (</w:t>
      </w:r>
      <w:r w:rsidRPr="00EA1735">
        <w:rPr>
          <w:rFonts w:ascii="Times New Roman" w:eastAsia="Times New Roman" w:hAnsi="Times New Roman" w:cs="Times New Roman"/>
          <w:i/>
          <w:iCs/>
          <w:sz w:val="24"/>
          <w:szCs w:val="16"/>
          <w:lang w:val="en-US" w:eastAsia="en-GB" w:bidi="mr-IN"/>
        </w:rPr>
        <w:t>b</w:t>
      </w:r>
      <w:r w:rsidRPr="00EA1735">
        <w:rPr>
          <w:rFonts w:ascii="Times New Roman" w:eastAsia="Times New Roman" w:hAnsi="Times New Roman" w:cs="Times New Roman"/>
          <w:sz w:val="24"/>
          <w:szCs w:val="16"/>
          <w:lang w:val="en-US" w:eastAsia="en-GB" w:bidi="mr-IN"/>
        </w:rPr>
        <w:t>) and (</w:t>
      </w:r>
      <w:r w:rsidRPr="00EA1735">
        <w:rPr>
          <w:rFonts w:ascii="Times New Roman" w:eastAsia="Times New Roman" w:hAnsi="Times New Roman" w:cs="Times New Roman"/>
          <w:i/>
          <w:iCs/>
          <w:sz w:val="24"/>
          <w:szCs w:val="16"/>
          <w:lang w:val="en-US" w:eastAsia="en-GB" w:bidi="mr-IN"/>
        </w:rPr>
        <w:t>c</w:t>
      </w:r>
      <w:r w:rsidRPr="00EA1735">
        <w:rPr>
          <w:rFonts w:ascii="Times New Roman" w:eastAsia="Times New Roman" w:hAnsi="Times New Roman" w:cs="Times New Roman"/>
          <w:sz w:val="24"/>
          <w:szCs w:val="16"/>
          <w:lang w:val="en-US" w:eastAsia="en-GB" w:bidi="mr-IN"/>
        </w:rPr>
        <w:t>) of paragraph 1 of Article 7 (Business Profits), it is understood that in the case of any doubt as to whether the goods or merchandise sold are of the similar kind as those sold through the permanent establishment or whether the other business activities carried on are of the similar kind as those effected through the permanent establishment, the competent authorities may consult each other with a view to resolving the case by mutual agreement.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4.</w:t>
      </w:r>
      <w:r w:rsidRPr="00EA1735">
        <w:rPr>
          <w:rFonts w:ascii="Times New Roman" w:eastAsia="Times New Roman" w:hAnsi="Times New Roman" w:cs="Times New Roman"/>
          <w:sz w:val="24"/>
          <w:szCs w:val="16"/>
          <w:lang w:val="en-US" w:eastAsia="en-GB" w:bidi="mr-IN"/>
        </w:rPr>
        <w:t xml:space="preserve"> In respect of paragraph 3 of Article 7 (Business Profits), it is understood that in case of any substantial changes in the provisions of the taxation laws of a Contracting State relating to limitation on the deductibility of the expenses which are incurred for the purposes of the business of a permanent establishment, the competent authorities of the Contracting States shall consult each other on the necessity of modifying the provisions of this paragraph.</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5.</w:t>
      </w:r>
      <w:r w:rsidRPr="00EA1735">
        <w:rPr>
          <w:rFonts w:ascii="Times New Roman" w:eastAsia="Times New Roman" w:hAnsi="Times New Roman" w:cs="Times New Roman"/>
          <w:sz w:val="24"/>
          <w:szCs w:val="16"/>
          <w:lang w:val="en-US" w:eastAsia="en-GB" w:bidi="mr-IN"/>
        </w:rPr>
        <w:t xml:space="preserve"> In respect of Article 8 (Air Transport) and Article 9 (Shipping), it is understood that interest on funds connected with the operation of aircraft or ships in international traffic shall be regarded as profits derived from the operation of such aircraft or ships, as the case may be, and the provisions of Article 12 (Interest) shall not apply in relation to such interest.</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6.</w:t>
      </w:r>
      <w:r w:rsidRPr="00EA1735">
        <w:rPr>
          <w:rFonts w:ascii="Times New Roman" w:eastAsia="Times New Roman" w:hAnsi="Times New Roman" w:cs="Times New Roman"/>
          <w:sz w:val="24"/>
          <w:szCs w:val="16"/>
          <w:lang w:val="en-US" w:eastAsia="en-GB" w:bidi="mr-IN"/>
        </w:rPr>
        <w:t xml:space="preserve"> Paragraph 2 of Article 11 (Dividends), shall not be applicable, in the case of Spain, to the income attributable, whether distributed or not, to the shareholders of the corporations and entities referred to in Article 12.2 of Law 44/1978 of 8 September, 1978, and Article 19 of Law 61/1978 of 27 December, 1978, as long as the said income is not subject to the Spanish Corporation Tax. Such income may be taxed in Spain according to its Internal Law.</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7.</w:t>
      </w:r>
      <w:r w:rsidRPr="00EA1735">
        <w:rPr>
          <w:rFonts w:ascii="Times New Roman" w:eastAsia="Times New Roman" w:hAnsi="Times New Roman" w:cs="Times New Roman"/>
          <w:sz w:val="24"/>
          <w:szCs w:val="16"/>
          <w:lang w:val="en-US" w:eastAsia="en-GB" w:bidi="mr-IN"/>
        </w:rPr>
        <w:t xml:space="preserve"> The competent authorities shall initiate the appropriate procedures to review the provisions of Article 13 (Royalties and fees for technical services) after a period of five years from the date of its entry into force. However, if under any Convention or Agreement between India and a third State which is a Member of the OECD, which enters into force after 1-1-1990, India limits its taxation at source on royalties or fees for technical services to a rate lower or a scope more restricted than the rate or scope provided for in this Convention on the said items of incomes, the same rate or scope as provided for in that Convention or Agreement on the said items of income shall also apply under this Convention with effect from the date on which the present Convention comes into force or the relevant Indian Convention or Agreement, whichever enters into force later.</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8.</w:t>
      </w:r>
      <w:r w:rsidRPr="00EA1735">
        <w:rPr>
          <w:rFonts w:ascii="Times New Roman" w:eastAsia="Times New Roman" w:hAnsi="Times New Roman" w:cs="Times New Roman"/>
          <w:sz w:val="24"/>
          <w:szCs w:val="16"/>
          <w:lang w:val="en-US" w:eastAsia="en-GB" w:bidi="mr-IN"/>
        </w:rPr>
        <w:t xml:space="preserve"> In respect of paragraph 2 of Article 26 (Non-discrimination), it is understood that the provision of this paragraph shall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State, nor as being in conflict with the provisions of paragraph 3 of Article 7 (Business Profits) of this Convention. It is also understood that in no case the taxation of a permanent establishment which an enterprise of a Contracting State has in the other Contracting State shall be less favourably levied than the taxation levied on a permanent establishment of an enterprise of a third State carrying on the same activities under a double taxation Convention concluded by the other Contracting State with that third State.</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9.</w:t>
      </w:r>
      <w:r w:rsidRPr="00EA1735">
        <w:rPr>
          <w:rFonts w:ascii="Times New Roman" w:eastAsia="Times New Roman" w:hAnsi="Times New Roman" w:cs="Times New Roman"/>
          <w:sz w:val="24"/>
          <w:szCs w:val="16"/>
          <w:lang w:val="en-US" w:eastAsia="en-GB" w:bidi="mr-IN"/>
        </w:rPr>
        <w:t xml:space="preserve"> Notwithstanding the provisions of paragraph 4 of Article 26 (Non-discrimination), it is understood that in the case of India, payments by way of interest, royalties and fees for technical services made by an enterprise of India to a resident of Spain, shall not be allowed as a deduction for the purpose of determining the taxable profits of such enterprise unless tax has been paid or deducted at source from such payments under Indian law and in accordance with the provisions of this Convention.</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i/>
          <w:iCs/>
          <w:sz w:val="24"/>
          <w:szCs w:val="16"/>
          <w:lang w:val="en-US" w:eastAsia="en-GB" w:bidi="mr-IN"/>
        </w:rPr>
        <w:t>10.</w:t>
      </w:r>
      <w:r w:rsidRPr="00EA1735">
        <w:rPr>
          <w:rFonts w:ascii="Times New Roman" w:eastAsia="Times New Roman" w:hAnsi="Times New Roman" w:cs="Times New Roman"/>
          <w:sz w:val="24"/>
          <w:szCs w:val="16"/>
          <w:lang w:val="en-US" w:eastAsia="en-GB" w:bidi="mr-IN"/>
        </w:rPr>
        <w:t xml:space="preserve"> For the purposes of this Convention, it is understood that the term “taxable year” in the case of India shall mean the “previous year” as defined in the Income-tax Act, 1961.</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In witness whereof</w:t>
      </w:r>
      <w:r w:rsidRPr="00EA1735">
        <w:rPr>
          <w:rFonts w:ascii="Times New Roman" w:eastAsia="Times New Roman" w:hAnsi="Times New Roman" w:cs="Times New Roman"/>
          <w:sz w:val="24"/>
          <w:szCs w:val="16"/>
          <w:lang w:val="en-US" w:eastAsia="en-GB" w:bidi="mr-IN"/>
        </w:rPr>
        <w:t xml:space="preserve"> the undersigned, being duly authorised thereto, have signed the present Protocol.</w:t>
      </w:r>
    </w:p>
    <w:p w:rsidR="00EA1735" w:rsidRPr="00EA1735" w:rsidRDefault="00EA1735" w:rsidP="00EA1735">
      <w:pPr>
        <w:adjustRightInd w:val="0"/>
        <w:spacing w:after="60" w:line="240" w:lineRule="auto"/>
        <w:jc w:val="both"/>
        <w:rPr>
          <w:rFonts w:ascii="Times New Roman" w:eastAsia="Times New Roman" w:hAnsi="Times New Roman" w:cs="Times New Roman"/>
          <w:sz w:val="24"/>
          <w:szCs w:val="16"/>
          <w:lang w:val="en-US" w:eastAsia="en-GB" w:bidi="mr-IN"/>
        </w:rPr>
      </w:pPr>
      <w:r w:rsidRPr="00EA1735">
        <w:rPr>
          <w:rFonts w:ascii="Times New Roman" w:eastAsia="Times New Roman" w:hAnsi="Times New Roman" w:cs="Times New Roman"/>
          <w:caps/>
          <w:sz w:val="24"/>
          <w:szCs w:val="14"/>
          <w:lang w:val="en-US" w:eastAsia="en-GB" w:bidi="mr-IN"/>
        </w:rPr>
        <w:t>Done</w:t>
      </w:r>
      <w:r w:rsidRPr="00EA1735">
        <w:rPr>
          <w:rFonts w:ascii="Times New Roman" w:eastAsia="Times New Roman" w:hAnsi="Times New Roman" w:cs="Times New Roman"/>
          <w:sz w:val="24"/>
          <w:szCs w:val="16"/>
          <w:lang w:val="en-US" w:eastAsia="en-GB" w:bidi="mr-IN"/>
        </w:rPr>
        <w:t xml:space="preserve"> in duplicate at New Delhi this 8th day of February, one thousand nine hundred and ninety-three in the Hindi, Spanish and English languages, all the texts being equally authentic. In case of divergence between any of the texts, the English text shall be the operative one.</w:t>
      </w:r>
    </w:p>
    <w:tbl>
      <w:tblPr>
        <w:tblW w:w="5000" w:type="pct"/>
        <w:jc w:val="center"/>
        <w:tblLook w:val="04A0"/>
      </w:tblPr>
      <w:tblGrid>
        <w:gridCol w:w="6512"/>
        <w:gridCol w:w="2730"/>
      </w:tblGrid>
      <w:tr w:rsidR="00EA1735" w:rsidRPr="00EA1735" w:rsidTr="00EA1735">
        <w:trPr>
          <w:jc w:val="center"/>
        </w:trPr>
        <w:tc>
          <w:tcPr>
            <w:tcW w:w="3523" w:type="pct"/>
            <w:hideMark/>
          </w:tcPr>
          <w:p w:rsidR="00EA1735" w:rsidRPr="00EA1735" w:rsidRDefault="00EA1735" w:rsidP="00EA1735">
            <w:pPr>
              <w:adjustRightInd w:val="0"/>
              <w:spacing w:after="80" w:line="240" w:lineRule="auto"/>
              <w:jc w:val="both"/>
              <w:rPr>
                <w:rFonts w:ascii="Times New Roman" w:eastAsia="Times New Roman" w:hAnsi="Times New Roman" w:cs="Times New Roman"/>
                <w:i/>
                <w:iCs/>
                <w:sz w:val="24"/>
                <w:szCs w:val="16"/>
                <w:lang w:eastAsia="en-GB" w:bidi="mr-IN"/>
              </w:rPr>
            </w:pPr>
            <w:r w:rsidRPr="00EA1735">
              <w:rPr>
                <w:rFonts w:ascii="Times New Roman" w:eastAsia="Times New Roman" w:hAnsi="Times New Roman" w:cs="Times New Roman"/>
                <w:i/>
                <w:iCs/>
                <w:sz w:val="24"/>
                <w:szCs w:val="16"/>
                <w:lang w:eastAsia="en-GB" w:bidi="mr-IN"/>
              </w:rPr>
              <w:t>For the Government of the</w:t>
            </w:r>
          </w:p>
        </w:tc>
        <w:tc>
          <w:tcPr>
            <w:tcW w:w="1477" w:type="pct"/>
            <w:hideMark/>
          </w:tcPr>
          <w:p w:rsidR="00EA1735" w:rsidRPr="00EA1735" w:rsidRDefault="00EA1735" w:rsidP="00EA1735">
            <w:pPr>
              <w:adjustRightInd w:val="0"/>
              <w:spacing w:after="80" w:line="240" w:lineRule="auto"/>
              <w:jc w:val="both"/>
              <w:rPr>
                <w:rFonts w:ascii="Times New Roman" w:eastAsia="Times New Roman" w:hAnsi="Times New Roman" w:cs="Times New Roman"/>
                <w:i/>
                <w:iCs/>
                <w:sz w:val="24"/>
                <w:szCs w:val="16"/>
                <w:lang w:eastAsia="en-GB" w:bidi="mr-IN"/>
              </w:rPr>
            </w:pPr>
            <w:r w:rsidRPr="00EA1735">
              <w:rPr>
                <w:rFonts w:ascii="Times New Roman" w:eastAsia="Times New Roman" w:hAnsi="Times New Roman" w:cs="Times New Roman"/>
                <w:i/>
                <w:iCs/>
                <w:sz w:val="24"/>
                <w:szCs w:val="16"/>
                <w:lang w:eastAsia="en-GB" w:bidi="mr-IN"/>
              </w:rPr>
              <w:t>For the Government of the</w:t>
            </w:r>
          </w:p>
        </w:tc>
      </w:tr>
      <w:tr w:rsidR="00EA1735" w:rsidRPr="00EA1735" w:rsidTr="00EA1735">
        <w:trPr>
          <w:jc w:val="center"/>
        </w:trPr>
        <w:tc>
          <w:tcPr>
            <w:tcW w:w="3523" w:type="pct"/>
            <w:hideMark/>
          </w:tcPr>
          <w:p w:rsidR="00EA1735" w:rsidRPr="00EA1735" w:rsidRDefault="00EA1735" w:rsidP="00EA1735">
            <w:pPr>
              <w:adjustRightInd w:val="0"/>
              <w:spacing w:after="80" w:line="240" w:lineRule="auto"/>
              <w:jc w:val="both"/>
              <w:rPr>
                <w:rFonts w:ascii="Times New Roman" w:eastAsia="Times New Roman" w:hAnsi="Times New Roman" w:cs="Times New Roman"/>
                <w:i/>
                <w:iCs/>
                <w:sz w:val="24"/>
                <w:szCs w:val="16"/>
                <w:lang w:eastAsia="en-GB" w:bidi="mr-IN"/>
              </w:rPr>
            </w:pPr>
            <w:r w:rsidRPr="00EA1735">
              <w:rPr>
                <w:rFonts w:ascii="Times New Roman" w:eastAsia="Times New Roman" w:hAnsi="Times New Roman" w:cs="Times New Roman"/>
                <w:i/>
                <w:iCs/>
                <w:sz w:val="24"/>
                <w:szCs w:val="16"/>
                <w:lang w:eastAsia="en-GB" w:bidi="mr-IN"/>
              </w:rPr>
              <w:t>Republic of India</w:t>
            </w:r>
          </w:p>
        </w:tc>
        <w:tc>
          <w:tcPr>
            <w:tcW w:w="1477" w:type="pct"/>
            <w:hideMark/>
          </w:tcPr>
          <w:p w:rsidR="00EA1735" w:rsidRPr="00EA1735" w:rsidRDefault="00EA1735" w:rsidP="00EA1735">
            <w:pPr>
              <w:adjustRightInd w:val="0"/>
              <w:spacing w:after="80" w:line="240" w:lineRule="auto"/>
              <w:jc w:val="both"/>
              <w:rPr>
                <w:rFonts w:ascii="Times New Roman" w:eastAsia="Times New Roman" w:hAnsi="Times New Roman" w:cs="Times New Roman"/>
                <w:b/>
                <w:bCs/>
                <w:sz w:val="24"/>
                <w:szCs w:val="16"/>
                <w:lang w:eastAsia="en-GB" w:bidi="mr-IN"/>
              </w:rPr>
            </w:pPr>
            <w:r w:rsidRPr="00EA1735">
              <w:rPr>
                <w:rFonts w:ascii="Times New Roman" w:eastAsia="Times New Roman" w:hAnsi="Times New Roman" w:cs="Times New Roman"/>
                <w:i/>
                <w:iCs/>
                <w:sz w:val="24"/>
                <w:szCs w:val="16"/>
                <w:lang w:eastAsia="en-GB" w:bidi="mr-IN"/>
              </w:rPr>
              <w:t>Kingdom of Spain</w:t>
            </w:r>
          </w:p>
        </w:tc>
      </w:tr>
    </w:tbl>
    <w:p w:rsidR="00EA1735" w:rsidRPr="00EA1735" w:rsidRDefault="00EA1735" w:rsidP="00EA1735">
      <w:pPr>
        <w:tabs>
          <w:tab w:val="left" w:pos="4320"/>
        </w:tabs>
        <w:adjustRightInd w:val="0"/>
        <w:spacing w:after="60" w:line="240" w:lineRule="auto"/>
        <w:jc w:val="both"/>
        <w:rPr>
          <w:rFonts w:ascii="Times New Roman" w:eastAsia="Times New Roman" w:hAnsi="Times New Roman" w:cs="Times New Roman"/>
          <w:b/>
          <w:bCs/>
          <w:sz w:val="24"/>
          <w:szCs w:val="16"/>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A1735"/>
    <w:rsid w:val="005A3840"/>
    <w:rsid w:val="00824899"/>
    <w:rsid w:val="00EA1735"/>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620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8604</Words>
  <Characters>49049</Characters>
  <Application>Microsoft Office Word</Application>
  <DocSecurity>0</DocSecurity>
  <Lines>408</Lines>
  <Paragraphs>115</Paragraphs>
  <ScaleCrop>false</ScaleCrop>
  <Company/>
  <LinksUpToDate>false</LinksUpToDate>
  <CharactersWithSpaces>57538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2010-07-16T17:56:00Z</dcterms:created>
  <dcterms:modified xsi:type="dcterms:W3CDTF">2010-07-16T17:56:00Z</dcterms:modified>
</cp:coreProperties>
</file>