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C80" w:rsidRDefault="00190C80" w:rsidP="00190C80">
      <w:pPr>
        <w:pBdr>
          <w:bottom w:val="single" w:sz="6" w:space="1" w:color="auto"/>
        </w:pBdr>
        <w:tabs>
          <w:tab w:val="left" w:pos="1725"/>
        </w:tabs>
      </w:pPr>
    </w:p>
    <w:p w:rsidR="00190C80" w:rsidRDefault="00190C80" w:rsidP="00190C80">
      <w:pPr>
        <w:tabs>
          <w:tab w:val="left" w:pos="1725"/>
        </w:tabs>
      </w:pPr>
    </w:p>
    <w:p w:rsidR="0036038C" w:rsidRDefault="00D27556" w:rsidP="00190C80">
      <w:pPr>
        <w:jc w:val="center"/>
        <w:rPr>
          <w:b/>
          <w:sz w:val="40"/>
          <w:szCs w:val="40"/>
          <w:u w:val="single"/>
        </w:rPr>
      </w:pPr>
      <w:r w:rsidRPr="00D27556">
        <w:rPr>
          <w:b/>
          <w:sz w:val="40"/>
          <w:szCs w:val="40"/>
          <w:u w:val="single"/>
        </w:rPr>
        <w:t>REVISED DIRECT TAX CODE</w:t>
      </w:r>
    </w:p>
    <w:p w:rsidR="00D27556" w:rsidRDefault="00D27556" w:rsidP="00D27556">
      <w:pPr>
        <w:rPr>
          <w:b/>
          <w:sz w:val="28"/>
          <w:szCs w:val="28"/>
          <w:u w:val="single"/>
        </w:rPr>
      </w:pPr>
    </w:p>
    <w:p w:rsidR="00D27556" w:rsidRPr="003A32C0" w:rsidRDefault="00D27556" w:rsidP="00D27556">
      <w:pPr>
        <w:rPr>
          <w:sz w:val="28"/>
          <w:szCs w:val="28"/>
        </w:rPr>
      </w:pPr>
      <w:r w:rsidRPr="003A32C0">
        <w:rPr>
          <w:sz w:val="28"/>
          <w:szCs w:val="28"/>
        </w:rPr>
        <w:t xml:space="preserve">The draft Direct Taxes Code (DTC) along with a Discussion Paper was released in August, 2009 has received a number of comments from various stakeholders. Considering the various inputs certain changes have been proposed to be made in the original Direct Tax Code. There are all together </w:t>
      </w:r>
      <w:r w:rsidRPr="00BF07E8">
        <w:rPr>
          <w:sz w:val="28"/>
          <w:szCs w:val="28"/>
          <w:u w:val="single"/>
        </w:rPr>
        <w:t>11 points</w:t>
      </w:r>
      <w:r w:rsidRPr="003A32C0">
        <w:rPr>
          <w:sz w:val="28"/>
          <w:szCs w:val="28"/>
        </w:rPr>
        <w:t xml:space="preserve"> in this respect.</w:t>
      </w:r>
      <w:r w:rsidR="00EE49DA">
        <w:rPr>
          <w:sz w:val="28"/>
          <w:szCs w:val="28"/>
        </w:rPr>
        <w:t xml:space="preserve"> This article will highlight the changes and reasons behind those changes.</w:t>
      </w:r>
      <w:r w:rsidRPr="003A32C0">
        <w:rPr>
          <w:sz w:val="28"/>
          <w:szCs w:val="28"/>
        </w:rPr>
        <w:t xml:space="preserve"> These </w:t>
      </w:r>
      <w:r w:rsidR="00EE49DA">
        <w:rPr>
          <w:sz w:val="28"/>
          <w:szCs w:val="28"/>
        </w:rPr>
        <w:t xml:space="preserve">revisions </w:t>
      </w:r>
      <w:r w:rsidRPr="003A32C0">
        <w:rPr>
          <w:sz w:val="28"/>
          <w:szCs w:val="28"/>
        </w:rPr>
        <w:t>are following:-</w:t>
      </w:r>
    </w:p>
    <w:p w:rsidR="00D27556" w:rsidRPr="005F3B84" w:rsidRDefault="00D27556" w:rsidP="00D27556">
      <w:pPr>
        <w:rPr>
          <w:sz w:val="11"/>
          <w:szCs w:val="11"/>
        </w:rPr>
      </w:pPr>
    </w:p>
    <w:p w:rsidR="00D27556" w:rsidRPr="00085E6F" w:rsidRDefault="003A32C0" w:rsidP="003A32C0">
      <w:pPr>
        <w:pStyle w:val="ListParagraph"/>
        <w:numPr>
          <w:ilvl w:val="0"/>
          <w:numId w:val="1"/>
        </w:numPr>
        <w:rPr>
          <w:b/>
          <w:sz w:val="28"/>
          <w:szCs w:val="28"/>
          <w:u w:val="single"/>
        </w:rPr>
      </w:pPr>
      <w:r w:rsidRPr="00085E6F">
        <w:rPr>
          <w:b/>
          <w:sz w:val="28"/>
          <w:szCs w:val="28"/>
          <w:u w:val="single"/>
        </w:rPr>
        <w:t>Minimum Alternate Ta</w:t>
      </w:r>
      <w:r w:rsidR="00187EF6" w:rsidRPr="00085E6F">
        <w:rPr>
          <w:b/>
          <w:sz w:val="28"/>
          <w:szCs w:val="28"/>
          <w:u w:val="single"/>
        </w:rPr>
        <w:t>x (MAT) - Gross assets v/s</w:t>
      </w:r>
      <w:r w:rsidRPr="00085E6F">
        <w:rPr>
          <w:b/>
          <w:sz w:val="28"/>
          <w:szCs w:val="28"/>
          <w:u w:val="single"/>
        </w:rPr>
        <w:t xml:space="preserve"> book profit</w:t>
      </w:r>
    </w:p>
    <w:p w:rsidR="000C2AAA" w:rsidRPr="005F3B84" w:rsidRDefault="000C2AAA" w:rsidP="003A32C0">
      <w:pPr>
        <w:rPr>
          <w:sz w:val="11"/>
          <w:szCs w:val="11"/>
          <w:u w:val="single"/>
        </w:rPr>
      </w:pPr>
    </w:p>
    <w:p w:rsidR="000A0B45" w:rsidRPr="00E86D3A" w:rsidRDefault="00E86D3A" w:rsidP="003A32C0">
      <w:pPr>
        <w:rPr>
          <w:sz w:val="28"/>
          <w:szCs w:val="28"/>
          <w:u w:val="single"/>
        </w:rPr>
      </w:pPr>
      <w:r w:rsidRPr="00E86D3A">
        <w:rPr>
          <w:sz w:val="28"/>
          <w:szCs w:val="28"/>
          <w:u w:val="single"/>
        </w:rPr>
        <w:t>Original proposals in the DTC</w:t>
      </w:r>
    </w:p>
    <w:p w:rsidR="000A0B45" w:rsidRDefault="000A0B45" w:rsidP="003A32C0">
      <w:pPr>
        <w:rPr>
          <w:sz w:val="28"/>
          <w:szCs w:val="28"/>
          <w:u w:val="single"/>
        </w:rPr>
      </w:pPr>
      <w:r w:rsidRPr="000A0B45">
        <w:rPr>
          <w:sz w:val="28"/>
          <w:szCs w:val="28"/>
        </w:rPr>
        <w:t>The DTC has proposed a Minimum Alternate Tax (MAT) on companies calculated with reference to the "value of gross assets". The view of government in this respect was that investors can expect ex-ante to earn a specified average rate of return on their assets; hence it provides an incentive for efficiency. Further "value of gross assets" will be the aggregate of the value of gross block of fixed assets of the company, the value of capital works in progress of the company, the book value of all other assets of the company, as on the last day of the relevant financial year, as reduced by the accumulated depreciation on the value of the gross block of the fixed assets and the debit balance of the profit and loss account if included in the book value of other assets. The rate of MAT will be 0.25 per cent of the value of gross assets in the case of banking companies and 2 per cent of the value of gross assets in the case of all other companies. The MAT will be a final tax. Hence, it will not be allowed to be carried forward for claiming tax credit in subsequent years.</w:t>
      </w:r>
    </w:p>
    <w:p w:rsidR="000C2AAA" w:rsidRPr="005F3B84" w:rsidRDefault="000C2AAA" w:rsidP="003A32C0">
      <w:pPr>
        <w:rPr>
          <w:sz w:val="11"/>
          <w:szCs w:val="11"/>
          <w:u w:val="single"/>
        </w:rPr>
      </w:pPr>
    </w:p>
    <w:p w:rsidR="000A0B45" w:rsidRDefault="00E86D3A" w:rsidP="003A32C0">
      <w:pPr>
        <w:rPr>
          <w:sz w:val="28"/>
          <w:szCs w:val="28"/>
          <w:u w:val="single"/>
        </w:rPr>
      </w:pPr>
      <w:r>
        <w:rPr>
          <w:sz w:val="28"/>
          <w:szCs w:val="28"/>
          <w:u w:val="single"/>
        </w:rPr>
        <w:t>Issues raised</w:t>
      </w:r>
    </w:p>
    <w:p w:rsidR="000A0B45" w:rsidRDefault="000A0B45" w:rsidP="003A32C0">
      <w:pPr>
        <w:rPr>
          <w:sz w:val="28"/>
          <w:szCs w:val="28"/>
        </w:rPr>
      </w:pPr>
      <w:r>
        <w:rPr>
          <w:sz w:val="28"/>
          <w:szCs w:val="28"/>
        </w:rPr>
        <w:t xml:space="preserve">The above view has been criticized </w:t>
      </w:r>
      <w:r w:rsidR="00F67E23">
        <w:rPr>
          <w:sz w:val="28"/>
          <w:szCs w:val="28"/>
        </w:rPr>
        <w:t>on the following grounds-</w:t>
      </w:r>
    </w:p>
    <w:p w:rsidR="009B7EA7" w:rsidRPr="005F3B84" w:rsidRDefault="009B7EA7" w:rsidP="009B7EA7">
      <w:pPr>
        <w:rPr>
          <w:sz w:val="11"/>
          <w:szCs w:val="11"/>
        </w:rPr>
      </w:pPr>
    </w:p>
    <w:p w:rsidR="00F67E23" w:rsidRPr="009B7EA7" w:rsidRDefault="00F67E23" w:rsidP="009B7EA7">
      <w:pPr>
        <w:pStyle w:val="ListParagraph"/>
        <w:numPr>
          <w:ilvl w:val="0"/>
          <w:numId w:val="2"/>
        </w:numPr>
        <w:rPr>
          <w:sz w:val="28"/>
          <w:szCs w:val="28"/>
        </w:rPr>
      </w:pPr>
      <w:r w:rsidRPr="009B7EA7">
        <w:rPr>
          <w:sz w:val="28"/>
          <w:szCs w:val="28"/>
        </w:rPr>
        <w:t xml:space="preserve">Computation of MAT with reference to gross value of assets will require all companies to pay tax even if they are </w:t>
      </w:r>
      <w:r w:rsidRPr="00067C56">
        <w:rPr>
          <w:i/>
          <w:sz w:val="28"/>
          <w:szCs w:val="28"/>
        </w:rPr>
        <w:t>loss making companies</w:t>
      </w:r>
      <w:r w:rsidRPr="009B7EA7">
        <w:rPr>
          <w:sz w:val="28"/>
          <w:szCs w:val="28"/>
        </w:rPr>
        <w:t xml:space="preserve"> or operating in a cyclical downturn. An asset based MAT does not have a proximate linkage with a particular year's income or turnover. An asset based MAT on loss making companies would result in significant hardship since they would not have the resources to pay the tax. Income tax should be on real income and any method for presuming income should also be reasonable enough to come closer to the real income.</w:t>
      </w:r>
    </w:p>
    <w:p w:rsidR="009B7EA7" w:rsidRPr="00F030EC" w:rsidRDefault="009B7EA7" w:rsidP="00F030EC">
      <w:pPr>
        <w:pStyle w:val="ListParagraph"/>
        <w:numPr>
          <w:ilvl w:val="0"/>
          <w:numId w:val="2"/>
        </w:numPr>
        <w:rPr>
          <w:sz w:val="28"/>
          <w:szCs w:val="28"/>
        </w:rPr>
      </w:pPr>
      <w:r w:rsidRPr="00F030EC">
        <w:rPr>
          <w:sz w:val="28"/>
          <w:szCs w:val="28"/>
        </w:rPr>
        <w:t xml:space="preserve">Secondly, the return on assets is one of the indicators for evaluating the performance of companies. However, it is not reasonable to apply this for </w:t>
      </w:r>
      <w:r w:rsidRPr="00F030EC">
        <w:rPr>
          <w:i/>
          <w:sz w:val="28"/>
          <w:szCs w:val="28"/>
        </w:rPr>
        <w:t>newly set up infrastructure companies</w:t>
      </w:r>
      <w:r w:rsidRPr="00F030EC">
        <w:rPr>
          <w:sz w:val="28"/>
          <w:szCs w:val="28"/>
        </w:rPr>
        <w:t xml:space="preserve"> which have long gestation periods. Since the proposed MAT regime does not provide any exemption for gestation period, investment costs in new businesses will be higher on account of the MAT when compared to old businesses which already have a depreciated asset base. Similarly, for companies undergoing major expansion resulting </w:t>
      </w:r>
      <w:r w:rsidRPr="00F030EC">
        <w:rPr>
          <w:sz w:val="28"/>
          <w:szCs w:val="28"/>
        </w:rPr>
        <w:lastRenderedPageBreak/>
        <w:t>in the value of assets being much higher, the MAT may be much greater than the income tax liability.</w:t>
      </w:r>
    </w:p>
    <w:p w:rsidR="000A0B45" w:rsidRPr="005F3B84" w:rsidRDefault="000A0B45" w:rsidP="003A32C0">
      <w:pPr>
        <w:rPr>
          <w:sz w:val="11"/>
          <w:szCs w:val="11"/>
          <w:u w:val="single"/>
        </w:rPr>
      </w:pPr>
    </w:p>
    <w:p w:rsidR="003A32C0" w:rsidRPr="00E5757F" w:rsidRDefault="009B7EA7" w:rsidP="009B7EA7">
      <w:pPr>
        <w:pStyle w:val="ListParagraph"/>
        <w:numPr>
          <w:ilvl w:val="0"/>
          <w:numId w:val="2"/>
        </w:numPr>
        <w:rPr>
          <w:sz w:val="28"/>
          <w:szCs w:val="28"/>
        </w:rPr>
      </w:pPr>
      <w:r w:rsidRPr="00E5757F">
        <w:rPr>
          <w:sz w:val="28"/>
          <w:szCs w:val="28"/>
        </w:rPr>
        <w:t>Assuming the same net income as a percentage of gross assets for all taxpayers is not practical as this would vary depending on the industry concerned, the degree of integration of the particular enterprise, and the type of product or service provided.</w:t>
      </w:r>
    </w:p>
    <w:p w:rsidR="009B7EA7" w:rsidRPr="005F3B84" w:rsidRDefault="009B7EA7" w:rsidP="009B7EA7">
      <w:pPr>
        <w:pStyle w:val="ListParagraph"/>
        <w:rPr>
          <w:sz w:val="11"/>
          <w:szCs w:val="11"/>
        </w:rPr>
      </w:pPr>
    </w:p>
    <w:p w:rsidR="009B7EA7" w:rsidRPr="00E5757F" w:rsidRDefault="009B7EA7" w:rsidP="009B7EA7">
      <w:pPr>
        <w:pStyle w:val="ListParagraph"/>
        <w:numPr>
          <w:ilvl w:val="0"/>
          <w:numId w:val="2"/>
        </w:numPr>
        <w:rPr>
          <w:sz w:val="28"/>
          <w:szCs w:val="28"/>
        </w:rPr>
      </w:pPr>
      <w:r w:rsidRPr="00E5757F">
        <w:rPr>
          <w:sz w:val="28"/>
          <w:szCs w:val="28"/>
        </w:rPr>
        <w:t xml:space="preserve">The inclusion of </w:t>
      </w:r>
      <w:r w:rsidR="00067C56" w:rsidRPr="00067C56">
        <w:rPr>
          <w:i/>
          <w:sz w:val="28"/>
          <w:szCs w:val="28"/>
        </w:rPr>
        <w:t>“</w:t>
      </w:r>
      <w:r w:rsidRPr="00067C56">
        <w:rPr>
          <w:i/>
          <w:sz w:val="28"/>
          <w:szCs w:val="28"/>
        </w:rPr>
        <w:t>capital works in progress</w:t>
      </w:r>
      <w:r w:rsidR="00067C56" w:rsidRPr="00067C56">
        <w:rPr>
          <w:i/>
          <w:sz w:val="28"/>
          <w:szCs w:val="28"/>
        </w:rPr>
        <w:t>”</w:t>
      </w:r>
      <w:r w:rsidRPr="00E5757F">
        <w:rPr>
          <w:sz w:val="28"/>
          <w:szCs w:val="28"/>
        </w:rPr>
        <w:t xml:space="preserve"> which is not used in the business and does not contribute in revenue generation would distort the asset based tax. Taxation should be based on net worth and not on gross assets.</w:t>
      </w:r>
    </w:p>
    <w:p w:rsidR="00E5757F" w:rsidRPr="005F3B84" w:rsidRDefault="00E5757F" w:rsidP="00E5757F">
      <w:pPr>
        <w:pStyle w:val="ListParagraph"/>
        <w:rPr>
          <w:sz w:val="11"/>
          <w:szCs w:val="11"/>
        </w:rPr>
      </w:pPr>
    </w:p>
    <w:p w:rsidR="00E5757F" w:rsidRPr="00E5757F" w:rsidRDefault="00E5757F" w:rsidP="009B7EA7">
      <w:pPr>
        <w:pStyle w:val="ListParagraph"/>
        <w:numPr>
          <w:ilvl w:val="0"/>
          <w:numId w:val="2"/>
        </w:numPr>
        <w:rPr>
          <w:sz w:val="28"/>
          <w:szCs w:val="28"/>
        </w:rPr>
      </w:pPr>
      <w:r w:rsidRPr="00E5757F">
        <w:rPr>
          <w:sz w:val="28"/>
          <w:szCs w:val="28"/>
        </w:rPr>
        <w:t xml:space="preserve">The proposed MAT does not allow for any </w:t>
      </w:r>
      <w:r w:rsidRPr="00067C56">
        <w:rPr>
          <w:i/>
          <w:sz w:val="28"/>
          <w:szCs w:val="28"/>
        </w:rPr>
        <w:t>carry forward</w:t>
      </w:r>
      <w:r w:rsidRPr="00E5757F">
        <w:rPr>
          <w:sz w:val="28"/>
          <w:szCs w:val="28"/>
        </w:rPr>
        <w:t xml:space="preserve"> which would result in a corporate paying more overall tax in a low profit year without there being any relief against above average profits earned in a subsequent year.</w:t>
      </w:r>
    </w:p>
    <w:p w:rsidR="00E5757F" w:rsidRPr="005F3B84" w:rsidRDefault="00E5757F" w:rsidP="00E5757F">
      <w:pPr>
        <w:pStyle w:val="ListParagraph"/>
        <w:rPr>
          <w:sz w:val="11"/>
          <w:szCs w:val="11"/>
        </w:rPr>
      </w:pPr>
    </w:p>
    <w:p w:rsidR="00E5757F" w:rsidRDefault="00E5757F" w:rsidP="009B7EA7">
      <w:pPr>
        <w:pStyle w:val="ListParagraph"/>
        <w:numPr>
          <w:ilvl w:val="0"/>
          <w:numId w:val="2"/>
        </w:numPr>
        <w:rPr>
          <w:sz w:val="28"/>
          <w:szCs w:val="28"/>
        </w:rPr>
      </w:pPr>
      <w:r w:rsidRPr="00E5757F">
        <w:rPr>
          <w:sz w:val="28"/>
          <w:szCs w:val="28"/>
        </w:rPr>
        <w:t xml:space="preserve">The DTC proposes </w:t>
      </w:r>
      <w:r w:rsidR="00067C56">
        <w:rPr>
          <w:i/>
          <w:sz w:val="28"/>
          <w:szCs w:val="28"/>
        </w:rPr>
        <w:t>“</w:t>
      </w:r>
      <w:r w:rsidRPr="00067C56">
        <w:rPr>
          <w:i/>
          <w:sz w:val="28"/>
          <w:szCs w:val="28"/>
        </w:rPr>
        <w:t>investment linke</w:t>
      </w:r>
      <w:r w:rsidR="00067C56">
        <w:rPr>
          <w:i/>
          <w:sz w:val="28"/>
          <w:szCs w:val="28"/>
        </w:rPr>
        <w:t>d”</w:t>
      </w:r>
      <w:r w:rsidRPr="00E5757F">
        <w:rPr>
          <w:sz w:val="28"/>
          <w:szCs w:val="28"/>
        </w:rPr>
        <w:t xml:space="preserve"> incentives to specified sectors for investment. The application of asset based MAT on companies operating in such sectors contradicts this policy.</w:t>
      </w:r>
    </w:p>
    <w:p w:rsidR="000C2AAA" w:rsidRPr="005F3B84" w:rsidRDefault="000C2AAA" w:rsidP="00E86D3A">
      <w:pPr>
        <w:rPr>
          <w:sz w:val="11"/>
          <w:szCs w:val="11"/>
          <w:u w:val="single"/>
        </w:rPr>
      </w:pPr>
    </w:p>
    <w:p w:rsidR="00125F26" w:rsidRPr="00E86D3A" w:rsidRDefault="00E86D3A" w:rsidP="00E86D3A">
      <w:pPr>
        <w:rPr>
          <w:sz w:val="28"/>
          <w:szCs w:val="28"/>
          <w:u w:val="single"/>
        </w:rPr>
      </w:pPr>
      <w:r w:rsidRPr="00E86D3A">
        <w:rPr>
          <w:sz w:val="28"/>
          <w:szCs w:val="28"/>
          <w:u w:val="single"/>
        </w:rPr>
        <w:t>Revised proposals</w:t>
      </w:r>
    </w:p>
    <w:p w:rsidR="00125F26" w:rsidRDefault="00125F26" w:rsidP="00125F26">
      <w:pPr>
        <w:rPr>
          <w:sz w:val="28"/>
          <w:szCs w:val="28"/>
        </w:rPr>
      </w:pPr>
      <w:r>
        <w:rPr>
          <w:sz w:val="28"/>
          <w:szCs w:val="28"/>
        </w:rPr>
        <w:t>Considering the above critics, it has been proposed that MAT will be computed according to Book Profit rather than gross assets. However, it is not clear that credit will be given for MAT paid or not.</w:t>
      </w:r>
    </w:p>
    <w:p w:rsidR="00125F26" w:rsidRDefault="00125F26" w:rsidP="00125F26">
      <w:pPr>
        <w:rPr>
          <w:sz w:val="28"/>
          <w:szCs w:val="28"/>
        </w:rPr>
      </w:pPr>
    </w:p>
    <w:p w:rsidR="00125F26" w:rsidRDefault="00085E6F" w:rsidP="00085E6F">
      <w:pPr>
        <w:pStyle w:val="Default"/>
        <w:numPr>
          <w:ilvl w:val="0"/>
          <w:numId w:val="1"/>
        </w:numPr>
        <w:rPr>
          <w:b/>
          <w:sz w:val="28"/>
          <w:szCs w:val="28"/>
          <w:u w:val="single"/>
        </w:rPr>
      </w:pPr>
      <w:r w:rsidRPr="00E86D3A">
        <w:rPr>
          <w:b/>
          <w:sz w:val="28"/>
          <w:szCs w:val="28"/>
          <w:u w:val="single"/>
        </w:rPr>
        <w:t>Tax treatment of savings – Exempt Exempt Tax (EET) v/s Exempt Exempt Exempt (EEE) basis</w:t>
      </w:r>
      <w:r w:rsidR="00125F26" w:rsidRPr="00E86D3A">
        <w:rPr>
          <w:b/>
          <w:sz w:val="28"/>
          <w:szCs w:val="28"/>
          <w:u w:val="single"/>
        </w:rPr>
        <w:t xml:space="preserve"> </w:t>
      </w:r>
    </w:p>
    <w:p w:rsidR="000C2AAA" w:rsidRPr="005F3B84" w:rsidRDefault="000C2AAA" w:rsidP="00780FBE">
      <w:pPr>
        <w:rPr>
          <w:sz w:val="11"/>
          <w:szCs w:val="11"/>
          <w:u w:val="single"/>
        </w:rPr>
      </w:pPr>
    </w:p>
    <w:p w:rsidR="00780FBE" w:rsidRPr="00780FBE" w:rsidRDefault="00780FBE" w:rsidP="00780FBE">
      <w:pPr>
        <w:rPr>
          <w:sz w:val="28"/>
          <w:szCs w:val="28"/>
          <w:u w:val="single"/>
        </w:rPr>
      </w:pPr>
      <w:r w:rsidRPr="00780FBE">
        <w:rPr>
          <w:sz w:val="28"/>
          <w:szCs w:val="28"/>
          <w:u w:val="single"/>
        </w:rPr>
        <w:t>Original proposals in the DTC</w:t>
      </w:r>
    </w:p>
    <w:p w:rsidR="00780FBE" w:rsidRDefault="00780FBE" w:rsidP="00780FBE">
      <w:pPr>
        <w:pStyle w:val="ListParagraph"/>
        <w:numPr>
          <w:ilvl w:val="0"/>
          <w:numId w:val="4"/>
        </w:numPr>
        <w:rPr>
          <w:sz w:val="28"/>
          <w:szCs w:val="28"/>
        </w:rPr>
      </w:pPr>
      <w:r w:rsidRPr="00780FBE">
        <w:rPr>
          <w:sz w:val="28"/>
          <w:szCs w:val="28"/>
        </w:rPr>
        <w:t xml:space="preserve">Savings will be dealt with EET method of taxation </w:t>
      </w:r>
      <w:r w:rsidR="00EB6D7D" w:rsidRPr="00780FBE">
        <w:rPr>
          <w:sz w:val="28"/>
          <w:szCs w:val="28"/>
        </w:rPr>
        <w:t>i.e.</w:t>
      </w:r>
      <w:r w:rsidRPr="00780FBE">
        <w:rPr>
          <w:sz w:val="28"/>
          <w:szCs w:val="28"/>
        </w:rPr>
        <w:t xml:space="preserve">, when </w:t>
      </w:r>
      <w:r w:rsidR="00EB6D7D" w:rsidRPr="00780FBE">
        <w:rPr>
          <w:sz w:val="28"/>
          <w:szCs w:val="28"/>
        </w:rPr>
        <w:t>contributions</w:t>
      </w:r>
      <w:r w:rsidRPr="00780FBE">
        <w:rPr>
          <w:sz w:val="28"/>
          <w:szCs w:val="28"/>
        </w:rPr>
        <w:t xml:space="preserve"> will be </w:t>
      </w:r>
      <w:r w:rsidR="00EB6D7D" w:rsidRPr="00780FBE">
        <w:rPr>
          <w:sz w:val="28"/>
          <w:szCs w:val="28"/>
        </w:rPr>
        <w:t>made,</w:t>
      </w:r>
      <w:r w:rsidRPr="00780FBE">
        <w:rPr>
          <w:sz w:val="28"/>
          <w:szCs w:val="28"/>
        </w:rPr>
        <w:t xml:space="preserve"> it will be deductible from the income which represents the first </w:t>
      </w:r>
      <w:r w:rsidR="00EB6D7D" w:rsidRPr="00780FBE">
        <w:rPr>
          <w:sz w:val="28"/>
          <w:szCs w:val="28"/>
        </w:rPr>
        <w:t>E)</w:t>
      </w:r>
      <w:r w:rsidRPr="00780FBE">
        <w:rPr>
          <w:sz w:val="28"/>
          <w:szCs w:val="28"/>
        </w:rPr>
        <w:t xml:space="preserve">; accumulations will be exempt from tax till such time as they remain invested </w:t>
      </w:r>
      <w:r w:rsidR="00EB6D7D" w:rsidRPr="00780FBE">
        <w:rPr>
          <w:sz w:val="28"/>
          <w:szCs w:val="28"/>
        </w:rPr>
        <w:t>(which</w:t>
      </w:r>
      <w:r w:rsidRPr="00780FBE">
        <w:rPr>
          <w:sz w:val="28"/>
          <w:szCs w:val="28"/>
        </w:rPr>
        <w:t xml:space="preserve"> represents the second E</w:t>
      </w:r>
      <w:r w:rsidR="00EB6D7D" w:rsidRPr="00780FBE">
        <w:rPr>
          <w:sz w:val="28"/>
          <w:szCs w:val="28"/>
        </w:rPr>
        <w:t>);</w:t>
      </w:r>
      <w:r w:rsidRPr="00780FBE">
        <w:rPr>
          <w:sz w:val="28"/>
          <w:szCs w:val="28"/>
        </w:rPr>
        <w:t xml:space="preserve"> and all withdrawals at any time are subject to tax at the applicable marginal rate of tax (this represents the ‘T’ under the EET method).</w:t>
      </w:r>
    </w:p>
    <w:p w:rsidR="00780FBE" w:rsidRPr="005F468D" w:rsidRDefault="00780FBE" w:rsidP="00780FBE">
      <w:pPr>
        <w:pStyle w:val="ListParagraph"/>
        <w:numPr>
          <w:ilvl w:val="0"/>
          <w:numId w:val="4"/>
        </w:numPr>
        <w:rPr>
          <w:sz w:val="28"/>
          <w:szCs w:val="28"/>
        </w:rPr>
      </w:pPr>
      <w:r w:rsidRPr="005F468D">
        <w:rPr>
          <w:sz w:val="28"/>
          <w:szCs w:val="28"/>
        </w:rPr>
        <w:t xml:space="preserve">Investor has to </w:t>
      </w:r>
      <w:r w:rsidR="00EB6D7D" w:rsidRPr="005F468D">
        <w:rPr>
          <w:sz w:val="28"/>
          <w:szCs w:val="28"/>
        </w:rPr>
        <w:t>maintain</w:t>
      </w:r>
      <w:r w:rsidRPr="005F468D">
        <w:rPr>
          <w:sz w:val="28"/>
          <w:szCs w:val="28"/>
        </w:rPr>
        <w:t xml:space="preserve"> </w:t>
      </w:r>
      <w:r w:rsidR="00EB6D7D" w:rsidRPr="005F468D">
        <w:rPr>
          <w:sz w:val="28"/>
          <w:szCs w:val="28"/>
        </w:rPr>
        <w:t>an</w:t>
      </w:r>
      <w:r w:rsidRPr="005F468D">
        <w:rPr>
          <w:sz w:val="28"/>
          <w:szCs w:val="28"/>
        </w:rPr>
        <w:t xml:space="preserve"> account with any permitted savings intermediary, during the financial year.</w:t>
      </w:r>
    </w:p>
    <w:p w:rsidR="00780FBE" w:rsidRPr="005F468D" w:rsidRDefault="00780FBE" w:rsidP="00780FBE">
      <w:pPr>
        <w:pStyle w:val="ListParagraph"/>
        <w:numPr>
          <w:ilvl w:val="0"/>
          <w:numId w:val="4"/>
        </w:numPr>
        <w:rPr>
          <w:sz w:val="28"/>
          <w:szCs w:val="28"/>
        </w:rPr>
      </w:pPr>
      <w:r w:rsidRPr="005F468D">
        <w:rPr>
          <w:sz w:val="28"/>
          <w:szCs w:val="28"/>
        </w:rPr>
        <w:t xml:space="preserve">Taxation on EET basis is proposed to be prospective. The DTC provides that the withdrawal of any amount of accumulated balance as on the 31st day of March, 2011 in the account of the individual in a Government Provident Fund (GPF), Public Provident Fund (PPF), </w:t>
      </w:r>
      <w:r w:rsidR="00EB6D7D" w:rsidRPr="005F468D">
        <w:rPr>
          <w:sz w:val="28"/>
          <w:szCs w:val="28"/>
        </w:rPr>
        <w:t>Recognized</w:t>
      </w:r>
      <w:r w:rsidRPr="005F468D">
        <w:rPr>
          <w:sz w:val="28"/>
          <w:szCs w:val="28"/>
        </w:rPr>
        <w:t xml:space="preserve"> Provident Funds (RPFs) and the Employees Provident Fund (EPF) will not be subject to tax. Therefore, only new contributions as well as accretions on or after the commencement of the DTC, will be subject to the EET method of taxation.</w:t>
      </w:r>
    </w:p>
    <w:p w:rsidR="000C2AAA" w:rsidRPr="005F3B84" w:rsidRDefault="000C2AAA" w:rsidP="005F468D">
      <w:pPr>
        <w:ind w:left="30"/>
        <w:rPr>
          <w:sz w:val="11"/>
          <w:szCs w:val="11"/>
          <w:u w:val="single"/>
        </w:rPr>
      </w:pPr>
    </w:p>
    <w:p w:rsidR="005F468D" w:rsidRPr="005F468D" w:rsidRDefault="005F468D" w:rsidP="005F468D">
      <w:pPr>
        <w:ind w:left="30"/>
        <w:rPr>
          <w:sz w:val="28"/>
          <w:szCs w:val="28"/>
          <w:u w:val="single"/>
        </w:rPr>
      </w:pPr>
      <w:r w:rsidRPr="005F468D">
        <w:rPr>
          <w:sz w:val="28"/>
          <w:szCs w:val="28"/>
          <w:u w:val="single"/>
        </w:rPr>
        <w:t>Issues raised</w:t>
      </w:r>
    </w:p>
    <w:p w:rsidR="005F468D" w:rsidRPr="005F468D" w:rsidRDefault="005F468D" w:rsidP="005F468D">
      <w:pPr>
        <w:ind w:left="30"/>
        <w:rPr>
          <w:sz w:val="28"/>
          <w:szCs w:val="28"/>
          <w:u w:val="single"/>
        </w:rPr>
      </w:pPr>
      <w:r w:rsidRPr="005F468D">
        <w:rPr>
          <w:sz w:val="28"/>
          <w:szCs w:val="28"/>
        </w:rPr>
        <w:lastRenderedPageBreak/>
        <w:t>A large number of representations have been made with regard to the proposed EET system.</w:t>
      </w:r>
      <w:r>
        <w:rPr>
          <w:sz w:val="28"/>
          <w:szCs w:val="28"/>
        </w:rPr>
        <w:t xml:space="preserve"> </w:t>
      </w:r>
      <w:r w:rsidRPr="005F468D">
        <w:rPr>
          <w:sz w:val="28"/>
          <w:szCs w:val="28"/>
        </w:rPr>
        <w:t xml:space="preserve">Stakeholders opines that </w:t>
      </w:r>
      <w:r w:rsidR="001902DA">
        <w:rPr>
          <w:sz w:val="28"/>
          <w:szCs w:val="28"/>
        </w:rPr>
        <w:t>-</w:t>
      </w:r>
    </w:p>
    <w:p w:rsidR="005F468D" w:rsidRPr="005F468D" w:rsidRDefault="005F468D" w:rsidP="005F468D">
      <w:pPr>
        <w:pStyle w:val="ListParagraph"/>
        <w:numPr>
          <w:ilvl w:val="0"/>
          <w:numId w:val="5"/>
        </w:numPr>
        <w:rPr>
          <w:sz w:val="28"/>
          <w:szCs w:val="28"/>
        </w:rPr>
      </w:pPr>
      <w:r>
        <w:rPr>
          <w:sz w:val="28"/>
          <w:szCs w:val="28"/>
        </w:rPr>
        <w:t>M</w:t>
      </w:r>
      <w:r w:rsidRPr="005F468D">
        <w:rPr>
          <w:sz w:val="28"/>
          <w:szCs w:val="28"/>
        </w:rPr>
        <w:t xml:space="preserve">ost countries that follow the EET method of taxation of savings also have a </w:t>
      </w:r>
      <w:r w:rsidRPr="00FE0926">
        <w:rPr>
          <w:i/>
          <w:sz w:val="28"/>
          <w:szCs w:val="28"/>
        </w:rPr>
        <w:t>social security system</w:t>
      </w:r>
      <w:r w:rsidRPr="005F468D">
        <w:rPr>
          <w:sz w:val="28"/>
          <w:szCs w:val="28"/>
        </w:rPr>
        <w:t xml:space="preserve"> in place for all their citizens. The EET savings accounts which operate for individuals in these countries are over and above the mandatory social service payments received by them. It has been represented that in India, in the absence of a universal social security system, the proposed EET method of taxation of permitted savings would be harsh.</w:t>
      </w:r>
    </w:p>
    <w:p w:rsidR="005F468D" w:rsidRPr="00FE0926" w:rsidRDefault="005F468D" w:rsidP="005F468D">
      <w:pPr>
        <w:pStyle w:val="ListParagraph"/>
        <w:numPr>
          <w:ilvl w:val="0"/>
          <w:numId w:val="5"/>
        </w:numPr>
        <w:rPr>
          <w:i/>
          <w:sz w:val="28"/>
          <w:szCs w:val="28"/>
        </w:rPr>
      </w:pPr>
      <w:r w:rsidRPr="005F468D">
        <w:rPr>
          <w:sz w:val="28"/>
          <w:szCs w:val="28"/>
        </w:rPr>
        <w:t xml:space="preserve">Tax payers require some flexibility in making withdrawals in lump sum without being subjected to tax. People may need lump sum funds on retirement for various </w:t>
      </w:r>
      <w:r w:rsidRPr="00FE0926">
        <w:rPr>
          <w:i/>
          <w:sz w:val="28"/>
          <w:szCs w:val="28"/>
        </w:rPr>
        <w:t>family obligations.</w:t>
      </w:r>
    </w:p>
    <w:p w:rsidR="000C2AAA" w:rsidRPr="005F3B84" w:rsidRDefault="000C2AAA" w:rsidP="005F468D">
      <w:pPr>
        <w:ind w:left="30"/>
        <w:rPr>
          <w:sz w:val="11"/>
          <w:szCs w:val="11"/>
          <w:u w:val="single"/>
        </w:rPr>
      </w:pPr>
    </w:p>
    <w:p w:rsidR="005F468D" w:rsidRPr="005F468D" w:rsidRDefault="005F468D" w:rsidP="005F468D">
      <w:pPr>
        <w:ind w:left="30"/>
        <w:rPr>
          <w:sz w:val="28"/>
          <w:szCs w:val="28"/>
          <w:u w:val="single"/>
        </w:rPr>
      </w:pPr>
      <w:r w:rsidRPr="005F468D">
        <w:rPr>
          <w:sz w:val="28"/>
          <w:szCs w:val="28"/>
          <w:u w:val="single"/>
        </w:rPr>
        <w:t>Revised proposals</w:t>
      </w:r>
    </w:p>
    <w:p w:rsidR="00780FBE" w:rsidRDefault="005F468D" w:rsidP="005F468D">
      <w:pPr>
        <w:rPr>
          <w:sz w:val="28"/>
          <w:szCs w:val="28"/>
          <w:u w:val="single"/>
        </w:rPr>
      </w:pPr>
      <w:r w:rsidRPr="005F468D">
        <w:rPr>
          <w:sz w:val="28"/>
          <w:szCs w:val="28"/>
        </w:rPr>
        <w:t xml:space="preserve">As of now, it is proposed to provide the EEE method of taxation for Government Provident Fund (GPF), Public Provident Fund (PPF) and </w:t>
      </w:r>
      <w:r w:rsidR="00EB6D7D" w:rsidRPr="005F468D">
        <w:rPr>
          <w:sz w:val="28"/>
          <w:szCs w:val="28"/>
        </w:rPr>
        <w:t>Recognized</w:t>
      </w:r>
      <w:r w:rsidRPr="005F468D">
        <w:rPr>
          <w:sz w:val="28"/>
          <w:szCs w:val="28"/>
        </w:rPr>
        <w:t xml:space="preserve"> Provident Funds (RPFs) and the pension scheme administered by Pension Fund Regulatory and Development Authority. Approved pure life insurance products and annuity schemes will also be subject to EEE method of tax treatment.</w:t>
      </w:r>
    </w:p>
    <w:p w:rsidR="001902DA" w:rsidRDefault="001902DA" w:rsidP="005F468D">
      <w:pPr>
        <w:rPr>
          <w:sz w:val="28"/>
          <w:szCs w:val="28"/>
          <w:u w:val="single"/>
        </w:rPr>
      </w:pPr>
    </w:p>
    <w:p w:rsidR="001902DA" w:rsidRPr="00662735" w:rsidRDefault="001902DA" w:rsidP="001902DA">
      <w:pPr>
        <w:pStyle w:val="Default"/>
        <w:numPr>
          <w:ilvl w:val="0"/>
          <w:numId w:val="1"/>
        </w:numPr>
        <w:rPr>
          <w:b/>
          <w:sz w:val="28"/>
          <w:szCs w:val="28"/>
          <w:u w:val="single"/>
        </w:rPr>
      </w:pPr>
      <w:r w:rsidRPr="00662735">
        <w:rPr>
          <w:b/>
          <w:sz w:val="28"/>
          <w:szCs w:val="28"/>
          <w:u w:val="single"/>
        </w:rPr>
        <w:t>Taxation of income from employment - Retirement benefits and perquisites</w:t>
      </w:r>
    </w:p>
    <w:p w:rsidR="000C2AAA" w:rsidRPr="005F3B84" w:rsidRDefault="000C2AAA" w:rsidP="001902DA">
      <w:pPr>
        <w:rPr>
          <w:sz w:val="11"/>
          <w:szCs w:val="11"/>
          <w:u w:val="single"/>
        </w:rPr>
      </w:pPr>
    </w:p>
    <w:p w:rsidR="001902DA" w:rsidRDefault="001902DA" w:rsidP="001902DA">
      <w:pPr>
        <w:rPr>
          <w:sz w:val="28"/>
          <w:szCs w:val="28"/>
          <w:u w:val="single"/>
        </w:rPr>
      </w:pPr>
      <w:r w:rsidRPr="001902DA">
        <w:rPr>
          <w:sz w:val="28"/>
          <w:szCs w:val="28"/>
          <w:u w:val="single"/>
        </w:rPr>
        <w:t>Original proposals in the DTC</w:t>
      </w:r>
    </w:p>
    <w:p w:rsidR="001902DA" w:rsidRDefault="00EB6D7D" w:rsidP="003C73FA">
      <w:pPr>
        <w:pStyle w:val="ListParagraph"/>
        <w:numPr>
          <w:ilvl w:val="0"/>
          <w:numId w:val="6"/>
        </w:numPr>
        <w:rPr>
          <w:sz w:val="28"/>
          <w:szCs w:val="28"/>
        </w:rPr>
      </w:pPr>
      <w:r>
        <w:rPr>
          <w:sz w:val="28"/>
          <w:szCs w:val="28"/>
        </w:rPr>
        <w:t>Deductions under EET regime will be allowed if savings are invested in a separate account “retirement benefits account”.</w:t>
      </w:r>
    </w:p>
    <w:p w:rsidR="003C73FA" w:rsidRDefault="003C73FA" w:rsidP="003C73FA">
      <w:pPr>
        <w:pStyle w:val="ListParagraph"/>
        <w:numPr>
          <w:ilvl w:val="0"/>
          <w:numId w:val="6"/>
        </w:numPr>
        <w:rPr>
          <w:sz w:val="28"/>
          <w:szCs w:val="28"/>
        </w:rPr>
      </w:pPr>
      <w:r>
        <w:rPr>
          <w:sz w:val="28"/>
          <w:szCs w:val="28"/>
        </w:rPr>
        <w:t xml:space="preserve">Retirements benefits such as leave salary, annuity, pension, </w:t>
      </w:r>
      <w:r w:rsidR="00EB6D7D">
        <w:rPr>
          <w:sz w:val="28"/>
          <w:szCs w:val="28"/>
        </w:rPr>
        <w:t>and gratuity</w:t>
      </w:r>
      <w:r>
        <w:rPr>
          <w:sz w:val="28"/>
          <w:szCs w:val="28"/>
        </w:rPr>
        <w:t xml:space="preserve"> will be fully taxable.</w:t>
      </w:r>
    </w:p>
    <w:p w:rsidR="003C73FA" w:rsidRDefault="003C73FA" w:rsidP="003C73FA">
      <w:pPr>
        <w:pStyle w:val="ListParagraph"/>
        <w:numPr>
          <w:ilvl w:val="0"/>
          <w:numId w:val="6"/>
        </w:numPr>
        <w:rPr>
          <w:sz w:val="28"/>
          <w:szCs w:val="28"/>
        </w:rPr>
      </w:pPr>
      <w:r>
        <w:rPr>
          <w:sz w:val="28"/>
          <w:szCs w:val="28"/>
        </w:rPr>
        <w:t xml:space="preserve">Medical perquisite will </w:t>
      </w:r>
      <w:r w:rsidR="00EB6D7D">
        <w:rPr>
          <w:sz w:val="28"/>
          <w:szCs w:val="28"/>
        </w:rPr>
        <w:t>also</w:t>
      </w:r>
      <w:r>
        <w:rPr>
          <w:sz w:val="28"/>
          <w:szCs w:val="28"/>
        </w:rPr>
        <w:t xml:space="preserve"> be fully taxable.</w:t>
      </w:r>
    </w:p>
    <w:p w:rsidR="0054516F" w:rsidRDefault="0054516F" w:rsidP="003C73FA">
      <w:pPr>
        <w:rPr>
          <w:sz w:val="28"/>
          <w:szCs w:val="28"/>
          <w:u w:val="single"/>
        </w:rPr>
      </w:pPr>
    </w:p>
    <w:p w:rsidR="003C73FA" w:rsidRPr="003C73FA" w:rsidRDefault="003C73FA" w:rsidP="003C73FA">
      <w:pPr>
        <w:rPr>
          <w:sz w:val="28"/>
          <w:szCs w:val="28"/>
          <w:u w:val="single"/>
        </w:rPr>
      </w:pPr>
      <w:r w:rsidRPr="003C73FA">
        <w:rPr>
          <w:sz w:val="28"/>
          <w:szCs w:val="28"/>
          <w:u w:val="single"/>
        </w:rPr>
        <w:t>Issues raised</w:t>
      </w:r>
    </w:p>
    <w:p w:rsidR="003C73FA" w:rsidRDefault="003C73FA" w:rsidP="003C73FA">
      <w:pPr>
        <w:ind w:left="360"/>
        <w:rPr>
          <w:sz w:val="28"/>
          <w:szCs w:val="28"/>
        </w:rPr>
      </w:pPr>
      <w:r>
        <w:rPr>
          <w:sz w:val="28"/>
          <w:szCs w:val="28"/>
        </w:rPr>
        <w:t xml:space="preserve">As discussed before in the absence of adequate </w:t>
      </w:r>
      <w:r w:rsidRPr="00277FDF">
        <w:rPr>
          <w:i/>
          <w:sz w:val="28"/>
          <w:szCs w:val="28"/>
        </w:rPr>
        <w:t>social security benefits</w:t>
      </w:r>
      <w:r>
        <w:rPr>
          <w:sz w:val="28"/>
          <w:szCs w:val="28"/>
        </w:rPr>
        <w:t xml:space="preserve">, taxation of withdrawals from a Retirement benefit A/c would be harsh. Further maintaining individual Retirement benefit a/c will entail huge costs and will give rise to much litigation.   </w:t>
      </w:r>
    </w:p>
    <w:p w:rsidR="000C2AAA" w:rsidRPr="005F3B84" w:rsidRDefault="000C2AAA" w:rsidP="003C73FA">
      <w:pPr>
        <w:ind w:left="30"/>
        <w:rPr>
          <w:sz w:val="11"/>
          <w:szCs w:val="11"/>
          <w:u w:val="single"/>
        </w:rPr>
      </w:pPr>
    </w:p>
    <w:p w:rsidR="003C73FA" w:rsidRPr="005F468D" w:rsidRDefault="003C73FA" w:rsidP="003C73FA">
      <w:pPr>
        <w:ind w:left="30"/>
        <w:rPr>
          <w:sz w:val="28"/>
          <w:szCs w:val="28"/>
          <w:u w:val="single"/>
        </w:rPr>
      </w:pPr>
      <w:r w:rsidRPr="005F468D">
        <w:rPr>
          <w:sz w:val="28"/>
          <w:szCs w:val="28"/>
          <w:u w:val="single"/>
        </w:rPr>
        <w:t>Revised proposals</w:t>
      </w:r>
    </w:p>
    <w:p w:rsidR="003C73FA" w:rsidRDefault="003C73FA" w:rsidP="003C73FA">
      <w:pPr>
        <w:ind w:left="360"/>
        <w:rPr>
          <w:sz w:val="28"/>
          <w:szCs w:val="28"/>
        </w:rPr>
      </w:pPr>
      <w:r>
        <w:rPr>
          <w:sz w:val="28"/>
          <w:szCs w:val="28"/>
        </w:rPr>
        <w:t>On receipt of carious critics from various stakeholders govt</w:t>
      </w:r>
      <w:r w:rsidR="00EB6D7D">
        <w:rPr>
          <w:sz w:val="28"/>
          <w:szCs w:val="28"/>
        </w:rPr>
        <w:t>.</w:t>
      </w:r>
      <w:r>
        <w:rPr>
          <w:sz w:val="28"/>
          <w:szCs w:val="28"/>
        </w:rPr>
        <w:t xml:space="preserve"> decided to-</w:t>
      </w:r>
    </w:p>
    <w:p w:rsidR="003C73FA" w:rsidRPr="003C73FA" w:rsidRDefault="00EB6D7D" w:rsidP="003C73FA">
      <w:pPr>
        <w:pStyle w:val="ListParagraph"/>
        <w:numPr>
          <w:ilvl w:val="0"/>
          <w:numId w:val="7"/>
        </w:numPr>
        <w:rPr>
          <w:sz w:val="28"/>
          <w:szCs w:val="28"/>
        </w:rPr>
      </w:pPr>
      <w:r>
        <w:rPr>
          <w:sz w:val="28"/>
          <w:szCs w:val="28"/>
        </w:rPr>
        <w:t>Withdraw t</w:t>
      </w:r>
      <w:r w:rsidR="003C73FA" w:rsidRPr="003C73FA">
        <w:rPr>
          <w:sz w:val="28"/>
          <w:szCs w:val="28"/>
        </w:rPr>
        <w:t>he Retirement Benefits Account scheme.</w:t>
      </w:r>
    </w:p>
    <w:p w:rsidR="003C73FA" w:rsidRPr="003C73FA" w:rsidRDefault="003C73FA" w:rsidP="003C73FA">
      <w:pPr>
        <w:pStyle w:val="ListParagraph"/>
        <w:numPr>
          <w:ilvl w:val="0"/>
          <w:numId w:val="7"/>
        </w:numPr>
        <w:rPr>
          <w:sz w:val="28"/>
          <w:szCs w:val="28"/>
        </w:rPr>
      </w:pPr>
      <w:r w:rsidRPr="003C73FA">
        <w:rPr>
          <w:sz w:val="28"/>
          <w:szCs w:val="28"/>
        </w:rPr>
        <w:t xml:space="preserve">Exempt withdrawal </w:t>
      </w:r>
      <w:r w:rsidR="00EB6D7D">
        <w:rPr>
          <w:sz w:val="28"/>
          <w:szCs w:val="28"/>
        </w:rPr>
        <w:t xml:space="preserve">of </w:t>
      </w:r>
      <w:r w:rsidRPr="003C73FA">
        <w:rPr>
          <w:sz w:val="28"/>
          <w:szCs w:val="28"/>
        </w:rPr>
        <w:t>retirement benefits from tax subject to certain limits.</w:t>
      </w:r>
    </w:p>
    <w:p w:rsidR="003C73FA" w:rsidRDefault="003C73FA" w:rsidP="003C73FA">
      <w:pPr>
        <w:pStyle w:val="ListParagraph"/>
        <w:numPr>
          <w:ilvl w:val="0"/>
          <w:numId w:val="7"/>
        </w:numPr>
        <w:rPr>
          <w:sz w:val="28"/>
          <w:szCs w:val="28"/>
        </w:rPr>
      </w:pPr>
      <w:r w:rsidRPr="003C73FA">
        <w:rPr>
          <w:sz w:val="28"/>
          <w:szCs w:val="28"/>
        </w:rPr>
        <w:t xml:space="preserve">Perquisites in relation to medical facilities/reimbursement provided by an employer to its employees shall be valued as per the existing law with appropriate enhancement of monetary limits.   </w:t>
      </w:r>
    </w:p>
    <w:p w:rsidR="003C73FA" w:rsidRDefault="003C73FA" w:rsidP="00701364">
      <w:pPr>
        <w:rPr>
          <w:sz w:val="28"/>
          <w:szCs w:val="28"/>
        </w:rPr>
      </w:pPr>
    </w:p>
    <w:p w:rsidR="00701364" w:rsidRPr="00701364" w:rsidRDefault="00701364" w:rsidP="00701364">
      <w:pPr>
        <w:pStyle w:val="ListParagraph"/>
        <w:numPr>
          <w:ilvl w:val="0"/>
          <w:numId w:val="1"/>
        </w:numPr>
        <w:rPr>
          <w:b/>
          <w:sz w:val="28"/>
          <w:szCs w:val="28"/>
          <w:u w:val="single"/>
        </w:rPr>
      </w:pPr>
      <w:r w:rsidRPr="00701364">
        <w:rPr>
          <w:b/>
          <w:sz w:val="28"/>
          <w:szCs w:val="28"/>
          <w:u w:val="single"/>
        </w:rPr>
        <w:t>Taxation of income from house property.</w:t>
      </w:r>
    </w:p>
    <w:p w:rsidR="00F240E8" w:rsidRPr="00E2417F" w:rsidRDefault="00F240E8" w:rsidP="00F240E8">
      <w:pPr>
        <w:rPr>
          <w:sz w:val="28"/>
          <w:szCs w:val="28"/>
        </w:rPr>
      </w:pPr>
      <w:r w:rsidRPr="00F240E8">
        <w:rPr>
          <w:sz w:val="28"/>
          <w:szCs w:val="28"/>
        </w:rPr>
        <w:lastRenderedPageBreak/>
        <w:t xml:space="preserve">It has been </w:t>
      </w:r>
      <w:r w:rsidR="00E2417F">
        <w:rPr>
          <w:sz w:val="28"/>
          <w:szCs w:val="28"/>
        </w:rPr>
        <w:t xml:space="preserve">originally </w:t>
      </w:r>
      <w:r w:rsidRPr="00F240E8">
        <w:rPr>
          <w:sz w:val="28"/>
          <w:szCs w:val="28"/>
        </w:rPr>
        <w:t xml:space="preserve">proposed that the presumptive rent calculated </w:t>
      </w:r>
      <w:r w:rsidRPr="006B3F5C">
        <w:rPr>
          <w:i/>
          <w:sz w:val="28"/>
          <w:szCs w:val="28"/>
        </w:rPr>
        <w:t>at six per cent per annum</w:t>
      </w:r>
      <w:r w:rsidRPr="00F240E8">
        <w:rPr>
          <w:sz w:val="28"/>
          <w:szCs w:val="28"/>
        </w:rPr>
        <w:t xml:space="preserve"> of the ratable value fixed by the local authority or in a case where no ratable value has been fixed, six per cent shall be calculated with reference to the cost of construction or acquisition of the property, will be applied while calculating gross rent.</w:t>
      </w:r>
      <w:r>
        <w:rPr>
          <w:sz w:val="28"/>
          <w:szCs w:val="28"/>
        </w:rPr>
        <w:t xml:space="preserve"> A large number of propositions have been given against the issue on the ground that </w:t>
      </w:r>
      <w:r w:rsidR="00E2417F">
        <w:rPr>
          <w:sz w:val="28"/>
          <w:szCs w:val="28"/>
        </w:rPr>
        <w:t xml:space="preserve">cost is </w:t>
      </w:r>
      <w:r w:rsidR="00E2417F" w:rsidRPr="00E2417F">
        <w:rPr>
          <w:sz w:val="28"/>
          <w:szCs w:val="28"/>
        </w:rPr>
        <w:t>a function of inflation therefore new owners had to shell out more than old ones. Again the determination of notional rent for computing income from house property has been a cause for much litigation. Hence the govt. decided to withdraw the concept of notional rent.</w:t>
      </w:r>
    </w:p>
    <w:p w:rsidR="00E2417F" w:rsidRDefault="00E2417F" w:rsidP="00F240E8">
      <w:pPr>
        <w:rPr>
          <w:sz w:val="28"/>
          <w:szCs w:val="28"/>
        </w:rPr>
      </w:pPr>
    </w:p>
    <w:p w:rsidR="00E2417F" w:rsidRDefault="00E2417F" w:rsidP="00F240E8">
      <w:pPr>
        <w:rPr>
          <w:sz w:val="28"/>
          <w:szCs w:val="28"/>
        </w:rPr>
      </w:pPr>
      <w:r>
        <w:rPr>
          <w:sz w:val="28"/>
          <w:szCs w:val="28"/>
        </w:rPr>
        <w:t xml:space="preserve">The original DTC also does not provide any incentive for </w:t>
      </w:r>
      <w:r w:rsidRPr="006B3F5C">
        <w:rPr>
          <w:i/>
          <w:sz w:val="28"/>
          <w:szCs w:val="28"/>
        </w:rPr>
        <w:t>deduction of interest paid on capital borrowed</w:t>
      </w:r>
      <w:r>
        <w:rPr>
          <w:sz w:val="28"/>
          <w:szCs w:val="28"/>
        </w:rPr>
        <w:t xml:space="preserve"> for construction or acquisition of self occupied property. Considering the oppositions raised against this aspect it was decided to continue deduction </w:t>
      </w:r>
      <w:r w:rsidR="00EB6D7D">
        <w:rPr>
          <w:sz w:val="28"/>
          <w:szCs w:val="28"/>
        </w:rPr>
        <w:t>up to</w:t>
      </w:r>
      <w:r>
        <w:rPr>
          <w:sz w:val="28"/>
          <w:szCs w:val="28"/>
        </w:rPr>
        <w:t xml:space="preserve"> Rs.1.5 lacs.    </w:t>
      </w:r>
    </w:p>
    <w:p w:rsidR="006B3F5C" w:rsidRDefault="006B3F5C" w:rsidP="008225FA">
      <w:pPr>
        <w:rPr>
          <w:sz w:val="28"/>
          <w:szCs w:val="28"/>
        </w:rPr>
      </w:pPr>
    </w:p>
    <w:p w:rsidR="008225FA" w:rsidRPr="008225FA" w:rsidRDefault="008225FA" w:rsidP="008225FA">
      <w:pPr>
        <w:pStyle w:val="ListParagraph"/>
        <w:numPr>
          <w:ilvl w:val="0"/>
          <w:numId w:val="1"/>
        </w:numPr>
        <w:rPr>
          <w:b/>
          <w:sz w:val="28"/>
          <w:szCs w:val="28"/>
          <w:u w:val="single"/>
        </w:rPr>
      </w:pPr>
      <w:r>
        <w:rPr>
          <w:b/>
          <w:sz w:val="28"/>
          <w:szCs w:val="28"/>
          <w:u w:val="single"/>
        </w:rPr>
        <w:t>Taxation of capital gains</w:t>
      </w:r>
    </w:p>
    <w:p w:rsidR="008225FA" w:rsidRPr="005F3B84" w:rsidRDefault="00F240E8" w:rsidP="006B3F5C">
      <w:pPr>
        <w:rPr>
          <w:sz w:val="11"/>
          <w:szCs w:val="11"/>
        </w:rPr>
      </w:pPr>
      <w:r>
        <w:rPr>
          <w:sz w:val="28"/>
          <w:szCs w:val="28"/>
        </w:rPr>
        <w:t xml:space="preserve"> </w:t>
      </w:r>
      <w:r w:rsidRPr="00F240E8">
        <w:rPr>
          <w:sz w:val="28"/>
          <w:szCs w:val="28"/>
        </w:rPr>
        <w:t xml:space="preserve"> </w:t>
      </w:r>
    </w:p>
    <w:p w:rsidR="006B3F5C" w:rsidRDefault="006B3F5C" w:rsidP="006B3F5C">
      <w:pPr>
        <w:rPr>
          <w:sz w:val="28"/>
          <w:szCs w:val="28"/>
          <w:u w:val="single"/>
        </w:rPr>
      </w:pPr>
      <w:r w:rsidRPr="001902DA">
        <w:rPr>
          <w:sz w:val="28"/>
          <w:szCs w:val="28"/>
          <w:u w:val="single"/>
        </w:rPr>
        <w:t>Original proposals in the DTC</w:t>
      </w:r>
    </w:p>
    <w:p w:rsidR="00701364" w:rsidRDefault="006B3F5C" w:rsidP="006B3F5C">
      <w:pPr>
        <w:pStyle w:val="ListParagraph"/>
        <w:numPr>
          <w:ilvl w:val="0"/>
          <w:numId w:val="8"/>
        </w:numPr>
        <w:rPr>
          <w:sz w:val="28"/>
          <w:szCs w:val="28"/>
        </w:rPr>
      </w:pPr>
      <w:r w:rsidRPr="00277FDF">
        <w:rPr>
          <w:i/>
          <w:sz w:val="28"/>
          <w:szCs w:val="28"/>
        </w:rPr>
        <w:t>No distinction</w:t>
      </w:r>
      <w:r>
        <w:rPr>
          <w:sz w:val="28"/>
          <w:szCs w:val="28"/>
        </w:rPr>
        <w:t xml:space="preserve"> between short term capital gain and long term capital gain.</w:t>
      </w:r>
    </w:p>
    <w:p w:rsidR="006B3F5C" w:rsidRPr="006B3F5C" w:rsidRDefault="006B3F5C" w:rsidP="006B3F5C">
      <w:pPr>
        <w:pStyle w:val="ListParagraph"/>
        <w:numPr>
          <w:ilvl w:val="0"/>
          <w:numId w:val="8"/>
        </w:numPr>
        <w:rPr>
          <w:sz w:val="28"/>
          <w:szCs w:val="28"/>
        </w:rPr>
      </w:pPr>
      <w:r w:rsidRPr="006B3F5C">
        <w:rPr>
          <w:sz w:val="28"/>
          <w:szCs w:val="28"/>
        </w:rPr>
        <w:t xml:space="preserve">The capital gains will be subjected to tax at the rate of </w:t>
      </w:r>
      <w:r w:rsidRPr="00277FDF">
        <w:rPr>
          <w:i/>
          <w:sz w:val="28"/>
          <w:szCs w:val="28"/>
        </w:rPr>
        <w:t>30% in the case of non-residents</w:t>
      </w:r>
      <w:r w:rsidRPr="006B3F5C">
        <w:rPr>
          <w:sz w:val="28"/>
          <w:szCs w:val="28"/>
        </w:rPr>
        <w:t xml:space="preserve"> and in the case of residents at the applicable marginal rate.</w:t>
      </w:r>
    </w:p>
    <w:p w:rsidR="006B3F5C" w:rsidRPr="006B3F5C" w:rsidRDefault="006B3F5C" w:rsidP="006B3F5C">
      <w:pPr>
        <w:pStyle w:val="ListParagraph"/>
        <w:numPr>
          <w:ilvl w:val="0"/>
          <w:numId w:val="8"/>
        </w:numPr>
        <w:rPr>
          <w:sz w:val="28"/>
          <w:szCs w:val="28"/>
        </w:rPr>
      </w:pPr>
      <w:r w:rsidRPr="006B3F5C">
        <w:rPr>
          <w:sz w:val="28"/>
          <w:szCs w:val="28"/>
        </w:rPr>
        <w:t xml:space="preserve"> Abolition of </w:t>
      </w:r>
      <w:r w:rsidRPr="00277FDF">
        <w:rPr>
          <w:i/>
          <w:sz w:val="28"/>
          <w:szCs w:val="28"/>
        </w:rPr>
        <w:t>Securities Transaction Tax.</w:t>
      </w:r>
    </w:p>
    <w:p w:rsidR="008225FA" w:rsidRPr="005F3B84" w:rsidRDefault="008225FA" w:rsidP="006B3F5C">
      <w:pPr>
        <w:rPr>
          <w:sz w:val="11"/>
          <w:szCs w:val="11"/>
          <w:u w:val="single"/>
        </w:rPr>
      </w:pPr>
    </w:p>
    <w:p w:rsidR="006B3F5C" w:rsidRDefault="006B3F5C" w:rsidP="006B3F5C">
      <w:pPr>
        <w:rPr>
          <w:sz w:val="28"/>
          <w:szCs w:val="28"/>
          <w:u w:val="single"/>
        </w:rPr>
      </w:pPr>
      <w:r w:rsidRPr="006B3F5C">
        <w:rPr>
          <w:sz w:val="28"/>
          <w:szCs w:val="28"/>
          <w:u w:val="single"/>
        </w:rPr>
        <w:t xml:space="preserve">Issues </w:t>
      </w:r>
      <w:r w:rsidR="00EB6D7D" w:rsidRPr="006B3F5C">
        <w:rPr>
          <w:sz w:val="28"/>
          <w:szCs w:val="28"/>
          <w:u w:val="single"/>
        </w:rPr>
        <w:t>rose</w:t>
      </w:r>
    </w:p>
    <w:p w:rsidR="006B3F5C" w:rsidRPr="006B3F5C" w:rsidRDefault="006B3F5C" w:rsidP="006B3F5C">
      <w:pPr>
        <w:pStyle w:val="ListParagraph"/>
        <w:numPr>
          <w:ilvl w:val="0"/>
          <w:numId w:val="10"/>
        </w:numPr>
        <w:rPr>
          <w:sz w:val="28"/>
          <w:szCs w:val="28"/>
          <w:u w:val="single"/>
        </w:rPr>
      </w:pPr>
      <w:r w:rsidRPr="006B3F5C">
        <w:rPr>
          <w:sz w:val="28"/>
          <w:szCs w:val="28"/>
        </w:rPr>
        <w:t>Currently, short-term capital gains arising on transfer of listed equity shares or units of equity oriented funds are being taxed at 15% and long term capital gain arising on transfer of such assets is exempt from tax. The withdrawal of this regime will raise the tax liability and may cause fluctuations in the capital market.</w:t>
      </w:r>
    </w:p>
    <w:p w:rsidR="006B3F5C" w:rsidRPr="006B3F5C" w:rsidRDefault="006B3F5C" w:rsidP="006B3F5C">
      <w:pPr>
        <w:pStyle w:val="ListParagraph"/>
        <w:numPr>
          <w:ilvl w:val="0"/>
          <w:numId w:val="10"/>
        </w:numPr>
        <w:rPr>
          <w:sz w:val="28"/>
          <w:szCs w:val="28"/>
          <w:u w:val="single"/>
        </w:rPr>
      </w:pPr>
      <w:r w:rsidRPr="006B3F5C">
        <w:rPr>
          <w:sz w:val="28"/>
          <w:szCs w:val="28"/>
        </w:rPr>
        <w:t>The rate of 30 % for taxation of capital gains in the hands of non-residents is very high as in the case of listed equity shares they are currently being taxed at nil rate if held for more than one year.</w:t>
      </w:r>
    </w:p>
    <w:p w:rsidR="006B3F5C" w:rsidRPr="006B3F5C" w:rsidRDefault="006B3F5C" w:rsidP="006B3F5C">
      <w:pPr>
        <w:pStyle w:val="ListParagraph"/>
        <w:numPr>
          <w:ilvl w:val="0"/>
          <w:numId w:val="10"/>
        </w:numPr>
        <w:rPr>
          <w:sz w:val="28"/>
          <w:szCs w:val="28"/>
          <w:u w:val="single"/>
        </w:rPr>
      </w:pPr>
      <w:r w:rsidRPr="006B3F5C">
        <w:rPr>
          <w:sz w:val="28"/>
          <w:szCs w:val="28"/>
        </w:rPr>
        <w:t>Foreign Institutional Investors (FIIs) play a significant role in the Indian capital market. Various countries, including emerging markets, offer non-residents a special tax regime to attract investments and promote depth of capital markets.</w:t>
      </w:r>
    </w:p>
    <w:p w:rsidR="006B3F5C" w:rsidRPr="006B3F5C" w:rsidRDefault="006B3F5C" w:rsidP="006B3F5C">
      <w:pPr>
        <w:pStyle w:val="ListParagraph"/>
        <w:numPr>
          <w:ilvl w:val="0"/>
          <w:numId w:val="10"/>
        </w:numPr>
        <w:rPr>
          <w:sz w:val="28"/>
          <w:szCs w:val="28"/>
          <w:u w:val="single"/>
        </w:rPr>
      </w:pPr>
      <w:r w:rsidRPr="006B3F5C">
        <w:rPr>
          <w:sz w:val="28"/>
          <w:szCs w:val="28"/>
        </w:rPr>
        <w:t xml:space="preserve"> FII should not be liable to TDS on capital gains as this may cause undue hardship to them. The current provisions relating to payment of the liability as advance tax should be continued.</w:t>
      </w:r>
    </w:p>
    <w:p w:rsidR="008225FA" w:rsidRPr="005F3B84" w:rsidRDefault="008225FA" w:rsidP="003C4FD4">
      <w:pPr>
        <w:rPr>
          <w:sz w:val="11"/>
          <w:szCs w:val="11"/>
          <w:u w:val="single"/>
        </w:rPr>
      </w:pPr>
    </w:p>
    <w:p w:rsidR="003C4FD4" w:rsidRPr="003C4FD4" w:rsidRDefault="003C4FD4" w:rsidP="003C4FD4">
      <w:pPr>
        <w:rPr>
          <w:sz w:val="28"/>
          <w:szCs w:val="28"/>
          <w:u w:val="single"/>
        </w:rPr>
      </w:pPr>
      <w:r w:rsidRPr="003C4FD4">
        <w:rPr>
          <w:sz w:val="28"/>
          <w:szCs w:val="28"/>
          <w:u w:val="single"/>
        </w:rPr>
        <w:t>Revised proposals</w:t>
      </w:r>
    </w:p>
    <w:p w:rsidR="00780FBE" w:rsidRPr="003C4FD4" w:rsidRDefault="003C4FD4" w:rsidP="003C4FD4">
      <w:pPr>
        <w:pStyle w:val="ListParagraph"/>
        <w:numPr>
          <w:ilvl w:val="0"/>
          <w:numId w:val="11"/>
        </w:numPr>
        <w:rPr>
          <w:sz w:val="28"/>
          <w:szCs w:val="28"/>
        </w:rPr>
      </w:pPr>
      <w:r w:rsidRPr="003C4FD4">
        <w:rPr>
          <w:sz w:val="28"/>
          <w:szCs w:val="28"/>
        </w:rPr>
        <w:t xml:space="preserve">Capital gains arising from transfer of an investment asset, being equity shares of a company listed on a recognized stock exchange or units of an equity oriented fund, which are held for more than one year, shall be computed after allowing a </w:t>
      </w:r>
      <w:r w:rsidRPr="00277FDF">
        <w:rPr>
          <w:i/>
          <w:sz w:val="28"/>
          <w:szCs w:val="28"/>
        </w:rPr>
        <w:t>deduction at a specified percentage</w:t>
      </w:r>
      <w:r w:rsidRPr="003C4FD4">
        <w:rPr>
          <w:sz w:val="28"/>
          <w:szCs w:val="28"/>
        </w:rPr>
        <w:t xml:space="preserve"> of capital gains without any indexation. This adjusted capital gain will be included in the total income of the taxpayer and will be taxed at the applicable </w:t>
      </w:r>
      <w:r w:rsidRPr="003C4FD4">
        <w:rPr>
          <w:sz w:val="28"/>
          <w:szCs w:val="28"/>
        </w:rPr>
        <w:lastRenderedPageBreak/>
        <w:t>rate. The loss arising on transfer of such asset held for more than one year will be scaled down in a similar manner.</w:t>
      </w:r>
    </w:p>
    <w:p w:rsidR="003C4FD4" w:rsidRPr="003C4FD4" w:rsidRDefault="003C4FD4" w:rsidP="003C4FD4">
      <w:pPr>
        <w:pStyle w:val="ListParagraph"/>
        <w:numPr>
          <w:ilvl w:val="0"/>
          <w:numId w:val="11"/>
        </w:numPr>
        <w:rPr>
          <w:sz w:val="28"/>
          <w:szCs w:val="28"/>
        </w:rPr>
      </w:pPr>
      <w:r>
        <w:rPr>
          <w:sz w:val="28"/>
          <w:szCs w:val="28"/>
        </w:rPr>
        <w:t>I</w:t>
      </w:r>
      <w:r w:rsidRPr="003C4FD4">
        <w:rPr>
          <w:sz w:val="28"/>
          <w:szCs w:val="28"/>
        </w:rPr>
        <w:t>ncome arising on purchase and sale of securities by an FII shall be deemed to be in</w:t>
      </w:r>
      <w:r w:rsidR="00277FDF">
        <w:rPr>
          <w:sz w:val="28"/>
          <w:szCs w:val="28"/>
        </w:rPr>
        <w:t>come chargeable under the head “</w:t>
      </w:r>
      <w:r w:rsidRPr="003C4FD4">
        <w:rPr>
          <w:sz w:val="28"/>
          <w:szCs w:val="28"/>
        </w:rPr>
        <w:t>capital gains</w:t>
      </w:r>
      <w:r w:rsidR="00277FDF">
        <w:rPr>
          <w:rFonts w:ascii="MS Mincho" w:eastAsia="MS Mincho" w:hAnsi="MS Mincho" w:cs="MS Mincho"/>
          <w:sz w:val="28"/>
          <w:szCs w:val="28"/>
        </w:rPr>
        <w:t>”</w:t>
      </w:r>
      <w:r w:rsidRPr="003C4FD4">
        <w:rPr>
          <w:sz w:val="28"/>
          <w:szCs w:val="28"/>
        </w:rPr>
        <w:t>. This would simplify the system of taxation, bring certainty, eliminate litigation and is easy to administer.</w:t>
      </w:r>
    </w:p>
    <w:p w:rsidR="003C4FD4" w:rsidRPr="003C4FD4" w:rsidRDefault="003C4FD4" w:rsidP="003C4FD4">
      <w:pPr>
        <w:pStyle w:val="ListParagraph"/>
        <w:numPr>
          <w:ilvl w:val="0"/>
          <w:numId w:val="11"/>
        </w:numPr>
        <w:rPr>
          <w:sz w:val="28"/>
          <w:szCs w:val="28"/>
        </w:rPr>
      </w:pPr>
      <w:r w:rsidRPr="003C4FD4">
        <w:rPr>
          <w:sz w:val="28"/>
          <w:szCs w:val="28"/>
        </w:rPr>
        <w:t xml:space="preserve">The capital gains arising to FIIs shall </w:t>
      </w:r>
      <w:r w:rsidRPr="005A2995">
        <w:rPr>
          <w:i/>
          <w:sz w:val="28"/>
          <w:szCs w:val="28"/>
        </w:rPr>
        <w:t>not be subjected to TDS</w:t>
      </w:r>
      <w:r w:rsidRPr="003C4FD4">
        <w:rPr>
          <w:sz w:val="28"/>
          <w:szCs w:val="28"/>
        </w:rPr>
        <w:t xml:space="preserve"> and they will be required to pay tax by way of advance tax on such gains as is the existing practice.</w:t>
      </w:r>
    </w:p>
    <w:p w:rsidR="003C4FD4" w:rsidRDefault="003C4FD4" w:rsidP="003C4FD4">
      <w:pPr>
        <w:pStyle w:val="ListParagraph"/>
        <w:numPr>
          <w:ilvl w:val="0"/>
          <w:numId w:val="11"/>
        </w:numPr>
        <w:rPr>
          <w:sz w:val="28"/>
          <w:szCs w:val="28"/>
        </w:rPr>
      </w:pPr>
      <w:r w:rsidRPr="003C4FD4">
        <w:rPr>
          <w:sz w:val="28"/>
          <w:szCs w:val="28"/>
        </w:rPr>
        <w:t>STT is proposed to be calibrated based on the revised taxation regime for capital gains and flow of funds to the capital market.</w:t>
      </w:r>
    </w:p>
    <w:p w:rsidR="006942EC" w:rsidRPr="005F3B84" w:rsidRDefault="006942EC" w:rsidP="006942EC">
      <w:pPr>
        <w:rPr>
          <w:sz w:val="11"/>
          <w:szCs w:val="11"/>
        </w:rPr>
      </w:pPr>
    </w:p>
    <w:p w:rsidR="006942EC" w:rsidRDefault="006942EC" w:rsidP="006942EC">
      <w:pPr>
        <w:pStyle w:val="ListParagraph"/>
        <w:numPr>
          <w:ilvl w:val="0"/>
          <w:numId w:val="1"/>
        </w:numPr>
        <w:rPr>
          <w:b/>
          <w:sz w:val="28"/>
          <w:szCs w:val="28"/>
          <w:u w:val="single"/>
        </w:rPr>
      </w:pPr>
      <w:r w:rsidRPr="006942EC">
        <w:rPr>
          <w:b/>
          <w:sz w:val="28"/>
          <w:szCs w:val="28"/>
          <w:u w:val="single"/>
        </w:rPr>
        <w:t>Taxations of Non- Profit Organizations</w:t>
      </w:r>
    </w:p>
    <w:p w:rsidR="006942EC" w:rsidRDefault="006942EC" w:rsidP="006942EC">
      <w:pPr>
        <w:rPr>
          <w:sz w:val="28"/>
          <w:szCs w:val="28"/>
        </w:rPr>
      </w:pPr>
      <w:r w:rsidRPr="006942EC">
        <w:rPr>
          <w:sz w:val="28"/>
          <w:szCs w:val="28"/>
        </w:rPr>
        <w:t xml:space="preserve">There are various issues </w:t>
      </w:r>
      <w:r>
        <w:rPr>
          <w:sz w:val="28"/>
          <w:szCs w:val="28"/>
        </w:rPr>
        <w:t>which received comments from public in respect of Non profit organizations. These issues along with revision proposed are:-</w:t>
      </w:r>
    </w:p>
    <w:p w:rsidR="006942EC" w:rsidRPr="006942EC" w:rsidRDefault="006942EC" w:rsidP="006942EC">
      <w:pPr>
        <w:pStyle w:val="ListParagraph"/>
        <w:numPr>
          <w:ilvl w:val="0"/>
          <w:numId w:val="12"/>
        </w:numPr>
        <w:rPr>
          <w:sz w:val="28"/>
          <w:szCs w:val="28"/>
        </w:rPr>
      </w:pPr>
      <w:r w:rsidRPr="006942EC">
        <w:rPr>
          <w:sz w:val="28"/>
          <w:szCs w:val="28"/>
        </w:rPr>
        <w:t>The Code provides for fresh registration of NPOs after introduction of DTC. This will lead to increase in the compliance cost for NPOs and also substantially increase the workload of the income-tax department.</w:t>
      </w:r>
    </w:p>
    <w:p w:rsidR="006942EC" w:rsidRPr="006942EC" w:rsidRDefault="006942EC" w:rsidP="006942EC">
      <w:pPr>
        <w:pStyle w:val="ListParagraph"/>
        <w:rPr>
          <w:sz w:val="28"/>
          <w:szCs w:val="28"/>
        </w:rPr>
      </w:pPr>
      <w:r w:rsidRPr="006942EC">
        <w:rPr>
          <w:sz w:val="28"/>
          <w:szCs w:val="28"/>
        </w:rPr>
        <w:t>It is proposed that NPOs already registered under the Income-tax Act, 1961 and holding valid registration on the date on which DTC comes into effect, would not be required to apply for fresh registration under the DTC. However, they would be required to provide additional information to facilitate the administration of the new provisions.</w:t>
      </w:r>
    </w:p>
    <w:p w:rsidR="006942EC" w:rsidRPr="006942EC" w:rsidRDefault="006942EC" w:rsidP="006942EC">
      <w:pPr>
        <w:pStyle w:val="ListParagraph"/>
        <w:numPr>
          <w:ilvl w:val="0"/>
          <w:numId w:val="12"/>
        </w:numPr>
        <w:rPr>
          <w:sz w:val="28"/>
          <w:szCs w:val="28"/>
        </w:rPr>
      </w:pPr>
      <w:r w:rsidRPr="006942EC">
        <w:rPr>
          <w:sz w:val="28"/>
          <w:szCs w:val="28"/>
        </w:rPr>
        <w:t xml:space="preserve">The status of public religious institutions in the DTC is not clear as the DTC exempts the income of only such </w:t>
      </w:r>
      <w:r w:rsidRPr="005A2995">
        <w:rPr>
          <w:i/>
          <w:sz w:val="28"/>
          <w:szCs w:val="28"/>
        </w:rPr>
        <w:t>religious trusts</w:t>
      </w:r>
      <w:r w:rsidRPr="006942EC">
        <w:rPr>
          <w:sz w:val="28"/>
          <w:szCs w:val="28"/>
        </w:rPr>
        <w:t xml:space="preserve"> which are registered under a religious endowments legislation of the Central or a State Government. However, there are many states where such legislation does not exist or even if it exists, it does not cover all religious institutions.</w:t>
      </w:r>
    </w:p>
    <w:p w:rsidR="006942EC" w:rsidRPr="005F3B84" w:rsidRDefault="006942EC" w:rsidP="006942EC">
      <w:pPr>
        <w:pStyle w:val="ListParagraph"/>
        <w:rPr>
          <w:sz w:val="11"/>
          <w:szCs w:val="11"/>
        </w:rPr>
      </w:pPr>
    </w:p>
    <w:p w:rsidR="006942EC" w:rsidRDefault="006942EC" w:rsidP="006942EC">
      <w:pPr>
        <w:ind w:left="720"/>
        <w:rPr>
          <w:sz w:val="28"/>
          <w:szCs w:val="28"/>
        </w:rPr>
      </w:pPr>
      <w:r w:rsidRPr="006942EC">
        <w:rPr>
          <w:sz w:val="28"/>
          <w:szCs w:val="28"/>
        </w:rPr>
        <w:t>It is proposed that income of a public religious institutions will be exempt subject to fulfillment of all the certain conditions like registered under the Code, benefit of the general public, maintenance of books of accounts etc.</w:t>
      </w:r>
    </w:p>
    <w:p w:rsidR="009224FE" w:rsidRPr="009224FE" w:rsidRDefault="009224FE" w:rsidP="009224FE">
      <w:pPr>
        <w:pStyle w:val="ListParagraph"/>
        <w:numPr>
          <w:ilvl w:val="0"/>
          <w:numId w:val="12"/>
        </w:numPr>
        <w:rPr>
          <w:sz w:val="28"/>
          <w:szCs w:val="28"/>
        </w:rPr>
      </w:pPr>
      <w:r>
        <w:rPr>
          <w:sz w:val="23"/>
          <w:szCs w:val="23"/>
        </w:rPr>
        <w:t xml:space="preserve"> </w:t>
      </w:r>
      <w:r w:rsidRPr="009224FE">
        <w:rPr>
          <w:sz w:val="28"/>
          <w:szCs w:val="28"/>
        </w:rPr>
        <w:t>Stakeholders argued that instances have been cited where NPOs receive grants at the end of the financial year or are unable to spend due to reasons beyond their control. In the absence of any window for carry forward of surplus for use in the subsequent years, taxation of the surplus of income over expenditure will be harsh.</w:t>
      </w:r>
    </w:p>
    <w:p w:rsidR="009224FE" w:rsidRPr="005F3B84" w:rsidRDefault="009224FE" w:rsidP="009224FE">
      <w:pPr>
        <w:pStyle w:val="ListParagraph"/>
        <w:rPr>
          <w:sz w:val="11"/>
          <w:szCs w:val="11"/>
        </w:rPr>
      </w:pPr>
    </w:p>
    <w:p w:rsidR="006942EC" w:rsidRDefault="009224FE" w:rsidP="009224FE">
      <w:pPr>
        <w:pStyle w:val="ListParagraph"/>
        <w:rPr>
          <w:sz w:val="28"/>
          <w:szCs w:val="28"/>
        </w:rPr>
      </w:pPr>
      <w:r w:rsidRPr="009224FE">
        <w:rPr>
          <w:sz w:val="28"/>
          <w:szCs w:val="28"/>
        </w:rPr>
        <w:t xml:space="preserve">To address the concern that an NPO would not be able to spend the entire receipts during the financial year itself, it is proposed that upto 15% of the surplus or 10% of gross receipts, whichever is higher, will be allowed to be carried forward to be used within three years from the end of the relevant financial year.  </w:t>
      </w:r>
      <w:r w:rsidR="006942EC" w:rsidRPr="009224FE">
        <w:rPr>
          <w:sz w:val="28"/>
          <w:szCs w:val="28"/>
        </w:rPr>
        <w:t xml:space="preserve">  </w:t>
      </w:r>
    </w:p>
    <w:p w:rsidR="009224FE" w:rsidRPr="00FE5D9A" w:rsidRDefault="00DE32BC" w:rsidP="00FE5D9A">
      <w:pPr>
        <w:pStyle w:val="ListParagraph"/>
        <w:numPr>
          <w:ilvl w:val="0"/>
          <w:numId w:val="12"/>
        </w:numPr>
        <w:rPr>
          <w:sz w:val="28"/>
          <w:szCs w:val="28"/>
        </w:rPr>
      </w:pPr>
      <w:r w:rsidRPr="00FE5D9A">
        <w:rPr>
          <w:sz w:val="28"/>
          <w:szCs w:val="28"/>
        </w:rPr>
        <w:t>It was opined that the phrase  “</w:t>
      </w:r>
      <w:r w:rsidR="00DA2DA2" w:rsidRPr="00FE5D9A">
        <w:rPr>
          <w:sz w:val="28"/>
          <w:szCs w:val="28"/>
        </w:rPr>
        <w:t>charitable purpose</w:t>
      </w:r>
      <w:r w:rsidRPr="00FE5D9A">
        <w:rPr>
          <w:rFonts w:ascii="MS Mincho" w:eastAsia="MS Mincho" w:hAnsi="MS Mincho" w:cs="MS Mincho"/>
          <w:sz w:val="28"/>
          <w:szCs w:val="28"/>
        </w:rPr>
        <w:t>”</w:t>
      </w:r>
      <w:r w:rsidRPr="00FE5D9A">
        <w:rPr>
          <w:sz w:val="28"/>
          <w:szCs w:val="28"/>
        </w:rPr>
        <w:t xml:space="preserve"> should be used instead of  “</w:t>
      </w:r>
      <w:r w:rsidR="00DA2DA2" w:rsidRPr="00FE5D9A">
        <w:rPr>
          <w:sz w:val="28"/>
          <w:szCs w:val="28"/>
        </w:rPr>
        <w:t>permitted welfare activity</w:t>
      </w:r>
      <w:r w:rsidRPr="00FE5D9A">
        <w:rPr>
          <w:rFonts w:ascii="MS Mincho" w:eastAsia="MS Mincho" w:hAnsi="MS Mincho" w:cs="MS Mincho"/>
          <w:sz w:val="28"/>
          <w:szCs w:val="28"/>
        </w:rPr>
        <w:t>”</w:t>
      </w:r>
      <w:r w:rsidR="00DA2DA2" w:rsidRPr="00FE5D9A">
        <w:rPr>
          <w:sz w:val="28"/>
          <w:szCs w:val="28"/>
        </w:rPr>
        <w:t xml:space="preserve"> in order to emphasize the charitable intent of the activities rather than permitting of certain specified welfare activities. This will ensure greater clarity and will minimize litigation as the phrase has been in use for long.</w:t>
      </w:r>
    </w:p>
    <w:p w:rsidR="00DA2DA2" w:rsidRPr="00FE5D9A" w:rsidRDefault="00FE5D9A" w:rsidP="00FE5D9A">
      <w:pPr>
        <w:ind w:left="720" w:hanging="720"/>
        <w:rPr>
          <w:sz w:val="28"/>
          <w:szCs w:val="28"/>
        </w:rPr>
      </w:pPr>
      <w:r>
        <w:rPr>
          <w:sz w:val="28"/>
          <w:szCs w:val="28"/>
        </w:rPr>
        <w:lastRenderedPageBreak/>
        <w:t xml:space="preserve">           </w:t>
      </w:r>
      <w:r w:rsidR="00DA2DA2" w:rsidRPr="00FE5D9A">
        <w:rPr>
          <w:sz w:val="28"/>
          <w:szCs w:val="28"/>
        </w:rPr>
        <w:t>In this respect the revised code lays down that to maintain continuity and minimise litigation, the phrase “charitable purpose</w:t>
      </w:r>
      <w:r w:rsidR="00DA2DA2" w:rsidRPr="00FE5D9A">
        <w:rPr>
          <w:rFonts w:ascii="MS Mincho" w:eastAsia="MS Mincho" w:hAnsi="MS Mincho" w:cs="MS Mincho"/>
          <w:sz w:val="28"/>
          <w:szCs w:val="28"/>
        </w:rPr>
        <w:t>”</w:t>
      </w:r>
      <w:r w:rsidR="00DA2DA2" w:rsidRPr="00FE5D9A">
        <w:rPr>
          <w:sz w:val="28"/>
          <w:szCs w:val="28"/>
        </w:rPr>
        <w:t xml:space="preserve"> will be retained in place of “permitted welfare activity</w:t>
      </w:r>
      <w:r w:rsidR="00DA2DA2" w:rsidRPr="00FE5D9A">
        <w:rPr>
          <w:rFonts w:ascii="MS Mincho" w:eastAsia="MS Mincho" w:hAnsi="MS Mincho" w:cs="MS Mincho"/>
          <w:sz w:val="28"/>
          <w:szCs w:val="28"/>
        </w:rPr>
        <w:t>”</w:t>
      </w:r>
      <w:r w:rsidR="00DA2DA2" w:rsidRPr="00FE5D9A">
        <w:rPr>
          <w:sz w:val="28"/>
          <w:szCs w:val="28"/>
        </w:rPr>
        <w:t>.</w:t>
      </w:r>
    </w:p>
    <w:p w:rsidR="008D63EC" w:rsidRDefault="008D63EC" w:rsidP="0054516F">
      <w:pPr>
        <w:rPr>
          <w:sz w:val="28"/>
          <w:szCs w:val="28"/>
        </w:rPr>
      </w:pPr>
    </w:p>
    <w:p w:rsidR="00E54AAD" w:rsidRDefault="00E54AAD" w:rsidP="00E54AAD">
      <w:pPr>
        <w:pStyle w:val="ListParagraph"/>
        <w:rPr>
          <w:b/>
          <w:bCs/>
          <w:sz w:val="28"/>
          <w:szCs w:val="28"/>
          <w:u w:val="single"/>
        </w:rPr>
      </w:pPr>
    </w:p>
    <w:p w:rsidR="0054516F" w:rsidRPr="00E54AAD" w:rsidRDefault="0054516F" w:rsidP="00E54AAD">
      <w:pPr>
        <w:pStyle w:val="ListParagraph"/>
        <w:numPr>
          <w:ilvl w:val="0"/>
          <w:numId w:val="1"/>
        </w:numPr>
        <w:rPr>
          <w:b/>
          <w:sz w:val="28"/>
          <w:szCs w:val="28"/>
          <w:u w:val="single"/>
        </w:rPr>
      </w:pPr>
      <w:r w:rsidRPr="00E54AAD">
        <w:rPr>
          <w:b/>
          <w:bCs/>
          <w:sz w:val="28"/>
          <w:szCs w:val="28"/>
          <w:u w:val="single"/>
        </w:rPr>
        <w:t>SPECIAL ECONOMIC ZONES – TAXATION OF EXISTING UNITS</w:t>
      </w:r>
    </w:p>
    <w:p w:rsidR="0054516F" w:rsidRPr="0054516F" w:rsidRDefault="0054516F" w:rsidP="0054516F">
      <w:pPr>
        <w:rPr>
          <w:sz w:val="28"/>
          <w:szCs w:val="28"/>
        </w:rPr>
      </w:pPr>
      <w:r w:rsidRPr="0054516F">
        <w:rPr>
          <w:sz w:val="28"/>
          <w:szCs w:val="28"/>
        </w:rPr>
        <w:t>It has been pointed out that while the current profit linked deductions available to developers of Special Economic Zones (SEZs) have been protected for their unexpired period in the DTC, there is no mention of grandfathering of these profit linked deductions in the case of units operating in these SEZs.</w:t>
      </w:r>
    </w:p>
    <w:p w:rsidR="0054516F" w:rsidRPr="005F3B84" w:rsidRDefault="0054516F" w:rsidP="0054516F">
      <w:pPr>
        <w:rPr>
          <w:sz w:val="11"/>
          <w:szCs w:val="11"/>
        </w:rPr>
      </w:pPr>
    </w:p>
    <w:p w:rsidR="0054516F" w:rsidRDefault="0054516F" w:rsidP="0054516F">
      <w:pPr>
        <w:rPr>
          <w:b/>
          <w:sz w:val="28"/>
          <w:szCs w:val="28"/>
          <w:u w:val="single"/>
        </w:rPr>
      </w:pPr>
      <w:r w:rsidRPr="0054516F">
        <w:rPr>
          <w:sz w:val="28"/>
          <w:szCs w:val="28"/>
        </w:rPr>
        <w:t>Hence, specific provisions for protecting such deduction for the unexpired period have been provided in the DTC in the case of SEZ developers. A similar provision to protect profit linked deductions of units already operating in SEZs for the unexpired period will also be incorporated.</w:t>
      </w:r>
    </w:p>
    <w:p w:rsidR="0054516F" w:rsidRDefault="0054516F" w:rsidP="0054516F">
      <w:pPr>
        <w:rPr>
          <w:b/>
          <w:sz w:val="28"/>
          <w:szCs w:val="28"/>
          <w:u w:val="single"/>
        </w:rPr>
      </w:pPr>
    </w:p>
    <w:p w:rsidR="0054516F" w:rsidRPr="00662735" w:rsidRDefault="0054516F" w:rsidP="00662735">
      <w:pPr>
        <w:pStyle w:val="ListParagraph"/>
        <w:numPr>
          <w:ilvl w:val="0"/>
          <w:numId w:val="1"/>
        </w:numPr>
        <w:rPr>
          <w:b/>
          <w:sz w:val="28"/>
          <w:szCs w:val="28"/>
          <w:u w:val="single"/>
        </w:rPr>
      </w:pPr>
      <w:r w:rsidRPr="00662735">
        <w:rPr>
          <w:b/>
          <w:sz w:val="28"/>
          <w:szCs w:val="28"/>
          <w:u w:val="single"/>
        </w:rPr>
        <w:t xml:space="preserve">CONCEPT OF RESIDENCE IN THE CASE OF A COMPANY INCORPORATED OUTSIDE INDIA </w:t>
      </w:r>
    </w:p>
    <w:p w:rsidR="008225FA" w:rsidRPr="005F3B84" w:rsidRDefault="008225FA" w:rsidP="0054516F">
      <w:pPr>
        <w:pStyle w:val="Default"/>
        <w:rPr>
          <w:sz w:val="11"/>
          <w:szCs w:val="11"/>
          <w:u w:val="single"/>
        </w:rPr>
      </w:pPr>
    </w:p>
    <w:p w:rsidR="008738B1" w:rsidRDefault="008738B1" w:rsidP="0054516F">
      <w:pPr>
        <w:pStyle w:val="Default"/>
        <w:rPr>
          <w:sz w:val="23"/>
          <w:szCs w:val="23"/>
        </w:rPr>
      </w:pPr>
      <w:r w:rsidRPr="001902DA">
        <w:rPr>
          <w:sz w:val="28"/>
          <w:szCs w:val="28"/>
          <w:u w:val="single"/>
        </w:rPr>
        <w:t>Original proposals in the DTC</w:t>
      </w:r>
    </w:p>
    <w:p w:rsidR="0054516F" w:rsidRPr="008738B1" w:rsidRDefault="008738B1" w:rsidP="008738B1">
      <w:pPr>
        <w:ind w:left="360"/>
        <w:rPr>
          <w:sz w:val="28"/>
          <w:szCs w:val="28"/>
        </w:rPr>
      </w:pPr>
      <w:r w:rsidRPr="008738B1">
        <w:rPr>
          <w:sz w:val="28"/>
          <w:szCs w:val="28"/>
        </w:rPr>
        <w:t>It has been proposed in the DTC that a foreign company will be treated as resident in India if, at any time in the financial year, the control and managem</w:t>
      </w:r>
      <w:r>
        <w:rPr>
          <w:sz w:val="28"/>
          <w:szCs w:val="28"/>
        </w:rPr>
        <w:t xml:space="preserve">ent of its affairs is situated </w:t>
      </w:r>
      <w:r w:rsidRPr="006672CE">
        <w:rPr>
          <w:sz w:val="28"/>
          <w:szCs w:val="28"/>
        </w:rPr>
        <w:t>“wholly or partly” in India</w:t>
      </w:r>
      <w:r w:rsidRPr="008738B1">
        <w:rPr>
          <w:sz w:val="28"/>
          <w:szCs w:val="28"/>
        </w:rPr>
        <w:t xml:space="preserve"> (it need not be wholly situated in India, as at present).</w:t>
      </w:r>
    </w:p>
    <w:p w:rsidR="008225FA" w:rsidRPr="005F3B84" w:rsidRDefault="008225FA" w:rsidP="008738B1">
      <w:pPr>
        <w:rPr>
          <w:sz w:val="11"/>
          <w:szCs w:val="11"/>
          <w:u w:val="single"/>
        </w:rPr>
      </w:pPr>
    </w:p>
    <w:p w:rsidR="008738B1" w:rsidRDefault="008738B1" w:rsidP="008738B1">
      <w:pPr>
        <w:rPr>
          <w:sz w:val="28"/>
          <w:szCs w:val="28"/>
          <w:u w:val="single"/>
        </w:rPr>
      </w:pPr>
      <w:r w:rsidRPr="008738B1">
        <w:rPr>
          <w:sz w:val="28"/>
          <w:szCs w:val="28"/>
          <w:u w:val="single"/>
        </w:rPr>
        <w:t>Issues rose</w:t>
      </w:r>
    </w:p>
    <w:p w:rsidR="008738B1" w:rsidRPr="008738B1" w:rsidRDefault="008738B1" w:rsidP="008738B1">
      <w:pPr>
        <w:ind w:left="360"/>
        <w:rPr>
          <w:sz w:val="28"/>
          <w:szCs w:val="28"/>
          <w:u w:val="single"/>
        </w:rPr>
      </w:pPr>
      <w:r w:rsidRPr="008738B1">
        <w:rPr>
          <w:sz w:val="28"/>
          <w:szCs w:val="28"/>
        </w:rPr>
        <w:t xml:space="preserve">It has been pointed out that under the new test for determining residence in the DTC, a foreign company whose control and management is partly in India will be treated as a resident of India and thus liable for taxation in India </w:t>
      </w:r>
      <w:r>
        <w:rPr>
          <w:sz w:val="28"/>
          <w:szCs w:val="28"/>
        </w:rPr>
        <w:t xml:space="preserve">on its global income. The word </w:t>
      </w:r>
      <w:r w:rsidRPr="006672CE">
        <w:rPr>
          <w:sz w:val="28"/>
          <w:szCs w:val="28"/>
        </w:rPr>
        <w:t>“partly” used in the</w:t>
      </w:r>
      <w:r w:rsidRPr="008738B1">
        <w:rPr>
          <w:sz w:val="28"/>
          <w:szCs w:val="28"/>
        </w:rPr>
        <w:t xml:space="preserve"> DTC sets a </w:t>
      </w:r>
      <w:r w:rsidRPr="005A2995">
        <w:rPr>
          <w:i/>
          <w:sz w:val="28"/>
          <w:szCs w:val="28"/>
        </w:rPr>
        <w:t>very low threshold</w:t>
      </w:r>
      <w:r w:rsidRPr="008738B1">
        <w:rPr>
          <w:sz w:val="28"/>
          <w:szCs w:val="28"/>
        </w:rPr>
        <w:t xml:space="preserve"> for regarding a foreign company as a resident in India. Apprehensions have been expressed that it could lead to a foreign multi-national company being held as resident in India on the ground that some activity like a </w:t>
      </w:r>
      <w:r w:rsidRPr="005A2995">
        <w:rPr>
          <w:i/>
          <w:sz w:val="28"/>
          <w:szCs w:val="28"/>
        </w:rPr>
        <w:t>single meeting of the Board of Directors</w:t>
      </w:r>
      <w:r w:rsidRPr="008738B1">
        <w:rPr>
          <w:sz w:val="28"/>
          <w:szCs w:val="28"/>
        </w:rPr>
        <w:t xml:space="preserve"> is held in India. Also, a foreign company owned by residents in India could be held to be resident in India as part of the control of such company may be in India. It has been represented that this will result in uncertainty in taxation and will </w:t>
      </w:r>
      <w:r w:rsidRPr="005A2995">
        <w:rPr>
          <w:i/>
          <w:sz w:val="28"/>
          <w:szCs w:val="28"/>
        </w:rPr>
        <w:t>impact foreign direct investment into India</w:t>
      </w:r>
      <w:r>
        <w:rPr>
          <w:sz w:val="28"/>
          <w:szCs w:val="28"/>
        </w:rPr>
        <w:t>. Modification of the phrase “</w:t>
      </w:r>
      <w:r w:rsidRPr="008738B1">
        <w:rPr>
          <w:sz w:val="28"/>
          <w:szCs w:val="28"/>
        </w:rPr>
        <w:t>wholly or partly</w:t>
      </w:r>
      <w:r>
        <w:rPr>
          <w:rFonts w:ascii="MS Mincho" w:eastAsia="MS Mincho" w:hAnsi="MS Mincho" w:cs="MS Mincho"/>
          <w:sz w:val="28"/>
          <w:szCs w:val="28"/>
        </w:rPr>
        <w:t>”</w:t>
      </w:r>
      <w:r w:rsidRPr="008738B1">
        <w:rPr>
          <w:sz w:val="28"/>
          <w:szCs w:val="28"/>
        </w:rPr>
        <w:t xml:space="preserve"> has therefore been suggested.</w:t>
      </w:r>
    </w:p>
    <w:p w:rsidR="008225FA" w:rsidRPr="005F3B84" w:rsidRDefault="008225FA" w:rsidP="008738B1">
      <w:pPr>
        <w:rPr>
          <w:sz w:val="11"/>
          <w:szCs w:val="11"/>
          <w:u w:val="single"/>
        </w:rPr>
      </w:pPr>
    </w:p>
    <w:p w:rsidR="008738B1" w:rsidRPr="003C4FD4" w:rsidRDefault="008738B1" w:rsidP="008738B1">
      <w:pPr>
        <w:rPr>
          <w:sz w:val="28"/>
          <w:szCs w:val="28"/>
          <w:u w:val="single"/>
        </w:rPr>
      </w:pPr>
      <w:r w:rsidRPr="003C4FD4">
        <w:rPr>
          <w:sz w:val="28"/>
          <w:szCs w:val="28"/>
          <w:u w:val="single"/>
        </w:rPr>
        <w:t>Revised proposals</w:t>
      </w:r>
    </w:p>
    <w:p w:rsidR="008738B1" w:rsidRPr="008738B1" w:rsidRDefault="008738B1" w:rsidP="008738B1">
      <w:pPr>
        <w:rPr>
          <w:sz w:val="28"/>
          <w:szCs w:val="28"/>
        </w:rPr>
      </w:pPr>
      <w:r w:rsidRPr="008738B1">
        <w:rPr>
          <w:sz w:val="28"/>
          <w:szCs w:val="28"/>
        </w:rPr>
        <w:t>It is therefore proposed that a company incorporated outside India will be treat</w:t>
      </w:r>
      <w:r>
        <w:rPr>
          <w:sz w:val="28"/>
          <w:szCs w:val="28"/>
        </w:rPr>
        <w:t xml:space="preserve">ed as resident in India </w:t>
      </w:r>
      <w:r w:rsidRPr="00035EE9">
        <w:rPr>
          <w:sz w:val="28"/>
          <w:szCs w:val="28"/>
        </w:rPr>
        <w:t>if its “place of effective management” is situated</w:t>
      </w:r>
      <w:r w:rsidRPr="008738B1">
        <w:rPr>
          <w:sz w:val="28"/>
          <w:szCs w:val="28"/>
        </w:rPr>
        <w:t xml:space="preserve"> in India. The term will have the same meaning as currently laid down in the Tenth Schedule to the Code as under: </w:t>
      </w:r>
    </w:p>
    <w:p w:rsidR="008738B1" w:rsidRPr="00035EE9" w:rsidRDefault="008738B1" w:rsidP="00035EE9">
      <w:pPr>
        <w:rPr>
          <w:sz w:val="28"/>
          <w:szCs w:val="28"/>
        </w:rPr>
      </w:pPr>
      <w:r w:rsidRPr="00035EE9">
        <w:rPr>
          <w:sz w:val="28"/>
          <w:szCs w:val="28"/>
        </w:rPr>
        <w:t>“place of effective management of the company</w:t>
      </w:r>
      <w:r w:rsidRPr="00035EE9">
        <w:rPr>
          <w:rFonts w:ascii="MS Mincho" w:eastAsia="MS Mincho" w:hAnsi="MS Mincho" w:cs="MS Mincho"/>
          <w:sz w:val="28"/>
          <w:szCs w:val="28"/>
        </w:rPr>
        <w:t>”</w:t>
      </w:r>
      <w:r w:rsidRPr="00035EE9">
        <w:rPr>
          <w:sz w:val="28"/>
          <w:szCs w:val="28"/>
        </w:rPr>
        <w:t xml:space="preserve"> means- </w:t>
      </w:r>
    </w:p>
    <w:p w:rsidR="008738B1" w:rsidRPr="008738B1" w:rsidRDefault="008738B1" w:rsidP="008738B1">
      <w:pPr>
        <w:ind w:left="450"/>
        <w:rPr>
          <w:sz w:val="28"/>
          <w:szCs w:val="28"/>
        </w:rPr>
      </w:pPr>
      <w:r w:rsidRPr="008738B1">
        <w:rPr>
          <w:sz w:val="28"/>
          <w:szCs w:val="28"/>
        </w:rPr>
        <w:lastRenderedPageBreak/>
        <w:t xml:space="preserve">(i) the place where the board of directors of the company or its executive directors, as the case may be, make their decisions; or </w:t>
      </w:r>
    </w:p>
    <w:p w:rsidR="000C65F7" w:rsidRDefault="008738B1" w:rsidP="000C65F7">
      <w:pPr>
        <w:ind w:left="450"/>
        <w:rPr>
          <w:sz w:val="28"/>
          <w:szCs w:val="28"/>
        </w:rPr>
      </w:pPr>
      <w:r w:rsidRPr="008738B1">
        <w:rPr>
          <w:sz w:val="28"/>
          <w:szCs w:val="28"/>
        </w:rPr>
        <w:t>(ii) in a case where the board of directors routinely approve the commercial and strategic decisions made by the executive directors or officers of the company, the place where such executive directors or officers of the c</w:t>
      </w:r>
      <w:r w:rsidR="00035EE9">
        <w:rPr>
          <w:sz w:val="28"/>
          <w:szCs w:val="28"/>
        </w:rPr>
        <w:t>ompany perform their functions.</w:t>
      </w:r>
    </w:p>
    <w:p w:rsidR="000C65F7" w:rsidRPr="000C65F7" w:rsidRDefault="000C65F7" w:rsidP="000C65F7">
      <w:pPr>
        <w:pStyle w:val="Default"/>
        <w:ind w:left="720"/>
        <w:rPr>
          <w:sz w:val="23"/>
          <w:szCs w:val="23"/>
        </w:rPr>
      </w:pPr>
    </w:p>
    <w:p w:rsidR="00E54AAD" w:rsidRDefault="00E54AAD" w:rsidP="00E54AAD">
      <w:pPr>
        <w:pStyle w:val="ListParagraph"/>
        <w:rPr>
          <w:b/>
          <w:sz w:val="28"/>
          <w:szCs w:val="28"/>
          <w:u w:val="single"/>
        </w:rPr>
      </w:pPr>
    </w:p>
    <w:p w:rsidR="000C65F7" w:rsidRPr="00E54AAD" w:rsidRDefault="000C65F7" w:rsidP="00E54AAD">
      <w:pPr>
        <w:pStyle w:val="ListParagraph"/>
        <w:numPr>
          <w:ilvl w:val="0"/>
          <w:numId w:val="1"/>
        </w:numPr>
        <w:rPr>
          <w:b/>
          <w:sz w:val="28"/>
          <w:szCs w:val="28"/>
          <w:u w:val="single"/>
        </w:rPr>
      </w:pPr>
      <w:r w:rsidRPr="00E54AAD">
        <w:rPr>
          <w:b/>
          <w:sz w:val="28"/>
          <w:szCs w:val="28"/>
          <w:u w:val="single"/>
        </w:rPr>
        <w:t>DOUBLE TAXATION AVOIDANCE AGREEMENT (DTAA) v/s DOMESTIC LAW</w:t>
      </w:r>
    </w:p>
    <w:p w:rsidR="008225FA" w:rsidRPr="005F3B84" w:rsidRDefault="008225FA" w:rsidP="00D74EA8">
      <w:pPr>
        <w:rPr>
          <w:sz w:val="11"/>
          <w:szCs w:val="11"/>
          <w:u w:val="single"/>
        </w:rPr>
      </w:pPr>
    </w:p>
    <w:p w:rsidR="00D74EA8" w:rsidRDefault="00D74EA8" w:rsidP="00D74EA8">
      <w:pPr>
        <w:rPr>
          <w:sz w:val="28"/>
          <w:szCs w:val="28"/>
          <w:u w:val="single"/>
        </w:rPr>
      </w:pPr>
      <w:r w:rsidRPr="00D74EA8">
        <w:rPr>
          <w:sz w:val="28"/>
          <w:szCs w:val="28"/>
          <w:u w:val="single"/>
        </w:rPr>
        <w:t>Original proposals in the DTC</w:t>
      </w:r>
    </w:p>
    <w:p w:rsidR="00D74EA8" w:rsidRPr="00D74EA8" w:rsidRDefault="00D74EA8" w:rsidP="00D74EA8">
      <w:pPr>
        <w:rPr>
          <w:sz w:val="28"/>
          <w:szCs w:val="28"/>
          <w:u w:val="single"/>
        </w:rPr>
      </w:pPr>
      <w:r w:rsidRPr="00D74EA8">
        <w:rPr>
          <w:sz w:val="28"/>
          <w:szCs w:val="28"/>
        </w:rPr>
        <w:t xml:space="preserve">The DTC provides that neither a DTAA nor the Code shall have a preferential status by reason of its being a treaty or law. In the case of a conflict between the provisions of a treaty and the provisions of the Code, </w:t>
      </w:r>
      <w:r w:rsidRPr="005A2995">
        <w:rPr>
          <w:i/>
          <w:sz w:val="28"/>
          <w:szCs w:val="28"/>
        </w:rPr>
        <w:t>the one that is later in point of time shall prevail</w:t>
      </w:r>
      <w:r w:rsidRPr="00D74EA8">
        <w:rPr>
          <w:sz w:val="28"/>
          <w:szCs w:val="28"/>
        </w:rPr>
        <w:t>.</w:t>
      </w:r>
    </w:p>
    <w:p w:rsidR="008225FA" w:rsidRPr="005F3B84" w:rsidRDefault="008225FA" w:rsidP="00D74EA8">
      <w:pPr>
        <w:rPr>
          <w:sz w:val="11"/>
          <w:szCs w:val="11"/>
          <w:u w:val="single"/>
        </w:rPr>
      </w:pPr>
    </w:p>
    <w:p w:rsidR="00D74EA8" w:rsidRPr="00D74EA8" w:rsidRDefault="00D74EA8" w:rsidP="00D74EA8">
      <w:pPr>
        <w:rPr>
          <w:sz w:val="28"/>
          <w:szCs w:val="28"/>
          <w:u w:val="single"/>
        </w:rPr>
      </w:pPr>
      <w:r w:rsidRPr="00D74EA8">
        <w:rPr>
          <w:sz w:val="28"/>
          <w:szCs w:val="28"/>
          <w:u w:val="single"/>
        </w:rPr>
        <w:t>Issues rose</w:t>
      </w:r>
    </w:p>
    <w:p w:rsidR="00D74EA8" w:rsidRPr="00D74EA8" w:rsidRDefault="00D74EA8" w:rsidP="00D74EA8">
      <w:pPr>
        <w:rPr>
          <w:sz w:val="28"/>
          <w:szCs w:val="28"/>
          <w:u w:val="single"/>
        </w:rPr>
      </w:pPr>
      <w:r w:rsidRPr="00D74EA8">
        <w:rPr>
          <w:sz w:val="28"/>
          <w:szCs w:val="28"/>
        </w:rPr>
        <w:t>Apprehensions have been raised that the aforesaid proposal would lead to treaty override and the existing DTAAs could be rendered otiose. This would result in higher rate of taxation on royalty, fees for technical s</w:t>
      </w:r>
      <w:r>
        <w:rPr>
          <w:sz w:val="28"/>
          <w:szCs w:val="28"/>
        </w:rPr>
        <w:t>ervices and interest income etc</w:t>
      </w:r>
      <w:r w:rsidRPr="00D74EA8">
        <w:rPr>
          <w:sz w:val="28"/>
          <w:szCs w:val="28"/>
        </w:rPr>
        <w:t xml:space="preserve">, which are taxed in the source country at a concessional rate as per the provisions of the DTAA. The uncertainty regarding cost of doing business in India will also </w:t>
      </w:r>
      <w:r w:rsidRPr="005A2995">
        <w:rPr>
          <w:i/>
          <w:sz w:val="28"/>
          <w:szCs w:val="28"/>
        </w:rPr>
        <w:t>affect foreign direct investment</w:t>
      </w:r>
      <w:r w:rsidRPr="00D74EA8">
        <w:rPr>
          <w:sz w:val="28"/>
          <w:szCs w:val="28"/>
        </w:rPr>
        <w:t xml:space="preserve">. It has been represented that such general treaty override is against the spirit of the </w:t>
      </w:r>
      <w:r w:rsidRPr="005A2995">
        <w:rPr>
          <w:i/>
          <w:sz w:val="28"/>
          <w:szCs w:val="28"/>
        </w:rPr>
        <w:t>Vienna Convention</w:t>
      </w:r>
      <w:r w:rsidRPr="00D74EA8">
        <w:rPr>
          <w:sz w:val="28"/>
          <w:szCs w:val="28"/>
        </w:rPr>
        <w:t>.</w:t>
      </w:r>
    </w:p>
    <w:p w:rsidR="005F3B84" w:rsidRPr="005F3B84" w:rsidRDefault="005F3B84" w:rsidP="00D74EA8">
      <w:pPr>
        <w:rPr>
          <w:sz w:val="11"/>
          <w:szCs w:val="11"/>
          <w:u w:val="single"/>
        </w:rPr>
      </w:pPr>
    </w:p>
    <w:p w:rsidR="00D74EA8" w:rsidRPr="00D74EA8" w:rsidRDefault="00D74EA8" w:rsidP="00D74EA8">
      <w:pPr>
        <w:rPr>
          <w:sz w:val="28"/>
          <w:szCs w:val="28"/>
          <w:u w:val="single"/>
        </w:rPr>
      </w:pPr>
      <w:r w:rsidRPr="00D74EA8">
        <w:rPr>
          <w:sz w:val="28"/>
          <w:szCs w:val="28"/>
          <w:u w:val="single"/>
        </w:rPr>
        <w:t>Revised proposals</w:t>
      </w:r>
    </w:p>
    <w:p w:rsidR="00D74EA8" w:rsidRPr="00D74EA8" w:rsidRDefault="00E96D0F" w:rsidP="00D74EA8">
      <w:pPr>
        <w:rPr>
          <w:sz w:val="28"/>
          <w:szCs w:val="28"/>
        </w:rPr>
      </w:pPr>
      <w:r>
        <w:rPr>
          <w:sz w:val="28"/>
          <w:szCs w:val="28"/>
        </w:rPr>
        <w:t>I</w:t>
      </w:r>
      <w:r w:rsidR="00D74EA8" w:rsidRPr="00D74EA8">
        <w:rPr>
          <w:sz w:val="28"/>
          <w:szCs w:val="28"/>
        </w:rPr>
        <w:t xml:space="preserve">t is proposed to provide that between the domestic law and relevant DTAA, the one which is more beneficial to the taxpayer shall apply. However, DTAA will not have preferential status over the domestic law in the following circumstances:- </w:t>
      </w:r>
    </w:p>
    <w:p w:rsidR="00D74EA8" w:rsidRPr="00D74EA8" w:rsidRDefault="00D74EA8" w:rsidP="00D74EA8">
      <w:pPr>
        <w:pStyle w:val="ListParagraph"/>
        <w:numPr>
          <w:ilvl w:val="0"/>
          <w:numId w:val="15"/>
        </w:numPr>
        <w:rPr>
          <w:sz w:val="28"/>
          <w:szCs w:val="28"/>
        </w:rPr>
      </w:pPr>
      <w:r w:rsidRPr="00D74EA8">
        <w:rPr>
          <w:sz w:val="28"/>
          <w:szCs w:val="28"/>
        </w:rPr>
        <w:t xml:space="preserve">when the General Anti Avoidance Rule is invoked, or </w:t>
      </w:r>
    </w:p>
    <w:p w:rsidR="00D74EA8" w:rsidRPr="00D74EA8" w:rsidRDefault="00D74EA8" w:rsidP="00D74EA8">
      <w:pPr>
        <w:pStyle w:val="ListParagraph"/>
        <w:numPr>
          <w:ilvl w:val="0"/>
          <w:numId w:val="15"/>
        </w:numPr>
        <w:rPr>
          <w:sz w:val="28"/>
          <w:szCs w:val="28"/>
        </w:rPr>
      </w:pPr>
      <w:r w:rsidRPr="00D74EA8">
        <w:rPr>
          <w:sz w:val="28"/>
          <w:szCs w:val="28"/>
        </w:rPr>
        <w:t xml:space="preserve">when Controlled Foreign Corporation provisions are invoked or </w:t>
      </w:r>
    </w:p>
    <w:p w:rsidR="00D74EA8" w:rsidRDefault="00D74EA8" w:rsidP="00D74EA8">
      <w:pPr>
        <w:pStyle w:val="ListParagraph"/>
        <w:numPr>
          <w:ilvl w:val="0"/>
          <w:numId w:val="15"/>
        </w:numPr>
        <w:rPr>
          <w:sz w:val="28"/>
          <w:szCs w:val="28"/>
        </w:rPr>
      </w:pPr>
      <w:r w:rsidRPr="00D74EA8">
        <w:rPr>
          <w:sz w:val="28"/>
          <w:szCs w:val="28"/>
        </w:rPr>
        <w:t xml:space="preserve">when Branch Profits Tax is levied. </w:t>
      </w:r>
    </w:p>
    <w:p w:rsidR="00EA7052" w:rsidRDefault="00EA7052" w:rsidP="00EA7052">
      <w:pPr>
        <w:rPr>
          <w:sz w:val="28"/>
          <w:szCs w:val="28"/>
        </w:rPr>
      </w:pPr>
    </w:p>
    <w:p w:rsidR="00EA7052" w:rsidRDefault="00EA7052" w:rsidP="00EA7052">
      <w:pPr>
        <w:pStyle w:val="ListParagraph"/>
        <w:numPr>
          <w:ilvl w:val="0"/>
          <w:numId w:val="1"/>
        </w:numPr>
        <w:ind w:left="990" w:hanging="630"/>
        <w:rPr>
          <w:b/>
          <w:sz w:val="28"/>
          <w:szCs w:val="28"/>
          <w:u w:val="single"/>
        </w:rPr>
      </w:pPr>
      <w:r w:rsidRPr="00EA7052">
        <w:rPr>
          <w:b/>
          <w:sz w:val="28"/>
          <w:szCs w:val="28"/>
          <w:u w:val="single"/>
        </w:rPr>
        <w:t>WEALTH TAX</w:t>
      </w:r>
    </w:p>
    <w:p w:rsidR="00EA7052" w:rsidRDefault="00EA7052" w:rsidP="00EA7052">
      <w:pPr>
        <w:pStyle w:val="ListParagraph"/>
        <w:numPr>
          <w:ilvl w:val="0"/>
          <w:numId w:val="17"/>
        </w:numPr>
        <w:ind w:left="360"/>
        <w:rPr>
          <w:sz w:val="28"/>
          <w:szCs w:val="28"/>
        </w:rPr>
      </w:pPr>
      <w:r w:rsidRPr="00EA7052">
        <w:rPr>
          <w:sz w:val="28"/>
          <w:szCs w:val="28"/>
        </w:rPr>
        <w:t xml:space="preserve">DTC provides that wealth tax will be levied on all assets including </w:t>
      </w:r>
      <w:r w:rsidRPr="005A2995">
        <w:rPr>
          <w:i/>
          <w:sz w:val="28"/>
          <w:szCs w:val="28"/>
        </w:rPr>
        <w:t>productive assets</w:t>
      </w:r>
      <w:r w:rsidRPr="00EA7052">
        <w:rPr>
          <w:sz w:val="28"/>
          <w:szCs w:val="28"/>
        </w:rPr>
        <w:t>. This has been criticized on the ground that taxation of productive assets will be against the basic line of charging of wealth tax. Therefore revised code proposed to tax only unproductive asset.</w:t>
      </w:r>
    </w:p>
    <w:p w:rsidR="00EA7052" w:rsidRDefault="00EA7052" w:rsidP="00D74EA8">
      <w:pPr>
        <w:pStyle w:val="ListParagraph"/>
        <w:numPr>
          <w:ilvl w:val="0"/>
          <w:numId w:val="17"/>
        </w:numPr>
        <w:ind w:left="360"/>
        <w:rPr>
          <w:sz w:val="28"/>
          <w:szCs w:val="28"/>
        </w:rPr>
      </w:pPr>
      <w:r>
        <w:rPr>
          <w:sz w:val="28"/>
          <w:szCs w:val="28"/>
        </w:rPr>
        <w:t xml:space="preserve">Again the threshold limit of Rs.50 crores was argued to be too high hence it was decided by govt. to calibrate it in the context of overall tax rates.  </w:t>
      </w:r>
    </w:p>
    <w:p w:rsidR="00EA7052" w:rsidRDefault="00EA7052" w:rsidP="00EA7052">
      <w:pPr>
        <w:rPr>
          <w:sz w:val="28"/>
          <w:szCs w:val="28"/>
        </w:rPr>
      </w:pPr>
    </w:p>
    <w:p w:rsidR="00EA7052" w:rsidRDefault="00EA7052" w:rsidP="00EA7052">
      <w:pPr>
        <w:pStyle w:val="ListParagraph"/>
        <w:numPr>
          <w:ilvl w:val="0"/>
          <w:numId w:val="1"/>
        </w:numPr>
        <w:ind w:left="990" w:hanging="630"/>
        <w:rPr>
          <w:b/>
          <w:sz w:val="28"/>
          <w:szCs w:val="28"/>
          <w:u w:val="single"/>
        </w:rPr>
      </w:pPr>
      <w:r w:rsidRPr="00EA7052">
        <w:rPr>
          <w:b/>
          <w:sz w:val="28"/>
          <w:szCs w:val="28"/>
          <w:u w:val="single"/>
        </w:rPr>
        <w:t>GENERAL ANTI-AVOIDANCE RULE (GAAR)</w:t>
      </w:r>
    </w:p>
    <w:p w:rsidR="008225FA" w:rsidRPr="005F3B84" w:rsidRDefault="008225FA" w:rsidP="00EA7052">
      <w:pPr>
        <w:rPr>
          <w:sz w:val="11"/>
          <w:szCs w:val="11"/>
          <w:u w:val="single"/>
        </w:rPr>
      </w:pPr>
    </w:p>
    <w:p w:rsidR="00FB4FA5" w:rsidRDefault="00FB4FA5" w:rsidP="00EA7052">
      <w:pPr>
        <w:rPr>
          <w:sz w:val="28"/>
          <w:szCs w:val="28"/>
        </w:rPr>
      </w:pPr>
      <w:r w:rsidRPr="00D74EA8">
        <w:rPr>
          <w:sz w:val="28"/>
          <w:szCs w:val="28"/>
          <w:u w:val="single"/>
        </w:rPr>
        <w:t>Original proposals in the DTC</w:t>
      </w:r>
    </w:p>
    <w:p w:rsidR="00FB4FA5" w:rsidRDefault="00FB4FA5" w:rsidP="00FB4FA5">
      <w:pPr>
        <w:rPr>
          <w:sz w:val="28"/>
          <w:szCs w:val="28"/>
        </w:rPr>
      </w:pPr>
      <w:r w:rsidRPr="00FB4FA5">
        <w:rPr>
          <w:sz w:val="28"/>
          <w:szCs w:val="28"/>
        </w:rPr>
        <w:lastRenderedPageBreak/>
        <w:t xml:space="preserve">The code has inserted the concept of GAAR whereby commissioner will be given power to investigate in a case where a taxpayer has entered into an arrangement, the main purpose of which is to obtain a tax benefit and such arrangement is entered or carried on </w:t>
      </w:r>
    </w:p>
    <w:p w:rsidR="00FB4FA5" w:rsidRPr="00FB4FA5" w:rsidRDefault="00FB4FA5" w:rsidP="00091AC2">
      <w:pPr>
        <w:pStyle w:val="ListParagraph"/>
        <w:numPr>
          <w:ilvl w:val="0"/>
          <w:numId w:val="19"/>
        </w:numPr>
        <w:rPr>
          <w:sz w:val="28"/>
          <w:szCs w:val="28"/>
        </w:rPr>
      </w:pPr>
      <w:r w:rsidRPr="00FB4FA5">
        <w:rPr>
          <w:sz w:val="28"/>
          <w:szCs w:val="28"/>
        </w:rPr>
        <w:t xml:space="preserve">in a manner not normally employed for bona-fide business purposes </w:t>
      </w:r>
    </w:p>
    <w:p w:rsidR="00FB4FA5" w:rsidRPr="005A2995" w:rsidRDefault="00FB4FA5" w:rsidP="005A2995">
      <w:pPr>
        <w:pStyle w:val="ListParagraph"/>
        <w:numPr>
          <w:ilvl w:val="0"/>
          <w:numId w:val="21"/>
        </w:numPr>
        <w:rPr>
          <w:sz w:val="28"/>
          <w:szCs w:val="28"/>
        </w:rPr>
      </w:pPr>
      <w:r w:rsidRPr="005A2995">
        <w:rPr>
          <w:sz w:val="28"/>
          <w:szCs w:val="28"/>
        </w:rPr>
        <w:t>or is not at arm</w:t>
      </w:r>
      <w:r w:rsidR="005A2995">
        <w:rPr>
          <w:sz w:val="28"/>
          <w:szCs w:val="28"/>
        </w:rPr>
        <w:t>’</w:t>
      </w:r>
      <w:r w:rsidRPr="005A2995">
        <w:rPr>
          <w:sz w:val="28"/>
          <w:szCs w:val="28"/>
        </w:rPr>
        <w:t xml:space="preserve">s length </w:t>
      </w:r>
    </w:p>
    <w:p w:rsidR="00FB4FA5" w:rsidRPr="00FB4FA5" w:rsidRDefault="00FB4FA5" w:rsidP="00091AC2">
      <w:pPr>
        <w:pStyle w:val="ListParagraph"/>
        <w:numPr>
          <w:ilvl w:val="0"/>
          <w:numId w:val="19"/>
        </w:numPr>
        <w:rPr>
          <w:sz w:val="28"/>
          <w:szCs w:val="28"/>
        </w:rPr>
      </w:pPr>
      <w:r w:rsidRPr="00FB4FA5">
        <w:rPr>
          <w:sz w:val="28"/>
          <w:szCs w:val="28"/>
        </w:rPr>
        <w:t xml:space="preserve">or abuses the provisions of the DTC </w:t>
      </w:r>
    </w:p>
    <w:p w:rsidR="00FB4FA5" w:rsidRPr="00FB4FA5" w:rsidRDefault="00FB4FA5" w:rsidP="00091AC2">
      <w:pPr>
        <w:pStyle w:val="ListParagraph"/>
        <w:numPr>
          <w:ilvl w:val="0"/>
          <w:numId w:val="19"/>
        </w:numPr>
        <w:rPr>
          <w:sz w:val="28"/>
          <w:szCs w:val="28"/>
        </w:rPr>
      </w:pPr>
      <w:r w:rsidRPr="00FB4FA5">
        <w:rPr>
          <w:sz w:val="28"/>
          <w:szCs w:val="28"/>
        </w:rPr>
        <w:t xml:space="preserve">or lacks economic substance.  </w:t>
      </w:r>
    </w:p>
    <w:p w:rsidR="008225FA" w:rsidRPr="005F3B84" w:rsidRDefault="008225FA" w:rsidP="00FB4FA5">
      <w:pPr>
        <w:rPr>
          <w:sz w:val="11"/>
          <w:szCs w:val="11"/>
          <w:u w:val="single"/>
        </w:rPr>
      </w:pPr>
    </w:p>
    <w:p w:rsidR="00E54AAD" w:rsidRDefault="00E54AAD" w:rsidP="00FB4FA5">
      <w:pPr>
        <w:rPr>
          <w:sz w:val="28"/>
          <w:szCs w:val="28"/>
          <w:u w:val="single"/>
        </w:rPr>
      </w:pPr>
    </w:p>
    <w:p w:rsidR="00E54AAD" w:rsidRDefault="00E54AAD" w:rsidP="00FB4FA5">
      <w:pPr>
        <w:rPr>
          <w:sz w:val="28"/>
          <w:szCs w:val="28"/>
          <w:u w:val="single"/>
        </w:rPr>
      </w:pPr>
    </w:p>
    <w:p w:rsidR="00FB4FA5" w:rsidRDefault="00FB4FA5" w:rsidP="00FB4FA5">
      <w:pPr>
        <w:rPr>
          <w:sz w:val="28"/>
          <w:szCs w:val="28"/>
          <w:u w:val="single"/>
        </w:rPr>
      </w:pPr>
      <w:r w:rsidRPr="00FB4FA5">
        <w:rPr>
          <w:sz w:val="28"/>
          <w:szCs w:val="28"/>
          <w:u w:val="single"/>
        </w:rPr>
        <w:t>Issues rose</w:t>
      </w:r>
    </w:p>
    <w:p w:rsidR="008225FA" w:rsidRDefault="00091AC2" w:rsidP="00FB4FA5">
      <w:pPr>
        <w:rPr>
          <w:sz w:val="28"/>
          <w:szCs w:val="28"/>
        </w:rPr>
      </w:pPr>
      <w:r w:rsidRPr="00091AC2">
        <w:rPr>
          <w:sz w:val="28"/>
          <w:szCs w:val="28"/>
        </w:rPr>
        <w:t>Apprehensions have been expressed that the GAAR provision is sweeping in nature and may be invoked by the Assessing Officer in a routine manner. Apprehensions have also been raised that there is no distinction between tax mitigation and tax avoidance as any arrangement to obtain a tax benefit may be considered as an impermissible avoidance arrangement. It has been represented that to avoid arbitrary application of the provisions, further legislative and administrative safeguards be provided. Besides suitable threshold limits for invoking GAAR should be considered.</w:t>
      </w:r>
    </w:p>
    <w:p w:rsidR="005F3B84" w:rsidRPr="005F3B84" w:rsidRDefault="005F3B84" w:rsidP="00FB4FA5">
      <w:pPr>
        <w:rPr>
          <w:sz w:val="11"/>
          <w:szCs w:val="11"/>
          <w:u w:val="single"/>
        </w:rPr>
      </w:pPr>
    </w:p>
    <w:p w:rsidR="00FB4FA5" w:rsidRPr="008225FA" w:rsidRDefault="00FB4FA5" w:rsidP="00FB4FA5">
      <w:pPr>
        <w:rPr>
          <w:sz w:val="28"/>
          <w:szCs w:val="28"/>
        </w:rPr>
      </w:pPr>
      <w:r w:rsidRPr="00D74EA8">
        <w:rPr>
          <w:sz w:val="28"/>
          <w:szCs w:val="28"/>
          <w:u w:val="single"/>
        </w:rPr>
        <w:t>Revised proposals</w:t>
      </w:r>
    </w:p>
    <w:p w:rsidR="00091AC2" w:rsidRPr="00091AC2" w:rsidRDefault="00091AC2" w:rsidP="00091AC2">
      <w:pPr>
        <w:rPr>
          <w:sz w:val="28"/>
          <w:szCs w:val="28"/>
        </w:rPr>
      </w:pPr>
      <w:r w:rsidRPr="00091AC2">
        <w:rPr>
          <w:sz w:val="28"/>
          <w:szCs w:val="28"/>
        </w:rPr>
        <w:t>T</w:t>
      </w:r>
      <w:r w:rsidR="00662735">
        <w:rPr>
          <w:sz w:val="28"/>
          <w:szCs w:val="28"/>
        </w:rPr>
        <w:t>he following safeguards are</w:t>
      </w:r>
      <w:r w:rsidRPr="00091AC2">
        <w:rPr>
          <w:sz w:val="28"/>
          <w:szCs w:val="28"/>
        </w:rPr>
        <w:t xml:space="preserve"> proposed for invoking GAAR provisions:- </w:t>
      </w:r>
    </w:p>
    <w:p w:rsidR="00091AC2" w:rsidRPr="00091AC2" w:rsidRDefault="00091AC2" w:rsidP="00091AC2">
      <w:pPr>
        <w:pStyle w:val="ListParagraph"/>
        <w:numPr>
          <w:ilvl w:val="1"/>
          <w:numId w:val="20"/>
        </w:numPr>
        <w:ind w:left="720"/>
        <w:rPr>
          <w:sz w:val="28"/>
          <w:szCs w:val="28"/>
        </w:rPr>
      </w:pPr>
      <w:r w:rsidRPr="00091AC2">
        <w:rPr>
          <w:sz w:val="28"/>
          <w:szCs w:val="28"/>
        </w:rPr>
        <w:t xml:space="preserve">The Central Board of Direct Taxes will issue guidelines to provide for the circumstances under which GAAR may be invoked. </w:t>
      </w:r>
    </w:p>
    <w:p w:rsidR="00091AC2" w:rsidRPr="005F3B84" w:rsidRDefault="00091AC2" w:rsidP="00091AC2">
      <w:pPr>
        <w:ind w:left="720"/>
        <w:rPr>
          <w:sz w:val="11"/>
          <w:szCs w:val="11"/>
        </w:rPr>
      </w:pPr>
    </w:p>
    <w:p w:rsidR="00091AC2" w:rsidRPr="00091AC2" w:rsidRDefault="00091AC2" w:rsidP="00091AC2">
      <w:pPr>
        <w:pStyle w:val="ListParagraph"/>
        <w:numPr>
          <w:ilvl w:val="1"/>
          <w:numId w:val="20"/>
        </w:numPr>
        <w:ind w:left="720"/>
        <w:rPr>
          <w:sz w:val="28"/>
          <w:szCs w:val="28"/>
        </w:rPr>
      </w:pPr>
      <w:r w:rsidRPr="00091AC2">
        <w:rPr>
          <w:sz w:val="28"/>
          <w:szCs w:val="28"/>
        </w:rPr>
        <w:t xml:space="preserve">GAAR provisions will be invoked only in respect of an arrangement where tax avoidance is beyond a specified threshold limit. </w:t>
      </w:r>
    </w:p>
    <w:p w:rsidR="00091AC2" w:rsidRPr="005F3B84" w:rsidRDefault="00091AC2" w:rsidP="00091AC2">
      <w:pPr>
        <w:ind w:left="720"/>
        <w:rPr>
          <w:sz w:val="11"/>
          <w:szCs w:val="11"/>
        </w:rPr>
      </w:pPr>
    </w:p>
    <w:p w:rsidR="00091AC2" w:rsidRPr="00091AC2" w:rsidRDefault="00091AC2" w:rsidP="00091AC2">
      <w:pPr>
        <w:pStyle w:val="ListParagraph"/>
        <w:numPr>
          <w:ilvl w:val="1"/>
          <w:numId w:val="20"/>
        </w:numPr>
        <w:ind w:left="720"/>
        <w:rPr>
          <w:sz w:val="28"/>
          <w:szCs w:val="28"/>
        </w:rPr>
      </w:pPr>
      <w:r w:rsidRPr="00091AC2">
        <w:rPr>
          <w:sz w:val="28"/>
          <w:szCs w:val="28"/>
        </w:rPr>
        <w:t xml:space="preserve">The forum of Dispute Resolution Panel (DRP) would be available where GAAR provisions are invoked. </w:t>
      </w:r>
    </w:p>
    <w:p w:rsidR="00091AC2" w:rsidRPr="00D74EA8" w:rsidRDefault="00091AC2" w:rsidP="00091AC2">
      <w:pPr>
        <w:ind w:left="720"/>
        <w:rPr>
          <w:sz w:val="28"/>
          <w:szCs w:val="28"/>
          <w:u w:val="single"/>
        </w:rPr>
      </w:pPr>
    </w:p>
    <w:p w:rsidR="00EA7052" w:rsidRDefault="005D6E5F" w:rsidP="00FB4FA5">
      <w:pPr>
        <w:rPr>
          <w:b/>
          <w:sz w:val="28"/>
          <w:szCs w:val="28"/>
          <w:u w:val="single"/>
        </w:rPr>
      </w:pPr>
      <w:r w:rsidRPr="005D6E5F">
        <w:rPr>
          <w:b/>
          <w:sz w:val="28"/>
          <w:szCs w:val="28"/>
          <w:u w:val="single"/>
        </w:rPr>
        <w:t>CONCLUSION</w:t>
      </w:r>
    </w:p>
    <w:p w:rsidR="005D6E5F" w:rsidRPr="005D6E5F" w:rsidRDefault="005D6E5F" w:rsidP="00FB4FA5">
      <w:pPr>
        <w:rPr>
          <w:sz w:val="28"/>
          <w:szCs w:val="28"/>
        </w:rPr>
      </w:pPr>
      <w:r>
        <w:rPr>
          <w:sz w:val="28"/>
          <w:szCs w:val="28"/>
        </w:rPr>
        <w:t>In the revised direct tax code only the above 11 matters have been considered and revised. There may be other aspects which were overlooked by Finance department. Whatever the case may be, DTC is expected to be implemented from 1</w:t>
      </w:r>
      <w:r w:rsidRPr="005D6E5F">
        <w:rPr>
          <w:sz w:val="28"/>
          <w:szCs w:val="28"/>
          <w:vertAlign w:val="superscript"/>
        </w:rPr>
        <w:t>st</w:t>
      </w:r>
      <w:r>
        <w:rPr>
          <w:sz w:val="28"/>
          <w:szCs w:val="28"/>
        </w:rPr>
        <w:t xml:space="preserve"> of April 2011.</w:t>
      </w:r>
    </w:p>
    <w:sectPr w:rsidR="005D6E5F" w:rsidRPr="005D6E5F" w:rsidSect="00186937">
      <w:footerReference w:type="default" r:id="rId8"/>
      <w:pgSz w:w="12240" w:h="15840"/>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E5E" w:rsidRDefault="00D41E5E" w:rsidP="00E54AAD">
      <w:r>
        <w:separator/>
      </w:r>
    </w:p>
  </w:endnote>
  <w:endnote w:type="continuationSeparator" w:id="1">
    <w:p w:rsidR="00D41E5E" w:rsidRDefault="00D41E5E" w:rsidP="00E54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84018"/>
      <w:docPartObj>
        <w:docPartGallery w:val="Page Numbers (Bottom of Page)"/>
        <w:docPartUnique/>
      </w:docPartObj>
    </w:sdtPr>
    <w:sdtContent>
      <w:p w:rsidR="00E54AAD" w:rsidRDefault="00DE4C62">
        <w:pPr>
          <w:pStyle w:val="Footer"/>
          <w:jc w:val="right"/>
        </w:pPr>
        <w:fldSimple w:instr=" PAGE   \* MERGEFORMAT ">
          <w:r w:rsidR="00B94F34">
            <w:rPr>
              <w:noProof/>
            </w:rPr>
            <w:t>8</w:t>
          </w:r>
        </w:fldSimple>
      </w:p>
    </w:sdtContent>
  </w:sdt>
  <w:p w:rsidR="00E54AAD" w:rsidRDefault="00E54A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E5E" w:rsidRDefault="00D41E5E" w:rsidP="00E54AAD">
      <w:r>
        <w:separator/>
      </w:r>
    </w:p>
  </w:footnote>
  <w:footnote w:type="continuationSeparator" w:id="1">
    <w:p w:rsidR="00D41E5E" w:rsidRDefault="00D41E5E" w:rsidP="00E54A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21F18"/>
    <w:multiLevelType w:val="hybridMultilevel"/>
    <w:tmpl w:val="9C001EA4"/>
    <w:lvl w:ilvl="0" w:tplc="4B9055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E128E7"/>
    <w:multiLevelType w:val="hybridMultilevel"/>
    <w:tmpl w:val="A50412E2"/>
    <w:lvl w:ilvl="0" w:tplc="0A06D3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B72BD9"/>
    <w:multiLevelType w:val="hybridMultilevel"/>
    <w:tmpl w:val="B16645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134E8E"/>
    <w:multiLevelType w:val="hybridMultilevel"/>
    <w:tmpl w:val="5AD4D118"/>
    <w:lvl w:ilvl="0" w:tplc="776CE8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C43874"/>
    <w:multiLevelType w:val="hybridMultilevel"/>
    <w:tmpl w:val="868C08CA"/>
    <w:lvl w:ilvl="0" w:tplc="BD5AACAA">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5">
    <w:nsid w:val="252838CB"/>
    <w:multiLevelType w:val="hybridMultilevel"/>
    <w:tmpl w:val="B16645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3B6160"/>
    <w:multiLevelType w:val="hybridMultilevel"/>
    <w:tmpl w:val="5D0CF1AA"/>
    <w:lvl w:ilvl="0" w:tplc="BC3CC0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D05A4F"/>
    <w:multiLevelType w:val="hybridMultilevel"/>
    <w:tmpl w:val="BD1EA15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D84A73"/>
    <w:multiLevelType w:val="hybridMultilevel"/>
    <w:tmpl w:val="57084390"/>
    <w:lvl w:ilvl="0" w:tplc="EF2020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BA21B7"/>
    <w:multiLevelType w:val="hybridMultilevel"/>
    <w:tmpl w:val="A1E42AC4"/>
    <w:lvl w:ilvl="0" w:tplc="D6F2A4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E26357"/>
    <w:multiLevelType w:val="hybridMultilevel"/>
    <w:tmpl w:val="B7B89A92"/>
    <w:lvl w:ilvl="0" w:tplc="8D44133E">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1">
    <w:nsid w:val="63FE6522"/>
    <w:multiLevelType w:val="hybridMultilevel"/>
    <w:tmpl w:val="B16645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12369F"/>
    <w:multiLevelType w:val="hybridMultilevel"/>
    <w:tmpl w:val="D0946142"/>
    <w:lvl w:ilvl="0" w:tplc="845C5D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8913D4"/>
    <w:multiLevelType w:val="hybridMultilevel"/>
    <w:tmpl w:val="B5FE4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A32BFD"/>
    <w:multiLevelType w:val="hybridMultilevel"/>
    <w:tmpl w:val="71A67338"/>
    <w:lvl w:ilvl="0" w:tplc="8D487136">
      <w:start w:val="1"/>
      <w:numFmt w:val="lowerLetter"/>
      <w:lvlText w:val="(%1)"/>
      <w:lvlJc w:val="left"/>
      <w:pPr>
        <w:ind w:left="720" w:hanging="360"/>
      </w:pPr>
      <w:rPr>
        <w:rFonts w:hint="default"/>
      </w:rPr>
    </w:lvl>
    <w:lvl w:ilvl="1" w:tplc="8916903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6A0656"/>
    <w:multiLevelType w:val="hybridMultilevel"/>
    <w:tmpl w:val="7670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5F91A84"/>
    <w:multiLevelType w:val="hybridMultilevel"/>
    <w:tmpl w:val="159093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361EC0"/>
    <w:multiLevelType w:val="hybridMultilevel"/>
    <w:tmpl w:val="A13AB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F53B49"/>
    <w:multiLevelType w:val="hybridMultilevel"/>
    <w:tmpl w:val="6E6A6C22"/>
    <w:lvl w:ilvl="0" w:tplc="53EC14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C12061"/>
    <w:multiLevelType w:val="hybridMultilevel"/>
    <w:tmpl w:val="AAD428E0"/>
    <w:lvl w:ilvl="0" w:tplc="82044B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0C5E71"/>
    <w:multiLevelType w:val="hybridMultilevel"/>
    <w:tmpl w:val="B7943996"/>
    <w:lvl w:ilvl="0" w:tplc="6B0660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8"/>
  </w:num>
  <w:num w:numId="4">
    <w:abstractNumId w:val="10"/>
  </w:num>
  <w:num w:numId="5">
    <w:abstractNumId w:val="4"/>
  </w:num>
  <w:num w:numId="6">
    <w:abstractNumId w:val="1"/>
  </w:num>
  <w:num w:numId="7">
    <w:abstractNumId w:val="9"/>
  </w:num>
  <w:num w:numId="8">
    <w:abstractNumId w:val="19"/>
  </w:num>
  <w:num w:numId="9">
    <w:abstractNumId w:val="6"/>
  </w:num>
  <w:num w:numId="10">
    <w:abstractNumId w:val="20"/>
  </w:num>
  <w:num w:numId="11">
    <w:abstractNumId w:val="18"/>
  </w:num>
  <w:num w:numId="12">
    <w:abstractNumId w:val="0"/>
  </w:num>
  <w:num w:numId="13">
    <w:abstractNumId w:val="2"/>
  </w:num>
  <w:num w:numId="14">
    <w:abstractNumId w:val="11"/>
  </w:num>
  <w:num w:numId="15">
    <w:abstractNumId w:val="17"/>
  </w:num>
  <w:num w:numId="16">
    <w:abstractNumId w:val="3"/>
  </w:num>
  <w:num w:numId="17">
    <w:abstractNumId w:val="14"/>
  </w:num>
  <w:num w:numId="18">
    <w:abstractNumId w:val="16"/>
  </w:num>
  <w:num w:numId="19">
    <w:abstractNumId w:val="13"/>
  </w:num>
  <w:num w:numId="20">
    <w:abstractNumId w:val="7"/>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23B91"/>
    <w:rsid w:val="00035EE9"/>
    <w:rsid w:val="00067C56"/>
    <w:rsid w:val="00085E6F"/>
    <w:rsid w:val="00091AC2"/>
    <w:rsid w:val="000A0B45"/>
    <w:rsid w:val="000C2AAA"/>
    <w:rsid w:val="000C65F7"/>
    <w:rsid w:val="00125F26"/>
    <w:rsid w:val="00186937"/>
    <w:rsid w:val="00187EF6"/>
    <w:rsid w:val="001902DA"/>
    <w:rsid w:val="00190C80"/>
    <w:rsid w:val="00277FDF"/>
    <w:rsid w:val="002C3B70"/>
    <w:rsid w:val="0036038C"/>
    <w:rsid w:val="003A32C0"/>
    <w:rsid w:val="003C4FD4"/>
    <w:rsid w:val="003C73FA"/>
    <w:rsid w:val="00425BEE"/>
    <w:rsid w:val="004A1976"/>
    <w:rsid w:val="00527590"/>
    <w:rsid w:val="0054516F"/>
    <w:rsid w:val="005A2995"/>
    <w:rsid w:val="005C2101"/>
    <w:rsid w:val="005C48D0"/>
    <w:rsid w:val="005D6E5F"/>
    <w:rsid w:val="005F3B84"/>
    <w:rsid w:val="005F468D"/>
    <w:rsid w:val="005F5CD8"/>
    <w:rsid w:val="00662735"/>
    <w:rsid w:val="006672CE"/>
    <w:rsid w:val="006942EC"/>
    <w:rsid w:val="006A2E62"/>
    <w:rsid w:val="006B3F5C"/>
    <w:rsid w:val="00701364"/>
    <w:rsid w:val="00780FBE"/>
    <w:rsid w:val="008225FA"/>
    <w:rsid w:val="008738B1"/>
    <w:rsid w:val="008D63EC"/>
    <w:rsid w:val="009224FE"/>
    <w:rsid w:val="00923B91"/>
    <w:rsid w:val="00963857"/>
    <w:rsid w:val="00972D51"/>
    <w:rsid w:val="009B7EA7"/>
    <w:rsid w:val="00B53D8E"/>
    <w:rsid w:val="00B94F34"/>
    <w:rsid w:val="00BD6F7A"/>
    <w:rsid w:val="00BE0358"/>
    <w:rsid w:val="00BE5B8D"/>
    <w:rsid w:val="00BF07E8"/>
    <w:rsid w:val="00C15D59"/>
    <w:rsid w:val="00D138F9"/>
    <w:rsid w:val="00D27556"/>
    <w:rsid w:val="00D41E5E"/>
    <w:rsid w:val="00D74EA8"/>
    <w:rsid w:val="00DA2DA2"/>
    <w:rsid w:val="00DE32BC"/>
    <w:rsid w:val="00DE4C62"/>
    <w:rsid w:val="00E23910"/>
    <w:rsid w:val="00E2417F"/>
    <w:rsid w:val="00E54AAD"/>
    <w:rsid w:val="00E5757F"/>
    <w:rsid w:val="00E86D3A"/>
    <w:rsid w:val="00E96D0F"/>
    <w:rsid w:val="00EA7052"/>
    <w:rsid w:val="00EB6D7D"/>
    <w:rsid w:val="00EC1186"/>
    <w:rsid w:val="00EE013D"/>
    <w:rsid w:val="00EE49DA"/>
    <w:rsid w:val="00F030EC"/>
    <w:rsid w:val="00F240E8"/>
    <w:rsid w:val="00F63841"/>
    <w:rsid w:val="00F67E23"/>
    <w:rsid w:val="00FB4FA5"/>
    <w:rsid w:val="00FE0926"/>
    <w:rsid w:val="00FE5D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13D"/>
  </w:style>
  <w:style w:type="paragraph" w:styleId="Heading1">
    <w:name w:val="heading 1"/>
    <w:basedOn w:val="Normal"/>
    <w:next w:val="Normal"/>
    <w:link w:val="Heading1Char"/>
    <w:uiPriority w:val="9"/>
    <w:qFormat/>
    <w:rsid w:val="00EE013D"/>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E013D"/>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E013D"/>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E013D"/>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E013D"/>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E013D"/>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E013D"/>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E013D"/>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013D"/>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13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EE013D"/>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EE013D"/>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E013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E013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E013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E013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013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013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E013D"/>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E013D"/>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E013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E013D"/>
    <w:rPr>
      <w:rFonts w:asciiTheme="majorHAnsi" w:eastAsiaTheme="majorEastAsia" w:hAnsiTheme="majorHAnsi" w:cstheme="majorBidi"/>
      <w:i/>
      <w:iCs/>
      <w:spacing w:val="13"/>
      <w:sz w:val="24"/>
      <w:szCs w:val="24"/>
    </w:rPr>
  </w:style>
  <w:style w:type="character" w:styleId="Strong">
    <w:name w:val="Strong"/>
    <w:uiPriority w:val="22"/>
    <w:qFormat/>
    <w:rsid w:val="00EE013D"/>
    <w:rPr>
      <w:b/>
      <w:bCs/>
    </w:rPr>
  </w:style>
  <w:style w:type="character" w:styleId="Emphasis">
    <w:name w:val="Emphasis"/>
    <w:uiPriority w:val="20"/>
    <w:qFormat/>
    <w:rsid w:val="00EE013D"/>
    <w:rPr>
      <w:b/>
      <w:bCs/>
      <w:i/>
      <w:iCs/>
      <w:spacing w:val="10"/>
      <w:bdr w:val="none" w:sz="0" w:space="0" w:color="auto"/>
      <w:shd w:val="clear" w:color="auto" w:fill="auto"/>
    </w:rPr>
  </w:style>
  <w:style w:type="paragraph" w:styleId="NoSpacing">
    <w:name w:val="No Spacing"/>
    <w:basedOn w:val="Normal"/>
    <w:uiPriority w:val="1"/>
    <w:qFormat/>
    <w:rsid w:val="00EE013D"/>
  </w:style>
  <w:style w:type="paragraph" w:styleId="ListParagraph">
    <w:name w:val="List Paragraph"/>
    <w:basedOn w:val="Normal"/>
    <w:uiPriority w:val="34"/>
    <w:qFormat/>
    <w:rsid w:val="00EE013D"/>
    <w:pPr>
      <w:ind w:left="720"/>
      <w:contextualSpacing/>
    </w:pPr>
  </w:style>
  <w:style w:type="paragraph" w:styleId="Quote">
    <w:name w:val="Quote"/>
    <w:basedOn w:val="Normal"/>
    <w:next w:val="Normal"/>
    <w:link w:val="QuoteChar"/>
    <w:uiPriority w:val="29"/>
    <w:qFormat/>
    <w:rsid w:val="00EE013D"/>
    <w:pPr>
      <w:spacing w:before="200"/>
      <w:ind w:left="360" w:right="360"/>
    </w:pPr>
    <w:rPr>
      <w:i/>
      <w:iCs/>
    </w:rPr>
  </w:style>
  <w:style w:type="character" w:customStyle="1" w:styleId="QuoteChar">
    <w:name w:val="Quote Char"/>
    <w:basedOn w:val="DefaultParagraphFont"/>
    <w:link w:val="Quote"/>
    <w:uiPriority w:val="29"/>
    <w:rsid w:val="00EE013D"/>
    <w:rPr>
      <w:i/>
      <w:iCs/>
    </w:rPr>
  </w:style>
  <w:style w:type="paragraph" w:styleId="IntenseQuote">
    <w:name w:val="Intense Quote"/>
    <w:basedOn w:val="Normal"/>
    <w:next w:val="Normal"/>
    <w:link w:val="IntenseQuoteChar"/>
    <w:uiPriority w:val="30"/>
    <w:qFormat/>
    <w:rsid w:val="00EE013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E013D"/>
    <w:rPr>
      <w:b/>
      <w:bCs/>
      <w:i/>
      <w:iCs/>
    </w:rPr>
  </w:style>
  <w:style w:type="character" w:styleId="SubtleEmphasis">
    <w:name w:val="Subtle Emphasis"/>
    <w:uiPriority w:val="19"/>
    <w:qFormat/>
    <w:rsid w:val="00EE013D"/>
    <w:rPr>
      <w:i/>
      <w:iCs/>
    </w:rPr>
  </w:style>
  <w:style w:type="character" w:styleId="IntenseEmphasis">
    <w:name w:val="Intense Emphasis"/>
    <w:uiPriority w:val="21"/>
    <w:qFormat/>
    <w:rsid w:val="00EE013D"/>
    <w:rPr>
      <w:b/>
      <w:bCs/>
    </w:rPr>
  </w:style>
  <w:style w:type="character" w:styleId="SubtleReference">
    <w:name w:val="Subtle Reference"/>
    <w:uiPriority w:val="31"/>
    <w:qFormat/>
    <w:rsid w:val="00EE013D"/>
    <w:rPr>
      <w:smallCaps/>
    </w:rPr>
  </w:style>
  <w:style w:type="character" w:styleId="IntenseReference">
    <w:name w:val="Intense Reference"/>
    <w:uiPriority w:val="32"/>
    <w:qFormat/>
    <w:rsid w:val="00EE013D"/>
    <w:rPr>
      <w:smallCaps/>
      <w:spacing w:val="5"/>
      <w:u w:val="single"/>
    </w:rPr>
  </w:style>
  <w:style w:type="character" w:styleId="BookTitle">
    <w:name w:val="Book Title"/>
    <w:uiPriority w:val="33"/>
    <w:qFormat/>
    <w:rsid w:val="00EE013D"/>
    <w:rPr>
      <w:i/>
      <w:iCs/>
      <w:smallCaps/>
      <w:spacing w:val="5"/>
    </w:rPr>
  </w:style>
  <w:style w:type="paragraph" w:styleId="TOCHeading">
    <w:name w:val="TOC Heading"/>
    <w:basedOn w:val="Heading1"/>
    <w:next w:val="Normal"/>
    <w:uiPriority w:val="39"/>
    <w:semiHidden/>
    <w:unhideWhenUsed/>
    <w:qFormat/>
    <w:rsid w:val="00EE013D"/>
    <w:pPr>
      <w:outlineLvl w:val="9"/>
    </w:pPr>
  </w:style>
  <w:style w:type="paragraph" w:customStyle="1" w:styleId="Default">
    <w:name w:val="Default"/>
    <w:rsid w:val="00085E6F"/>
    <w:pPr>
      <w:autoSpaceDE w:val="0"/>
      <w:autoSpaceDN w:val="0"/>
      <w:adjustRightInd w:val="0"/>
    </w:pPr>
    <w:rPr>
      <w:rFonts w:ascii="Arial" w:hAnsi="Arial" w:cs="Arial"/>
      <w:color w:val="000000"/>
      <w:sz w:val="24"/>
      <w:szCs w:val="24"/>
      <w:lang w:bidi="ar-SA"/>
    </w:rPr>
  </w:style>
  <w:style w:type="table" w:styleId="TableGrid">
    <w:name w:val="Table Grid"/>
    <w:basedOn w:val="TableNormal"/>
    <w:uiPriority w:val="59"/>
    <w:rsid w:val="00085E6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54AAD"/>
    <w:pPr>
      <w:tabs>
        <w:tab w:val="center" w:pos="4680"/>
        <w:tab w:val="right" w:pos="9360"/>
      </w:tabs>
    </w:pPr>
  </w:style>
  <w:style w:type="character" w:customStyle="1" w:styleId="HeaderChar">
    <w:name w:val="Header Char"/>
    <w:basedOn w:val="DefaultParagraphFont"/>
    <w:link w:val="Header"/>
    <w:uiPriority w:val="99"/>
    <w:semiHidden/>
    <w:rsid w:val="00E54AAD"/>
  </w:style>
  <w:style w:type="paragraph" w:styleId="Footer">
    <w:name w:val="footer"/>
    <w:basedOn w:val="Normal"/>
    <w:link w:val="FooterChar"/>
    <w:uiPriority w:val="99"/>
    <w:unhideWhenUsed/>
    <w:rsid w:val="00E54AAD"/>
    <w:pPr>
      <w:tabs>
        <w:tab w:val="center" w:pos="4680"/>
        <w:tab w:val="right" w:pos="9360"/>
      </w:tabs>
    </w:pPr>
  </w:style>
  <w:style w:type="character" w:customStyle="1" w:styleId="FooterChar">
    <w:name w:val="Footer Char"/>
    <w:basedOn w:val="DefaultParagraphFont"/>
    <w:link w:val="Footer"/>
    <w:uiPriority w:val="99"/>
    <w:rsid w:val="00E54AAD"/>
  </w:style>
  <w:style w:type="character" w:styleId="Hyperlink">
    <w:name w:val="Hyperlink"/>
    <w:basedOn w:val="DefaultParagraphFont"/>
    <w:uiPriority w:val="99"/>
    <w:unhideWhenUsed/>
    <w:rsid w:val="00190C8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A432B-50DB-4FC4-92D7-0BD07803C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8</Pages>
  <Words>2915</Words>
  <Characters>16620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GRK</dc:creator>
  <cp:keywords/>
  <dc:description/>
  <cp:lastModifiedBy>GRK</cp:lastModifiedBy>
  <cp:revision>46</cp:revision>
  <cp:lastPrinted>2010-07-31T18:58:00Z</cp:lastPrinted>
  <dcterms:created xsi:type="dcterms:W3CDTF">2010-07-31T07:34:00Z</dcterms:created>
  <dcterms:modified xsi:type="dcterms:W3CDTF">2010-08-02T05:40:00Z</dcterms:modified>
</cp:coreProperties>
</file>