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top w:w="60" w:type="dxa"/>
          <w:left w:w="60" w:type="dxa"/>
          <w:bottom w:w="60" w:type="dxa"/>
          <w:right w:w="60" w:type="dxa"/>
        </w:tblCellMar>
        <w:tblLook w:val="04A0"/>
      </w:tblPr>
      <w:tblGrid>
        <w:gridCol w:w="9480"/>
      </w:tblGrid>
      <w:tr w:rsidR="00F2260E" w:rsidRPr="00F2260E" w:rsidTr="00F2260E">
        <w:trPr>
          <w:tblCellSpacing w:w="0" w:type="dxa"/>
          <w:jc w:val="center"/>
        </w:trPr>
        <w:tc>
          <w:tcPr>
            <w:tcW w:w="0" w:type="auto"/>
            <w:shd w:val="clear" w:color="auto" w:fill="4D4B7C"/>
            <w:vAlign w:val="center"/>
            <w:hideMark/>
          </w:tcPr>
          <w:p w:rsidR="00F2260E" w:rsidRPr="00F2260E" w:rsidRDefault="00F2260E" w:rsidP="00F2260E">
            <w:pPr>
              <w:spacing w:after="0" w:line="240" w:lineRule="auto"/>
              <w:jc w:val="center"/>
              <w:rPr>
                <w:rFonts w:ascii="Times New Roman" w:eastAsia="Times New Roman" w:hAnsi="Times New Roman" w:cs="Times New Roman"/>
                <w:sz w:val="24"/>
                <w:szCs w:val="24"/>
              </w:rPr>
            </w:pPr>
            <w:r w:rsidRPr="00F2260E">
              <w:rPr>
                <w:rFonts w:ascii="Times New Roman" w:eastAsia="Times New Roman" w:hAnsi="Times New Roman" w:cs="Times New Roman"/>
                <w:b/>
                <w:bCs/>
                <w:color w:val="FFFFFF"/>
                <w:sz w:val="24"/>
                <w:szCs w:val="24"/>
              </w:rPr>
              <w:t xml:space="preserve">Is </w:t>
            </w:r>
            <w:proofErr w:type="spellStart"/>
            <w:r w:rsidRPr="00F2260E">
              <w:rPr>
                <w:rFonts w:ascii="Times New Roman" w:eastAsia="Times New Roman" w:hAnsi="Times New Roman" w:cs="Times New Roman"/>
                <w:b/>
                <w:bCs/>
                <w:color w:val="FFFFFF"/>
                <w:sz w:val="24"/>
                <w:szCs w:val="24"/>
              </w:rPr>
              <w:t>Syncome</w:t>
            </w:r>
            <w:proofErr w:type="spellEnd"/>
            <w:r w:rsidRPr="00F2260E">
              <w:rPr>
                <w:rFonts w:ascii="Times New Roman" w:eastAsia="Times New Roman" w:hAnsi="Times New Roman" w:cs="Times New Roman"/>
                <w:b/>
                <w:bCs/>
                <w:color w:val="FFFFFF"/>
                <w:sz w:val="24"/>
                <w:szCs w:val="24"/>
              </w:rPr>
              <w:t xml:space="preserve"> Formulations (I) Ltd. [292 ITR (AT) 144 (SB</w:t>
            </w:r>
            <w:proofErr w:type="gramStart"/>
            <w:r w:rsidRPr="00F2260E">
              <w:rPr>
                <w:rFonts w:ascii="Times New Roman" w:eastAsia="Times New Roman" w:hAnsi="Times New Roman" w:cs="Times New Roman"/>
                <w:b/>
                <w:bCs/>
                <w:color w:val="FFFFFF"/>
                <w:sz w:val="24"/>
                <w:szCs w:val="24"/>
              </w:rPr>
              <w:t>)(</w:t>
            </w:r>
            <w:proofErr w:type="gramEnd"/>
            <w:r w:rsidRPr="00F2260E">
              <w:rPr>
                <w:rFonts w:ascii="Times New Roman" w:eastAsia="Times New Roman" w:hAnsi="Times New Roman" w:cs="Times New Roman"/>
                <w:b/>
                <w:bCs/>
                <w:color w:val="FFFFFF"/>
                <w:sz w:val="24"/>
                <w:szCs w:val="24"/>
              </w:rPr>
              <w:t>Mum.)] Still a Good Law?</w:t>
            </w:r>
          </w:p>
        </w:tc>
      </w:tr>
    </w:tbl>
    <w:p w:rsidR="00F2260E" w:rsidRPr="00F2260E" w:rsidRDefault="00F2260E" w:rsidP="00F2260E">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tblPr>
      <w:tblGrid>
        <w:gridCol w:w="2392"/>
        <w:gridCol w:w="7088"/>
      </w:tblGrid>
      <w:tr w:rsidR="00F2260E" w:rsidRPr="00F2260E" w:rsidTr="00F2260E">
        <w:trPr>
          <w:tblCellSpacing w:w="15" w:type="dxa"/>
        </w:trPr>
        <w:tc>
          <w:tcPr>
            <w:tcW w:w="1250" w:type="pct"/>
            <w:shd w:val="clear" w:color="auto" w:fill="EEF3FF"/>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b/>
                <w:bCs/>
                <w:color w:val="000099"/>
                <w:sz w:val="20"/>
                <w:szCs w:val="20"/>
              </w:rPr>
              <w:t>Subject :</w:t>
            </w:r>
          </w:p>
        </w:tc>
        <w:tc>
          <w:tcPr>
            <w:tcW w:w="0" w:type="auto"/>
            <w:shd w:val="clear" w:color="auto" w:fill="F6F6F6"/>
            <w:vAlign w:val="center"/>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sz w:val="20"/>
                <w:szCs w:val="20"/>
              </w:rPr>
              <w:t>Income Tax Law</w:t>
            </w:r>
          </w:p>
        </w:tc>
      </w:tr>
      <w:tr w:rsidR="00F2260E" w:rsidRPr="00F2260E" w:rsidTr="00F2260E">
        <w:trPr>
          <w:tblCellSpacing w:w="15" w:type="dxa"/>
        </w:trPr>
        <w:tc>
          <w:tcPr>
            <w:tcW w:w="0" w:type="auto"/>
            <w:shd w:val="clear" w:color="auto" w:fill="EEF3FF"/>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b/>
                <w:bCs/>
                <w:color w:val="000099"/>
                <w:sz w:val="20"/>
                <w:szCs w:val="20"/>
              </w:rPr>
              <w:t>Month-Year :</w:t>
            </w:r>
          </w:p>
        </w:tc>
        <w:tc>
          <w:tcPr>
            <w:tcW w:w="0" w:type="auto"/>
            <w:shd w:val="clear" w:color="auto" w:fill="F6F6F6"/>
            <w:vAlign w:val="center"/>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sz w:val="20"/>
                <w:szCs w:val="20"/>
              </w:rPr>
              <w:t>Apr 2010</w:t>
            </w:r>
          </w:p>
        </w:tc>
      </w:tr>
      <w:tr w:rsidR="00F2260E" w:rsidRPr="00F2260E" w:rsidTr="00F2260E">
        <w:trPr>
          <w:tblCellSpacing w:w="15" w:type="dxa"/>
        </w:trPr>
        <w:tc>
          <w:tcPr>
            <w:tcW w:w="0" w:type="auto"/>
            <w:shd w:val="clear" w:color="auto" w:fill="EEF3FF"/>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b/>
                <w:bCs/>
                <w:color w:val="000099"/>
                <w:sz w:val="20"/>
                <w:szCs w:val="20"/>
              </w:rPr>
              <w:t>Author/s :</w:t>
            </w:r>
          </w:p>
        </w:tc>
        <w:tc>
          <w:tcPr>
            <w:tcW w:w="0" w:type="auto"/>
            <w:shd w:val="clear" w:color="auto" w:fill="F6F6F6"/>
            <w:vAlign w:val="center"/>
            <w:hideMark/>
          </w:tcPr>
          <w:p w:rsidR="00F2260E" w:rsidRPr="00F2260E" w:rsidRDefault="00F2260E" w:rsidP="00F2260E">
            <w:pPr>
              <w:spacing w:after="0" w:line="240" w:lineRule="auto"/>
              <w:rPr>
                <w:rFonts w:ascii="Times New Roman" w:eastAsia="Times New Roman" w:hAnsi="Times New Roman" w:cs="Times New Roman"/>
                <w:sz w:val="24"/>
                <w:szCs w:val="24"/>
              </w:rPr>
            </w:pPr>
            <w:proofErr w:type="spellStart"/>
            <w:r w:rsidRPr="00F2260E">
              <w:rPr>
                <w:rFonts w:ascii="Verdana" w:eastAsia="Times New Roman" w:hAnsi="Verdana" w:cs="Times New Roman"/>
                <w:sz w:val="20"/>
                <w:szCs w:val="20"/>
              </w:rPr>
              <w:t>Dharmesh</w:t>
            </w:r>
            <w:proofErr w:type="spellEnd"/>
            <w:r w:rsidRPr="00F2260E">
              <w:rPr>
                <w:rFonts w:ascii="Verdana" w:eastAsia="Times New Roman" w:hAnsi="Verdana" w:cs="Times New Roman"/>
                <w:sz w:val="20"/>
                <w:szCs w:val="20"/>
              </w:rPr>
              <w:t xml:space="preserve"> Shah</w:t>
            </w:r>
            <w:r w:rsidRPr="00F2260E">
              <w:rPr>
                <w:rFonts w:ascii="Verdana" w:eastAsia="Times New Roman" w:hAnsi="Verdana" w:cs="Times New Roman"/>
                <w:sz w:val="20"/>
                <w:szCs w:val="20"/>
              </w:rPr>
              <w:br/>
              <w:t>Chartered Accountant</w:t>
            </w:r>
          </w:p>
        </w:tc>
      </w:tr>
      <w:tr w:rsidR="00F2260E" w:rsidRPr="00F2260E" w:rsidTr="00F2260E">
        <w:trPr>
          <w:tblCellSpacing w:w="15" w:type="dxa"/>
        </w:trPr>
        <w:tc>
          <w:tcPr>
            <w:tcW w:w="0" w:type="auto"/>
            <w:shd w:val="clear" w:color="auto" w:fill="EEF3FF"/>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b/>
                <w:bCs/>
                <w:color w:val="000099"/>
                <w:sz w:val="20"/>
                <w:szCs w:val="20"/>
              </w:rPr>
              <w:t>Topic :</w:t>
            </w:r>
          </w:p>
        </w:tc>
        <w:tc>
          <w:tcPr>
            <w:tcW w:w="0" w:type="auto"/>
            <w:shd w:val="clear" w:color="auto" w:fill="F6F6F6"/>
            <w:vAlign w:val="center"/>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sz w:val="20"/>
                <w:szCs w:val="20"/>
              </w:rPr>
              <w:t xml:space="preserve">Is </w:t>
            </w:r>
            <w:proofErr w:type="spellStart"/>
            <w:r w:rsidRPr="00F2260E">
              <w:rPr>
                <w:rFonts w:ascii="Verdana" w:eastAsia="Times New Roman" w:hAnsi="Verdana" w:cs="Times New Roman"/>
                <w:sz w:val="20"/>
                <w:szCs w:val="20"/>
              </w:rPr>
              <w:t>Syncome</w:t>
            </w:r>
            <w:proofErr w:type="spellEnd"/>
            <w:r w:rsidRPr="00F2260E">
              <w:rPr>
                <w:rFonts w:ascii="Verdana" w:eastAsia="Times New Roman" w:hAnsi="Verdana" w:cs="Times New Roman"/>
                <w:sz w:val="20"/>
                <w:szCs w:val="20"/>
              </w:rPr>
              <w:t xml:space="preserve"> Formulations (I) Ltd. [292 ITR (AT) 144 (SB</w:t>
            </w:r>
            <w:proofErr w:type="gramStart"/>
            <w:r w:rsidRPr="00F2260E">
              <w:rPr>
                <w:rFonts w:ascii="Verdana" w:eastAsia="Times New Roman" w:hAnsi="Verdana" w:cs="Times New Roman"/>
                <w:sz w:val="20"/>
                <w:szCs w:val="20"/>
              </w:rPr>
              <w:t>)(</w:t>
            </w:r>
            <w:proofErr w:type="gramEnd"/>
            <w:r w:rsidRPr="00F2260E">
              <w:rPr>
                <w:rFonts w:ascii="Verdana" w:eastAsia="Times New Roman" w:hAnsi="Verdana" w:cs="Times New Roman"/>
                <w:sz w:val="20"/>
                <w:szCs w:val="20"/>
              </w:rPr>
              <w:t>Mum.)] Still a Good Law?</w:t>
            </w:r>
          </w:p>
        </w:tc>
      </w:tr>
    </w:tbl>
    <w:p w:rsidR="00F2260E" w:rsidRPr="00F2260E" w:rsidRDefault="00F2260E" w:rsidP="00F2260E">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tblPr>
      <w:tblGrid>
        <w:gridCol w:w="9420"/>
      </w:tblGrid>
      <w:tr w:rsidR="00F2260E" w:rsidRPr="00F2260E" w:rsidTr="00F2260E">
        <w:trPr>
          <w:tblCellSpacing w:w="0" w:type="dxa"/>
          <w:jc w:val="center"/>
        </w:trPr>
        <w:tc>
          <w:tcPr>
            <w:tcW w:w="0" w:type="auto"/>
            <w:hideMark/>
          </w:tcPr>
          <w:p w:rsidR="00F2260E" w:rsidRPr="00F2260E" w:rsidRDefault="00F2260E" w:rsidP="00F2260E">
            <w:pPr>
              <w:spacing w:after="0" w:line="240" w:lineRule="auto"/>
              <w:rPr>
                <w:rFonts w:ascii="Times New Roman" w:eastAsia="Times New Roman" w:hAnsi="Times New Roman" w:cs="Times New Roman"/>
                <w:sz w:val="24"/>
                <w:szCs w:val="24"/>
              </w:rPr>
            </w:pPr>
            <w:r w:rsidRPr="00F2260E">
              <w:rPr>
                <w:rFonts w:ascii="Verdana" w:eastAsia="Times New Roman" w:hAnsi="Verdana" w:cs="Times New Roman"/>
                <w:b/>
                <w:bCs/>
                <w:color w:val="000099"/>
                <w:sz w:val="20"/>
                <w:szCs w:val="20"/>
              </w:rPr>
              <w:t>Article Details :</w:t>
            </w:r>
          </w:p>
        </w:tc>
      </w:tr>
      <w:tr w:rsidR="00F2260E" w:rsidRPr="00F2260E" w:rsidTr="00F2260E">
        <w:trPr>
          <w:tblCellSpacing w:w="0" w:type="dxa"/>
          <w:jc w:val="center"/>
        </w:trPr>
        <w:tc>
          <w:tcPr>
            <w:tcW w:w="0" w:type="auto"/>
            <w:shd w:val="clear" w:color="auto" w:fill="F6F6F6"/>
            <w:hideMark/>
          </w:tcPr>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I. </w:t>
            </w:r>
            <w:r w:rsidRPr="00F2260E">
              <w:rPr>
                <w:rFonts w:ascii="Tahoma" w:eastAsia="Times New Roman" w:hAnsi="Tahoma" w:cs="Tahoma"/>
                <w:b/>
                <w:bCs/>
                <w:sz w:val="20"/>
                <w:szCs w:val="20"/>
              </w:rPr>
              <w:t>Introduction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 The calculation of deduction u/s.80HHC of the Income-tax Act itself is a complex issue. The complexity is further increased when one attempts to calculate the deduction u/s.80HHC of the Act for the purpose of making adjustments u/s.115JA/JB of the Act in order to arrive at the ‘book profit’. The Special Bench in the case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[292 ITR (AT) 144 (Mum.)] held that for the purpose of S. 115JB, the deduction u/s.80HHC of the Act has to be calculated with reference to the adjusted book profits and not the normal gross total income.</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2. Recently, the Bombay High Court has rendered a decision in the case of </w:t>
            </w:r>
            <w:r w:rsidRPr="00F2260E">
              <w:rPr>
                <w:rFonts w:ascii="Tahoma" w:eastAsia="Times New Roman" w:hAnsi="Tahoma" w:cs="Tahoma"/>
                <w:i/>
                <w:iCs/>
                <w:sz w:val="20"/>
                <w:szCs w:val="20"/>
              </w:rPr>
              <w:t xml:space="preserve">CIT v. Ajanta </w:t>
            </w:r>
            <w:proofErr w:type="spellStart"/>
            <w:r w:rsidRPr="00F2260E">
              <w:rPr>
                <w:rFonts w:ascii="Tahoma" w:eastAsia="Times New Roman" w:hAnsi="Tahoma" w:cs="Tahoma"/>
                <w:i/>
                <w:iCs/>
                <w:sz w:val="20"/>
                <w:szCs w:val="20"/>
              </w:rPr>
              <w:t>Pharma</w:t>
            </w:r>
            <w:proofErr w:type="spellEnd"/>
            <w:r w:rsidRPr="00F2260E">
              <w:rPr>
                <w:rFonts w:ascii="Tahoma" w:eastAsia="Times New Roman" w:hAnsi="Tahoma" w:cs="Tahoma"/>
                <w:i/>
                <w:iCs/>
                <w:sz w:val="20"/>
                <w:szCs w:val="20"/>
              </w:rPr>
              <w:t xml:space="preserve"> Ltd. </w:t>
            </w:r>
            <w:r w:rsidRPr="00F2260E">
              <w:rPr>
                <w:rFonts w:ascii="Tahoma" w:eastAsia="Times New Roman" w:hAnsi="Tahoma" w:cs="Tahoma"/>
                <w:sz w:val="20"/>
                <w:szCs w:val="20"/>
              </w:rPr>
              <w:t xml:space="preserve">reported at (318 ITR 252). In the </w:t>
            </w:r>
            <w:proofErr w:type="spellStart"/>
            <w:r w:rsidRPr="00F2260E">
              <w:rPr>
                <w:rFonts w:ascii="Tahoma" w:eastAsia="Times New Roman" w:hAnsi="Tahoma" w:cs="Tahoma"/>
                <w:sz w:val="20"/>
                <w:szCs w:val="20"/>
              </w:rPr>
              <w:t>said</w:t>
            </w:r>
            <w:proofErr w:type="spellEnd"/>
            <w:r w:rsidRPr="00F2260E">
              <w:rPr>
                <w:rFonts w:ascii="Tahoma" w:eastAsia="Times New Roman" w:hAnsi="Tahoma" w:cs="Tahoma"/>
                <w:sz w:val="20"/>
                <w:szCs w:val="20"/>
              </w:rPr>
              <w:t xml:space="preserve"> decision, the Bombay High Court has observed at </w:t>
            </w:r>
            <w:proofErr w:type="spellStart"/>
            <w:r w:rsidRPr="00F2260E">
              <w:rPr>
                <w:rFonts w:ascii="Tahoma" w:eastAsia="Times New Roman" w:hAnsi="Tahoma" w:cs="Tahoma"/>
                <w:sz w:val="20"/>
                <w:szCs w:val="20"/>
              </w:rPr>
              <w:t>para</w:t>
            </w:r>
            <w:proofErr w:type="spellEnd"/>
            <w:r w:rsidRPr="00F2260E">
              <w:rPr>
                <w:rFonts w:ascii="Tahoma" w:eastAsia="Times New Roman" w:hAnsi="Tahoma" w:cs="Tahoma"/>
                <w:sz w:val="20"/>
                <w:szCs w:val="20"/>
              </w:rPr>
              <w:t xml:space="preserve"> 36, page 269 as under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“We have had the benefit of going through the reasoning and the orders in </w:t>
            </w:r>
            <w:r w:rsidRPr="00F2260E">
              <w:rPr>
                <w:rFonts w:ascii="Tahoma" w:eastAsia="Times New Roman" w:hAnsi="Tahoma" w:cs="Tahoma"/>
                <w:i/>
                <w:iCs/>
                <w:sz w:val="20"/>
                <w:szCs w:val="20"/>
              </w:rPr>
              <w:t xml:space="preserve">Deputy CIT v. </w:t>
            </w:r>
            <w:proofErr w:type="spellStart"/>
            <w:r w:rsidRPr="00F2260E">
              <w:rPr>
                <w:rFonts w:ascii="Tahoma" w:eastAsia="Times New Roman" w:hAnsi="Tahoma" w:cs="Tahoma"/>
                <w:i/>
                <w:iCs/>
                <w:sz w:val="20"/>
                <w:szCs w:val="20"/>
              </w:rPr>
              <w:t>Syncome</w:t>
            </w:r>
            <w:proofErr w:type="spellEnd"/>
            <w:r w:rsidRPr="00F2260E">
              <w:rPr>
                <w:rFonts w:ascii="Tahoma" w:eastAsia="Times New Roman" w:hAnsi="Tahoma" w:cs="Tahoma"/>
                <w:i/>
                <w:iCs/>
                <w:sz w:val="20"/>
                <w:szCs w:val="20"/>
              </w:rPr>
              <w:t xml:space="preserve"> Formulations (I) Ltd., </w:t>
            </w:r>
            <w:r w:rsidRPr="00F2260E">
              <w:rPr>
                <w:rFonts w:ascii="Tahoma" w:eastAsia="Times New Roman" w:hAnsi="Tahoma" w:cs="Tahoma"/>
                <w:sz w:val="20"/>
                <w:szCs w:val="20"/>
              </w:rPr>
              <w:t xml:space="preserve">(2007) 292 ITR (AT) 144; (2007) 106 ITD 193 (Mum.)(SB) as also in the case of </w:t>
            </w:r>
            <w:r w:rsidRPr="00F2260E">
              <w:rPr>
                <w:rFonts w:ascii="Tahoma" w:eastAsia="Times New Roman" w:hAnsi="Tahoma" w:cs="Tahoma"/>
                <w:i/>
                <w:iCs/>
                <w:sz w:val="20"/>
                <w:szCs w:val="20"/>
              </w:rPr>
              <w:t xml:space="preserve">Deputy CIT v. </w:t>
            </w:r>
            <w:proofErr w:type="spellStart"/>
            <w:r w:rsidRPr="00F2260E">
              <w:rPr>
                <w:rFonts w:ascii="Tahoma" w:eastAsia="Times New Roman" w:hAnsi="Tahoma" w:cs="Tahoma"/>
                <w:i/>
                <w:iCs/>
                <w:sz w:val="20"/>
                <w:szCs w:val="20"/>
              </w:rPr>
              <w:t>Govind</w:t>
            </w:r>
            <w:proofErr w:type="spellEnd"/>
            <w:r w:rsidRPr="00F2260E">
              <w:rPr>
                <w:rFonts w:ascii="Tahoma" w:eastAsia="Times New Roman" w:hAnsi="Tahoma" w:cs="Tahoma"/>
                <w:i/>
                <w:iCs/>
                <w:sz w:val="20"/>
                <w:szCs w:val="20"/>
              </w:rPr>
              <w:t xml:space="preserve"> Rubber P. Ltd., </w:t>
            </w:r>
            <w:r w:rsidRPr="00F2260E">
              <w:rPr>
                <w:rFonts w:ascii="Tahoma" w:eastAsia="Times New Roman" w:hAnsi="Tahoma" w:cs="Tahoma"/>
                <w:sz w:val="20"/>
                <w:szCs w:val="20"/>
              </w:rPr>
              <w:t>(2004) 89 ITD 457; (2004) 82 TJT 615. It is not possible to agree with the view taken by the Benches. Those decisions in view of these judgments stand overruled.”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3. An attempt has been made in this article to find out as to whether, subsequent to the decision of Bombay High Court, the ratio laid down by the Special Bench in the case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is still valid or not, and if yes, to what extent.</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4. Before we really go into the judgment of the Bombay High Court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it is imperative to closely look into the decision of the Special Bench in the case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and also the decision of the Division Bench of the Mumbai Tribunal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(21 SOT 101) which has been ultimately reversed by the Bombay High Court in the above-referred decision. This is for the reason that according to the humble opinion of the author, the issue involved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is totally different than the issue involved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II. </w:t>
            </w:r>
            <w:r w:rsidRPr="00F2260E">
              <w:rPr>
                <w:rFonts w:ascii="Tahoma" w:eastAsia="Times New Roman" w:hAnsi="Tahoma" w:cs="Tahoma"/>
                <w:b/>
                <w:bCs/>
                <w:sz w:val="20"/>
                <w:szCs w:val="20"/>
              </w:rPr>
              <w:t xml:space="preserve">Issue involved in the decision of Special Bench — </w:t>
            </w:r>
            <w:proofErr w:type="spellStart"/>
            <w:r w:rsidRPr="00F2260E">
              <w:rPr>
                <w:rFonts w:ascii="Tahoma" w:eastAsia="Times New Roman" w:hAnsi="Tahoma" w:cs="Tahoma"/>
                <w:b/>
                <w:bCs/>
                <w:sz w:val="20"/>
                <w:szCs w:val="20"/>
              </w:rPr>
              <w:t>Syncome</w:t>
            </w:r>
            <w:proofErr w:type="spellEnd"/>
            <w:r w:rsidRPr="00F2260E">
              <w:rPr>
                <w:rFonts w:ascii="Tahoma" w:eastAsia="Times New Roman" w:hAnsi="Tahoma" w:cs="Tahoma"/>
                <w:b/>
                <w:bCs/>
                <w:sz w:val="20"/>
                <w:szCs w:val="20"/>
              </w:rPr>
              <w:t xml:space="preserve"> Formulations (I) Ltd.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5. According to the provisions of S. 80HHC of the Act, the deduction provided under that Section is to be calculated as per the formula prescribed in Ss</w:t>
            </w:r>
            <w:proofErr w:type="gramStart"/>
            <w:r w:rsidRPr="00F2260E">
              <w:rPr>
                <w:rFonts w:ascii="Tahoma" w:eastAsia="Times New Roman" w:hAnsi="Tahoma" w:cs="Tahoma"/>
                <w:sz w:val="20"/>
                <w:szCs w:val="20"/>
              </w:rPr>
              <w:t>.(</w:t>
            </w:r>
            <w:proofErr w:type="gramEnd"/>
            <w:r w:rsidRPr="00F2260E">
              <w:rPr>
                <w:rFonts w:ascii="Tahoma" w:eastAsia="Times New Roman" w:hAnsi="Tahoma" w:cs="Tahoma"/>
                <w:sz w:val="20"/>
                <w:szCs w:val="20"/>
              </w:rPr>
              <w:t xml:space="preserve">3). According to the said formula, one has to start with the ‘profit of the </w:t>
            </w:r>
            <w:proofErr w:type="gramStart"/>
            <w:r w:rsidRPr="00F2260E">
              <w:rPr>
                <w:rFonts w:ascii="Tahoma" w:eastAsia="Times New Roman" w:hAnsi="Tahoma" w:cs="Tahoma"/>
                <w:sz w:val="20"/>
                <w:szCs w:val="20"/>
              </w:rPr>
              <w:t>business’</w:t>
            </w:r>
            <w:proofErr w:type="gramEnd"/>
            <w:r w:rsidRPr="00F2260E">
              <w:rPr>
                <w:rFonts w:ascii="Tahoma" w:eastAsia="Times New Roman" w:hAnsi="Tahoma" w:cs="Tahoma"/>
                <w:sz w:val="20"/>
                <w:szCs w:val="20"/>
              </w:rPr>
              <w:t xml:space="preserve"> and make some multiplication, division, etc. in case of manufacturing exporter to arrive at eligible amount of deduction. The Section also provides for the formula in case of trader exporter wherein also one has to calculate the profit of the business. The question which arose before the Special Bench is as to what is to be taken as the ‘profit of the business’ which would further undergo the </w:t>
            </w:r>
            <w:proofErr w:type="spellStart"/>
            <w:r w:rsidRPr="00F2260E">
              <w:rPr>
                <w:rFonts w:ascii="Tahoma" w:eastAsia="Times New Roman" w:hAnsi="Tahoma" w:cs="Tahoma"/>
                <w:sz w:val="20"/>
                <w:szCs w:val="20"/>
              </w:rPr>
              <w:t>mathematica</w:t>
            </w:r>
            <w:proofErr w:type="spellEnd"/>
            <w:r w:rsidRPr="00F2260E">
              <w:rPr>
                <w:rFonts w:ascii="Tahoma" w:eastAsia="Times New Roman" w:hAnsi="Tahoma" w:cs="Tahoma"/>
                <w:sz w:val="20"/>
                <w:szCs w:val="20"/>
              </w:rPr>
              <w:t xml:space="preserve"> exercise. According to the </w:t>
            </w:r>
            <w:proofErr w:type="spellStart"/>
            <w:r w:rsidRPr="00F2260E">
              <w:rPr>
                <w:rFonts w:ascii="Tahoma" w:eastAsia="Times New Roman" w:hAnsi="Tahoma" w:cs="Tahoma"/>
                <w:sz w:val="20"/>
                <w:szCs w:val="20"/>
              </w:rPr>
              <w:t>assessee</w:t>
            </w:r>
            <w:proofErr w:type="spellEnd"/>
            <w:r w:rsidRPr="00F2260E">
              <w:rPr>
                <w:rFonts w:ascii="Tahoma" w:eastAsia="Times New Roman" w:hAnsi="Tahoma" w:cs="Tahoma"/>
                <w:sz w:val="20"/>
                <w:szCs w:val="20"/>
              </w:rPr>
              <w:t xml:space="preserve">, while calculating the deduction u/s. 80HHC for the purpose of 115JA/JB, the profit of the business should be the profit as shown in Profit and Loss Account; whereas as per the revenue, the profit would mean profit assessable under the head ‘business income’. Thus, the whole controversy is — What is the starting point for calculating deduction u/s.80HHC for the purpose of S. 115JA/JB of the Act. This issue has been resolved by the Special Bench in </w:t>
            </w:r>
            <w:proofErr w:type="spellStart"/>
            <w:r w:rsidRPr="00F2260E">
              <w:rPr>
                <w:rFonts w:ascii="Tahoma" w:eastAsia="Times New Roman" w:hAnsi="Tahoma" w:cs="Tahoma"/>
                <w:sz w:val="20"/>
                <w:szCs w:val="20"/>
              </w:rPr>
              <w:t>favour</w:t>
            </w:r>
            <w:proofErr w:type="spellEnd"/>
            <w:r w:rsidRPr="00F2260E">
              <w:rPr>
                <w:rFonts w:ascii="Tahoma" w:eastAsia="Times New Roman" w:hAnsi="Tahoma" w:cs="Tahoma"/>
                <w:sz w:val="20"/>
                <w:szCs w:val="20"/>
              </w:rPr>
              <w:t xml:space="preserve"> of the </w:t>
            </w:r>
            <w:proofErr w:type="spellStart"/>
            <w:r w:rsidRPr="00F2260E">
              <w:rPr>
                <w:rFonts w:ascii="Tahoma" w:eastAsia="Times New Roman" w:hAnsi="Tahoma" w:cs="Tahoma"/>
                <w:sz w:val="20"/>
                <w:szCs w:val="20"/>
              </w:rPr>
              <w:t>assessee</w:t>
            </w:r>
            <w:proofErr w:type="spellEnd"/>
            <w:r w:rsidRPr="00F2260E">
              <w:rPr>
                <w:rFonts w:ascii="Tahoma" w:eastAsia="Times New Roman" w:hAnsi="Tahoma" w:cs="Tahoma"/>
                <w:sz w:val="20"/>
                <w:szCs w:val="20"/>
              </w:rPr>
              <w:t xml:space="preserve"> for the detailed reasons given in the </w:t>
            </w:r>
            <w:proofErr w:type="spellStart"/>
            <w:r w:rsidRPr="00F2260E">
              <w:rPr>
                <w:rFonts w:ascii="Tahoma" w:eastAsia="Times New Roman" w:hAnsi="Tahoma" w:cs="Tahoma"/>
                <w:sz w:val="20"/>
                <w:szCs w:val="20"/>
              </w:rPr>
              <w:t>said</w:t>
            </w:r>
            <w:proofErr w:type="spellEnd"/>
            <w:r w:rsidRPr="00F2260E">
              <w:rPr>
                <w:rFonts w:ascii="Tahoma" w:eastAsia="Times New Roman" w:hAnsi="Tahoma" w:cs="Tahoma"/>
                <w:sz w:val="20"/>
                <w:szCs w:val="20"/>
              </w:rPr>
              <w:t xml:space="preserve"> decision.</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lastRenderedPageBreak/>
              <w:t xml:space="preserve">III. </w:t>
            </w:r>
            <w:r w:rsidRPr="00F2260E">
              <w:rPr>
                <w:rFonts w:ascii="Tahoma" w:eastAsia="Times New Roman" w:hAnsi="Tahoma" w:cs="Tahoma"/>
                <w:b/>
                <w:bCs/>
                <w:sz w:val="20"/>
                <w:szCs w:val="20"/>
              </w:rPr>
              <w:t xml:space="preserve">Issue involved in the decision of Ajanta </w:t>
            </w:r>
            <w:proofErr w:type="spellStart"/>
            <w:r w:rsidRPr="00F2260E">
              <w:rPr>
                <w:rFonts w:ascii="Tahoma" w:eastAsia="Times New Roman" w:hAnsi="Tahoma" w:cs="Tahoma"/>
                <w:b/>
                <w:bCs/>
                <w:sz w:val="20"/>
                <w:szCs w:val="20"/>
              </w:rPr>
              <w:t>Pharma</w:t>
            </w:r>
            <w:proofErr w:type="spellEnd"/>
            <w:r w:rsidRPr="00F2260E">
              <w:rPr>
                <w:rFonts w:ascii="Tahoma" w:eastAsia="Times New Roman" w:hAnsi="Tahoma" w:cs="Tahoma"/>
                <w:b/>
                <w:bCs/>
                <w:sz w:val="20"/>
                <w:szCs w:val="20"/>
              </w:rPr>
              <w:t xml:space="preserve"> Ltd. (80 HHC)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6. The Bombay High Court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was required to address an issue as to whether the export profits to be excluded from the ‘book profits’ u/s.115JB of the Act is to be calculated after applying the restriction of S. 80HHC(1B) of the Act. In other words, whether the amount to be reduced from the book profits should be the entire eligible amount of deduction or only the percentage of the eligible deduction actually allowable under the Act as per S. 80HHC(1B) of the Act ? The questions of law raised before the High Court are as under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“1. Whether on the facts and in the circumstances of the case and in law the ITAT was justified in approving the Order of the CIT(A) in allowing respondent to exclude export profits for the purpose of S. 115JB at the figure other than that allowed u/s.80HHC(1B)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2. Whether in law for the purpose of calculating book profit u/s.115JB of the Income-tax Act, 1961 under Explanation 1 sub-clause (iv) the export profits to be excluded from the book profits would be the export profits allowed as a deduction u/s.80HHC after restricting the deduction as per the provisions of Ss.(1B) of S. 80HHC of the Act or the export profits calculated as per Ss.(3) and Ss.(3A) of S. 80HHC before applying the restriction contained in Ss.(1B) of S. 80HHC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Answering the said question, the High Court held that while computing the ‘book profits’, the quantum of deduction allowable under clause (iv) to Explanation 1 u/s.115JB of the Act will have to be restricted to actual permissible deduction as calculated u/</w:t>
            </w:r>
            <w:proofErr w:type="gramStart"/>
            <w:r w:rsidRPr="00F2260E">
              <w:rPr>
                <w:rFonts w:ascii="Tahoma" w:eastAsia="Times New Roman" w:hAnsi="Tahoma" w:cs="Tahoma"/>
                <w:sz w:val="20"/>
                <w:szCs w:val="20"/>
              </w:rPr>
              <w:t>s.80HHC(</w:t>
            </w:r>
            <w:proofErr w:type="gramEnd"/>
            <w:r w:rsidRPr="00F2260E">
              <w:rPr>
                <w:rFonts w:ascii="Tahoma" w:eastAsia="Times New Roman" w:hAnsi="Tahoma" w:cs="Tahoma"/>
                <w:sz w:val="20"/>
                <w:szCs w:val="20"/>
              </w:rPr>
              <w:t>1B) of the Act.</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IV. </w:t>
            </w:r>
            <w:r w:rsidRPr="00F2260E">
              <w:rPr>
                <w:rFonts w:ascii="Tahoma" w:eastAsia="Times New Roman" w:hAnsi="Tahoma" w:cs="Tahoma"/>
                <w:b/>
                <w:bCs/>
                <w:sz w:val="20"/>
                <w:szCs w:val="20"/>
              </w:rPr>
              <w:t xml:space="preserve">To what extent is </w:t>
            </w:r>
            <w:proofErr w:type="spellStart"/>
            <w:r w:rsidRPr="00F2260E">
              <w:rPr>
                <w:rFonts w:ascii="Tahoma" w:eastAsia="Times New Roman" w:hAnsi="Tahoma" w:cs="Tahoma"/>
                <w:b/>
                <w:bCs/>
                <w:sz w:val="20"/>
                <w:szCs w:val="20"/>
              </w:rPr>
              <w:t>Syncome</w:t>
            </w:r>
            <w:proofErr w:type="spellEnd"/>
            <w:r w:rsidRPr="00F2260E">
              <w:rPr>
                <w:rFonts w:ascii="Tahoma" w:eastAsia="Times New Roman" w:hAnsi="Tahoma" w:cs="Tahoma"/>
                <w:b/>
                <w:bCs/>
                <w:sz w:val="20"/>
                <w:szCs w:val="20"/>
              </w:rPr>
              <w:t xml:space="preserve"> Formulations (I) Ltd. still a good </w:t>
            </w:r>
            <w:proofErr w:type="gramStart"/>
            <w:r w:rsidRPr="00F2260E">
              <w:rPr>
                <w:rFonts w:ascii="Tahoma" w:eastAsia="Times New Roman" w:hAnsi="Tahoma" w:cs="Tahoma"/>
                <w:b/>
                <w:bCs/>
                <w:sz w:val="20"/>
                <w:szCs w:val="20"/>
              </w:rPr>
              <w:t>law ?</w:t>
            </w:r>
            <w:proofErr w:type="gramEnd"/>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7. As seen above, the question referred to the High Court was restricted to S. </w:t>
            </w:r>
            <w:proofErr w:type="gramStart"/>
            <w:r w:rsidRPr="00F2260E">
              <w:rPr>
                <w:rFonts w:ascii="Tahoma" w:eastAsia="Times New Roman" w:hAnsi="Tahoma" w:cs="Tahoma"/>
                <w:sz w:val="20"/>
                <w:szCs w:val="20"/>
              </w:rPr>
              <w:t>80HHC(</w:t>
            </w:r>
            <w:proofErr w:type="gramEnd"/>
            <w:r w:rsidRPr="00F2260E">
              <w:rPr>
                <w:rFonts w:ascii="Tahoma" w:eastAsia="Times New Roman" w:hAnsi="Tahoma" w:cs="Tahoma"/>
                <w:sz w:val="20"/>
                <w:szCs w:val="20"/>
              </w:rPr>
              <w:t xml:space="preserve">1B). The issue dealt with by the Tribunal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was only in respect of S. 80HHC(1B) and, therefore, the High Court could not have dealt with the controversy which was there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This is further fortified by the question of law referred to before the High Court.</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8. Further, no arguments were also raised by the either parties before the Bombay High Court in respect of the controversy involved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In my opinion, something which has not been considered could never have been disapproved.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9. The reason as to why the Bombay High Court observed that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is overruled is because the Tribunal decision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(21 SOT 101) at </w:t>
            </w:r>
            <w:proofErr w:type="spellStart"/>
            <w:r w:rsidRPr="00F2260E">
              <w:rPr>
                <w:rFonts w:ascii="Tahoma" w:eastAsia="Times New Roman" w:hAnsi="Tahoma" w:cs="Tahoma"/>
                <w:sz w:val="20"/>
                <w:szCs w:val="20"/>
              </w:rPr>
              <w:t>para</w:t>
            </w:r>
            <w:proofErr w:type="spellEnd"/>
            <w:r w:rsidRPr="00F2260E">
              <w:rPr>
                <w:rFonts w:ascii="Tahoma" w:eastAsia="Times New Roman" w:hAnsi="Tahoma" w:cs="Tahoma"/>
                <w:sz w:val="20"/>
                <w:szCs w:val="20"/>
              </w:rPr>
              <w:t xml:space="preserve"> 10, page 109 heavily relied upon </w:t>
            </w:r>
            <w:proofErr w:type="spellStart"/>
            <w:r w:rsidRPr="00F2260E">
              <w:rPr>
                <w:rFonts w:ascii="Tahoma" w:eastAsia="Times New Roman" w:hAnsi="Tahoma" w:cs="Tahoma"/>
                <w:sz w:val="20"/>
                <w:szCs w:val="20"/>
              </w:rPr>
              <w:t>para</w:t>
            </w:r>
            <w:proofErr w:type="spellEnd"/>
            <w:r w:rsidRPr="00F2260E">
              <w:rPr>
                <w:rFonts w:ascii="Tahoma" w:eastAsia="Times New Roman" w:hAnsi="Tahoma" w:cs="Tahoma"/>
                <w:sz w:val="20"/>
                <w:szCs w:val="20"/>
              </w:rPr>
              <w:t xml:space="preserve"> 59 of the decision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The reliance was limited to the controversy which was involved in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and not the one which was involved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It is only because the Tribunal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in one of the </w:t>
            </w:r>
            <w:proofErr w:type="gramStart"/>
            <w:r w:rsidRPr="00F2260E">
              <w:rPr>
                <w:rFonts w:ascii="Tahoma" w:eastAsia="Times New Roman" w:hAnsi="Tahoma" w:cs="Tahoma"/>
                <w:sz w:val="20"/>
                <w:szCs w:val="20"/>
              </w:rPr>
              <w:t>paragraphs,</w:t>
            </w:r>
            <w:proofErr w:type="gramEnd"/>
            <w:r w:rsidRPr="00F2260E">
              <w:rPr>
                <w:rFonts w:ascii="Tahoma" w:eastAsia="Times New Roman" w:hAnsi="Tahoma" w:cs="Tahoma"/>
                <w:sz w:val="20"/>
                <w:szCs w:val="20"/>
              </w:rPr>
              <w:t xml:space="preserve"> has heavily relied upon the decision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the High Court has observed that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is overruled.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10. Further, controversy involved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is resolved in </w:t>
            </w:r>
            <w:proofErr w:type="spellStart"/>
            <w:r w:rsidRPr="00F2260E">
              <w:rPr>
                <w:rFonts w:ascii="Tahoma" w:eastAsia="Times New Roman" w:hAnsi="Tahoma" w:cs="Tahoma"/>
                <w:sz w:val="20"/>
                <w:szCs w:val="20"/>
              </w:rPr>
              <w:t>favour</w:t>
            </w:r>
            <w:proofErr w:type="spellEnd"/>
            <w:r w:rsidRPr="00F2260E">
              <w:rPr>
                <w:rFonts w:ascii="Tahoma" w:eastAsia="Times New Roman" w:hAnsi="Tahoma" w:cs="Tahoma"/>
                <w:sz w:val="20"/>
                <w:szCs w:val="20"/>
              </w:rPr>
              <w:t xml:space="preserve"> of the </w:t>
            </w:r>
            <w:proofErr w:type="spellStart"/>
            <w:r w:rsidRPr="00F2260E">
              <w:rPr>
                <w:rFonts w:ascii="Tahoma" w:eastAsia="Times New Roman" w:hAnsi="Tahoma" w:cs="Tahoma"/>
                <w:sz w:val="20"/>
                <w:szCs w:val="20"/>
              </w:rPr>
              <w:t>assessee</w:t>
            </w:r>
            <w:proofErr w:type="spellEnd"/>
            <w:r w:rsidRPr="00F2260E">
              <w:rPr>
                <w:rFonts w:ascii="Tahoma" w:eastAsia="Times New Roman" w:hAnsi="Tahoma" w:cs="Tahoma"/>
                <w:sz w:val="20"/>
                <w:szCs w:val="20"/>
              </w:rPr>
              <w:t xml:space="preserve"> after strongly relying upon the Circular of CBDT [Circular No. 680, dated 21-2-1994 (206 ITR 297)]. The said Circular has neither been cited nor discussed by the Bombay High Court. This also establishes that the controversy was totally different before the Bombay High Court. This view is made abundantly clear by the immediately following paragraphs (</w:t>
            </w:r>
            <w:proofErr w:type="spellStart"/>
            <w:r w:rsidRPr="00F2260E">
              <w:rPr>
                <w:rFonts w:ascii="Tahoma" w:eastAsia="Times New Roman" w:hAnsi="Tahoma" w:cs="Tahoma"/>
                <w:sz w:val="20"/>
                <w:szCs w:val="20"/>
              </w:rPr>
              <w:t>para</w:t>
            </w:r>
            <w:proofErr w:type="spellEnd"/>
            <w:r w:rsidRPr="00F2260E">
              <w:rPr>
                <w:rFonts w:ascii="Tahoma" w:eastAsia="Times New Roman" w:hAnsi="Tahoma" w:cs="Tahoma"/>
                <w:sz w:val="20"/>
                <w:szCs w:val="20"/>
              </w:rPr>
              <w:t xml:space="preserve"> 37 on page 269, 270), wherein the Bombay High Court has observed in respect of the decision of the Kerala High Court in the case of </w:t>
            </w:r>
            <w:r w:rsidRPr="00F2260E">
              <w:rPr>
                <w:rFonts w:ascii="Tahoma" w:eastAsia="Times New Roman" w:hAnsi="Tahoma" w:cs="Tahoma"/>
                <w:i/>
                <w:iCs/>
                <w:sz w:val="20"/>
                <w:szCs w:val="20"/>
              </w:rPr>
              <w:t xml:space="preserve">CIT v. GTN Textiles Ltd., </w:t>
            </w:r>
            <w:r w:rsidRPr="00F2260E">
              <w:rPr>
                <w:rFonts w:ascii="Tahoma" w:eastAsia="Times New Roman" w:hAnsi="Tahoma" w:cs="Tahoma"/>
                <w:sz w:val="20"/>
                <w:szCs w:val="20"/>
              </w:rPr>
              <w:t>(248 ITR 372) as under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“The issue before the Kerala High Court was, </w:t>
            </w:r>
            <w:proofErr w:type="gramStart"/>
            <w:r w:rsidRPr="00F2260E">
              <w:rPr>
                <w:rFonts w:ascii="Tahoma" w:eastAsia="Times New Roman" w:hAnsi="Tahoma" w:cs="Tahoma"/>
                <w:sz w:val="20"/>
                <w:szCs w:val="20"/>
              </w:rPr>
              <w:t>what is the profit that should be taken into consideration considering the accounting system that has to be followed while working out the book profits</w:t>
            </w:r>
            <w:proofErr w:type="gramEnd"/>
            <w:r w:rsidRPr="00F2260E">
              <w:rPr>
                <w:rFonts w:ascii="Tahoma" w:eastAsia="Times New Roman" w:hAnsi="Tahoma" w:cs="Tahoma"/>
                <w:sz w:val="20"/>
                <w:szCs w:val="20"/>
              </w:rPr>
              <w:t xml:space="preserve">. </w:t>
            </w:r>
            <w:r w:rsidRPr="00F2260E">
              <w:rPr>
                <w:rFonts w:ascii="Tahoma" w:eastAsia="Times New Roman" w:hAnsi="Tahoma" w:cs="Tahoma"/>
                <w:b/>
                <w:bCs/>
                <w:sz w:val="20"/>
                <w:szCs w:val="20"/>
              </w:rPr>
              <w:t xml:space="preserve">Therefore, the judgment would be no assistance in considering the question framed for consideration. </w:t>
            </w:r>
            <w:r w:rsidRPr="00F2260E">
              <w:rPr>
                <w:rFonts w:ascii="Tahoma" w:eastAsia="Times New Roman" w:hAnsi="Tahoma" w:cs="Tahoma"/>
                <w:sz w:val="20"/>
                <w:szCs w:val="20"/>
              </w:rPr>
              <w:t>(Emphasis supplied).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11. From this, it is clear that the decision of the Kerala High Court which is directly on the issue dealt with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has been held to be not applicable. Moreover, the Bombay High Court has not dissented from the view of the Kerala High Court.</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lastRenderedPageBreak/>
              <w:t xml:space="preserve">12. The view taken by the Special Bench is correct also in view of the fact that there are direct decisions of the High Court in the following cases supporting the stand taken by the Special Bench : </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(a) </w:t>
            </w:r>
            <w:r w:rsidRPr="00F2260E">
              <w:rPr>
                <w:rFonts w:ascii="Tahoma" w:eastAsia="Times New Roman" w:hAnsi="Tahoma" w:cs="Tahoma"/>
                <w:i/>
                <w:iCs/>
                <w:sz w:val="20"/>
                <w:szCs w:val="20"/>
              </w:rPr>
              <w:t xml:space="preserve">CIT v. GTN Textiles Ltd., </w:t>
            </w:r>
            <w:r w:rsidRPr="00F2260E">
              <w:rPr>
                <w:rFonts w:ascii="Tahoma" w:eastAsia="Times New Roman" w:hAnsi="Tahoma" w:cs="Tahoma"/>
                <w:sz w:val="20"/>
                <w:szCs w:val="20"/>
              </w:rPr>
              <w:t>[248 ITR 372 (Ker.)]</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(b) </w:t>
            </w:r>
            <w:r w:rsidRPr="00F2260E">
              <w:rPr>
                <w:rFonts w:ascii="Tahoma" w:eastAsia="Times New Roman" w:hAnsi="Tahoma" w:cs="Tahoma"/>
                <w:i/>
                <w:iCs/>
                <w:sz w:val="20"/>
                <w:szCs w:val="20"/>
              </w:rPr>
              <w:t xml:space="preserve">CIT v. K. G. Denim, </w:t>
            </w:r>
            <w:r w:rsidRPr="00F2260E">
              <w:rPr>
                <w:rFonts w:ascii="Tahoma" w:eastAsia="Times New Roman" w:hAnsi="Tahoma" w:cs="Tahoma"/>
                <w:sz w:val="20"/>
                <w:szCs w:val="20"/>
              </w:rPr>
              <w:t>[180 Taxman 590 (Mad.)]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(c) </w:t>
            </w:r>
            <w:proofErr w:type="spellStart"/>
            <w:r w:rsidRPr="00F2260E">
              <w:rPr>
                <w:rFonts w:ascii="Tahoma" w:eastAsia="Times New Roman" w:hAnsi="Tahoma" w:cs="Tahoma"/>
                <w:sz w:val="20"/>
                <w:szCs w:val="20"/>
              </w:rPr>
              <w:t>Rajnikant</w:t>
            </w:r>
            <w:proofErr w:type="spellEnd"/>
            <w:r w:rsidRPr="00F2260E">
              <w:rPr>
                <w:rFonts w:ascii="Tahoma" w:eastAsia="Times New Roman" w:hAnsi="Tahoma" w:cs="Tahoma"/>
                <w:sz w:val="20"/>
                <w:szCs w:val="20"/>
              </w:rPr>
              <w:t xml:space="preserve"> </w:t>
            </w:r>
            <w:proofErr w:type="spellStart"/>
            <w:r w:rsidRPr="00F2260E">
              <w:rPr>
                <w:rFonts w:ascii="Tahoma" w:eastAsia="Times New Roman" w:hAnsi="Tahoma" w:cs="Tahoma"/>
                <w:sz w:val="20"/>
                <w:szCs w:val="20"/>
              </w:rPr>
              <w:t>Schenelder</w:t>
            </w:r>
            <w:proofErr w:type="spellEnd"/>
            <w:r w:rsidRPr="00F2260E">
              <w:rPr>
                <w:rFonts w:ascii="Tahoma" w:eastAsia="Times New Roman" w:hAnsi="Tahoma" w:cs="Tahoma"/>
                <w:sz w:val="20"/>
                <w:szCs w:val="20"/>
              </w:rPr>
              <w:t xml:space="preserve"> &amp; Associates (P) Ltd., [302 ITR 22 (Mad.)]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13. It is also relevant to refer the decision in the case of Sun Engineering Works Ltd. (198 ITR 297) (SC), wherein the Supreme Court has observed that a decision of the Court takes its </w:t>
            </w:r>
            <w:proofErr w:type="spellStart"/>
            <w:r w:rsidRPr="00F2260E">
              <w:rPr>
                <w:rFonts w:ascii="Tahoma" w:eastAsia="Times New Roman" w:hAnsi="Tahoma" w:cs="Tahoma"/>
                <w:sz w:val="20"/>
                <w:szCs w:val="20"/>
              </w:rPr>
              <w:t>colour</w:t>
            </w:r>
            <w:proofErr w:type="spellEnd"/>
            <w:r w:rsidRPr="00F2260E">
              <w:rPr>
                <w:rFonts w:ascii="Tahoma" w:eastAsia="Times New Roman" w:hAnsi="Tahoma" w:cs="Tahoma"/>
                <w:sz w:val="20"/>
                <w:szCs w:val="20"/>
              </w:rPr>
              <w:t xml:space="preserve"> from the question involved in the case in which it is rendered and while applying the decision, one must carefully try to ascertain the principles laid down by the Court and not to pick out words or a sentence from the judgments delivered from the context of the question under consideration. It was categorically held that “It is neither desirable nor permissible to pick out a word or a sentence from the judgment of this Court, divorced from the context of the question under consideration and treat it to be the complete ‘law’ declared by this Court. The judgments have to be considered in the light of the </w:t>
            </w:r>
            <w:proofErr w:type="gramStart"/>
            <w:r w:rsidRPr="00F2260E">
              <w:rPr>
                <w:rFonts w:ascii="Tahoma" w:eastAsia="Times New Roman" w:hAnsi="Tahoma" w:cs="Tahoma"/>
                <w:sz w:val="20"/>
                <w:szCs w:val="20"/>
              </w:rPr>
              <w:t>question which were</w:t>
            </w:r>
            <w:proofErr w:type="gramEnd"/>
            <w:r w:rsidRPr="00F2260E">
              <w:rPr>
                <w:rFonts w:ascii="Tahoma" w:eastAsia="Times New Roman" w:hAnsi="Tahoma" w:cs="Tahoma"/>
                <w:sz w:val="20"/>
                <w:szCs w:val="20"/>
              </w:rPr>
              <w:t xml:space="preserve"> before this Court.” Applying the said ratio, the observations in the case of decision of the Bombay High Court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cannot be construed to mean that the decision of Special Bench is completely overruled.</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14. Even the Mumbai Bench of the Tribunal in the case of </w:t>
            </w:r>
            <w:r w:rsidRPr="00F2260E">
              <w:rPr>
                <w:rFonts w:ascii="Tahoma" w:eastAsia="Times New Roman" w:hAnsi="Tahoma" w:cs="Tahoma"/>
                <w:i/>
                <w:iCs/>
                <w:sz w:val="20"/>
                <w:szCs w:val="20"/>
              </w:rPr>
              <w:t xml:space="preserve">DCIT v. M/s. </w:t>
            </w:r>
            <w:proofErr w:type="spellStart"/>
            <w:r w:rsidRPr="00F2260E">
              <w:rPr>
                <w:rFonts w:ascii="Tahoma" w:eastAsia="Times New Roman" w:hAnsi="Tahoma" w:cs="Tahoma"/>
                <w:i/>
                <w:iCs/>
                <w:sz w:val="20"/>
                <w:szCs w:val="20"/>
              </w:rPr>
              <w:t>Glenmark</w:t>
            </w:r>
            <w:proofErr w:type="spellEnd"/>
            <w:r w:rsidRPr="00F2260E">
              <w:rPr>
                <w:rFonts w:ascii="Tahoma" w:eastAsia="Times New Roman" w:hAnsi="Tahoma" w:cs="Tahoma"/>
                <w:i/>
                <w:iCs/>
                <w:sz w:val="20"/>
                <w:szCs w:val="20"/>
              </w:rPr>
              <w:t xml:space="preserve"> Laboratories Ltd., </w:t>
            </w:r>
            <w:r w:rsidRPr="00F2260E">
              <w:rPr>
                <w:rFonts w:ascii="Tahoma" w:eastAsia="Times New Roman" w:hAnsi="Tahoma" w:cs="Tahoma"/>
                <w:sz w:val="20"/>
                <w:szCs w:val="20"/>
              </w:rPr>
              <w:t xml:space="preserve">(ITA No. 4155/Mum./2007) dated 9-11-2009 has accepted that the issue decided by the Bombay High Court does not entirely overrule the issue decided by the Special Bench in the case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However, the Delhi Tribunal recently in the case of </w:t>
            </w:r>
            <w:r w:rsidRPr="00F2260E">
              <w:rPr>
                <w:rFonts w:ascii="Tahoma" w:eastAsia="Times New Roman" w:hAnsi="Tahoma" w:cs="Tahoma"/>
                <w:i/>
                <w:iCs/>
                <w:sz w:val="20"/>
                <w:szCs w:val="20"/>
              </w:rPr>
              <w:t xml:space="preserve">ACIT v. Cosmo Ferrites Ltd., </w:t>
            </w:r>
            <w:r w:rsidRPr="00F2260E">
              <w:rPr>
                <w:rFonts w:ascii="Tahoma" w:eastAsia="Times New Roman" w:hAnsi="Tahoma" w:cs="Tahoma"/>
                <w:sz w:val="20"/>
                <w:szCs w:val="20"/>
              </w:rPr>
              <w:t xml:space="preserve">[126 TTJ 666 (Del.)] has rendered a contrary view and held that the decision in the case of Ajanta </w:t>
            </w:r>
            <w:proofErr w:type="spellStart"/>
            <w:r w:rsidRPr="00F2260E">
              <w:rPr>
                <w:rFonts w:ascii="Tahoma" w:eastAsia="Times New Roman" w:hAnsi="Tahoma" w:cs="Tahoma"/>
                <w:sz w:val="20"/>
                <w:szCs w:val="20"/>
              </w:rPr>
              <w:t>Pharma</w:t>
            </w:r>
            <w:proofErr w:type="spellEnd"/>
            <w:r w:rsidRPr="00F2260E">
              <w:rPr>
                <w:rFonts w:ascii="Tahoma" w:eastAsia="Times New Roman" w:hAnsi="Tahoma" w:cs="Tahoma"/>
                <w:sz w:val="20"/>
                <w:szCs w:val="20"/>
              </w:rPr>
              <w:t xml:space="preserve"> Ltd. overrules the decision of the Special Bench in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However, with due respect, the author disagrees with the said views of the Delhi Tribunal for the detailed discussion made above.</w:t>
            </w:r>
          </w:p>
          <w:p w:rsidR="00F2260E" w:rsidRPr="00F2260E" w:rsidRDefault="00F2260E" w:rsidP="00F2260E">
            <w:pPr>
              <w:spacing w:before="120" w:after="120" w:line="240" w:lineRule="auto"/>
              <w:rPr>
                <w:rFonts w:ascii="Times New Roman" w:eastAsia="Times New Roman" w:hAnsi="Times New Roman" w:cs="Times New Roman"/>
                <w:sz w:val="24"/>
                <w:szCs w:val="24"/>
              </w:rPr>
            </w:pPr>
            <w:r w:rsidRPr="00F2260E">
              <w:rPr>
                <w:rFonts w:ascii="Tahoma" w:eastAsia="Times New Roman" w:hAnsi="Tahoma" w:cs="Tahoma"/>
                <w:sz w:val="20"/>
                <w:szCs w:val="20"/>
              </w:rPr>
              <w:t xml:space="preserve">15. Construed from the discussion made above, it can be assumed that the decision of </w:t>
            </w:r>
            <w:proofErr w:type="spellStart"/>
            <w:r w:rsidRPr="00F2260E">
              <w:rPr>
                <w:rFonts w:ascii="Tahoma" w:eastAsia="Times New Roman" w:hAnsi="Tahoma" w:cs="Tahoma"/>
                <w:sz w:val="20"/>
                <w:szCs w:val="20"/>
              </w:rPr>
              <w:t>Syncome</w:t>
            </w:r>
            <w:proofErr w:type="spellEnd"/>
            <w:r w:rsidRPr="00F2260E">
              <w:rPr>
                <w:rFonts w:ascii="Tahoma" w:eastAsia="Times New Roman" w:hAnsi="Tahoma" w:cs="Tahoma"/>
                <w:sz w:val="20"/>
                <w:szCs w:val="20"/>
              </w:rPr>
              <w:t xml:space="preserve"> Formulations (I) Ltd. cannot be said to be entirely overruled except only to the extent of quantum of deduction. In other words, the necessary conclusion of the said discussion could be that while computing the amount of deduction as per clause (iv) to Explanation I to S. </w:t>
            </w:r>
            <w:proofErr w:type="gramStart"/>
            <w:r w:rsidRPr="00F2260E">
              <w:rPr>
                <w:rFonts w:ascii="Tahoma" w:eastAsia="Times New Roman" w:hAnsi="Tahoma" w:cs="Tahoma"/>
                <w:sz w:val="20"/>
                <w:szCs w:val="20"/>
              </w:rPr>
              <w:t>115JB(</w:t>
            </w:r>
            <w:proofErr w:type="gramEnd"/>
            <w:r w:rsidRPr="00F2260E">
              <w:rPr>
                <w:rFonts w:ascii="Tahoma" w:eastAsia="Times New Roman" w:hAnsi="Tahoma" w:cs="Tahoma"/>
                <w:sz w:val="20"/>
                <w:szCs w:val="20"/>
              </w:rPr>
              <w:t>2) of the Act, the book profits should be considered as the gross total income for the purpose of determining the eligible amount of deduction u/s.80HHC of the Act as per S. 80HHC(3)/(3A) of the Act. The provision of S. 80HHC(1B) would then be applied, as held by the Bombay High Court, to determine the quantum of deduction which will be allowed to be reduced while computing the book profits for the purpose of S. 115JB of the Act.</w:t>
            </w:r>
          </w:p>
        </w:tc>
      </w:tr>
    </w:tbl>
    <w:p w:rsidR="00113269" w:rsidRDefault="00113269"/>
    <w:sectPr w:rsidR="00113269" w:rsidSect="00113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260E"/>
    <w:rsid w:val="00113269"/>
    <w:rsid w:val="00F226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2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26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87073238">
      <w:bodyDiv w:val="1"/>
      <w:marLeft w:val="0"/>
      <w:marRight w:val="0"/>
      <w:marTop w:val="0"/>
      <w:marBottom w:val="0"/>
      <w:divBdr>
        <w:top w:val="none" w:sz="0" w:space="0" w:color="auto"/>
        <w:left w:val="none" w:sz="0" w:space="0" w:color="auto"/>
        <w:bottom w:val="none" w:sz="0" w:space="0" w:color="auto"/>
        <w:right w:val="none" w:sz="0" w:space="0" w:color="auto"/>
      </w:divBdr>
      <w:divsChild>
        <w:div w:id="629022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979383">
          <w:blockQuote w:val="1"/>
          <w:marLeft w:val="720"/>
          <w:marRight w:val="720"/>
          <w:marTop w:val="100"/>
          <w:marBottom w:val="100"/>
          <w:divBdr>
            <w:top w:val="none" w:sz="0" w:space="0" w:color="auto"/>
            <w:left w:val="none" w:sz="0" w:space="0" w:color="auto"/>
            <w:bottom w:val="none" w:sz="0" w:space="0" w:color="auto"/>
            <w:right w:val="none" w:sz="0" w:space="0" w:color="auto"/>
          </w:divBdr>
        </w:div>
        <w:div w:id="372775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485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1627</Words>
  <Characters>9276</Characters>
  <Application>Microsoft Office Word</Application>
  <DocSecurity>0</DocSecurity>
  <Lines>77</Lines>
  <Paragraphs>21</Paragraphs>
  <ScaleCrop>false</ScaleCrop>
  <Company>MM</Company>
  <LinksUpToDate>false</LinksUpToDate>
  <CharactersWithSpaces>10882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Sunilk</dc:creator>
  <cp:keywords/>
  <dc:description/>
  <cp:lastModifiedBy>Sunilk</cp:lastModifiedBy>
  <cp:revision>3</cp:revision>
  <dcterms:created xsi:type="dcterms:W3CDTF">2010-07-01T11:47:00Z</dcterms:created>
  <dcterms:modified xsi:type="dcterms:W3CDTF">2010-07-01T11:47:00Z</dcterms:modified>
</cp:coreProperties>
</file>