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CA6" w:rsidRDefault="005C6CA6"/>
    <w:tbl>
      <w:tblPr>
        <w:tblW w:w="0" w:type="auto"/>
        <w:tblCellMar>
          <w:left w:w="0" w:type="dxa"/>
          <w:right w:w="0" w:type="dxa"/>
        </w:tblCellMar>
        <w:tblLook w:val="04A0"/>
      </w:tblPr>
      <w:tblGrid>
        <w:gridCol w:w="9390"/>
      </w:tblGrid>
      <w:tr w:rsidR="005C6CA6" w:rsidTr="005C6CA6">
        <w:tc>
          <w:tcPr>
            <w:tcW w:w="0" w:type="auto"/>
            <w:tcMar>
              <w:top w:w="15" w:type="dxa"/>
              <w:left w:w="15" w:type="dxa"/>
              <w:bottom w:w="15" w:type="dxa"/>
              <w:right w:w="15" w:type="dxa"/>
            </w:tcMar>
            <w:vAlign w:val="center"/>
          </w:tcPr>
          <w:p w:rsidR="005C6CA6" w:rsidRDefault="005C6CA6">
            <w:pPr>
              <w:pStyle w:val="NormalWeb"/>
              <w:spacing w:before="240" w:beforeAutospacing="0" w:after="45" w:afterAutospacing="0" w:line="336" w:lineRule="atLeast"/>
            </w:pPr>
            <w:bookmarkStart w:id="0" w:name="1"/>
            <w:r>
              <w:rPr>
                <w:rFonts w:ascii="Arial" w:hAnsi="Arial" w:cs="Arial"/>
                <w:b/>
                <w:bCs/>
                <w:color w:val="0033CC"/>
                <w:sz w:val="30"/>
                <w:szCs w:val="30"/>
              </w:rPr>
              <w:t xml:space="preserve">New Due Dates of </w:t>
            </w:r>
            <w:proofErr w:type="spellStart"/>
            <w:r>
              <w:rPr>
                <w:rFonts w:ascii="Arial" w:hAnsi="Arial" w:cs="Arial"/>
                <w:b/>
                <w:bCs/>
                <w:color w:val="0033CC"/>
                <w:sz w:val="30"/>
                <w:szCs w:val="30"/>
              </w:rPr>
              <w:t>TDS,UTN,Issue</w:t>
            </w:r>
            <w:proofErr w:type="spellEnd"/>
            <w:r>
              <w:rPr>
                <w:rFonts w:ascii="Arial" w:hAnsi="Arial" w:cs="Arial"/>
                <w:b/>
                <w:bCs/>
                <w:color w:val="0033CC"/>
                <w:sz w:val="30"/>
                <w:szCs w:val="30"/>
              </w:rPr>
              <w:t xml:space="preserve"> Dates of 16/16A </w:t>
            </w:r>
            <w:proofErr w:type="spellStart"/>
            <w:r>
              <w:rPr>
                <w:rFonts w:ascii="Arial" w:hAnsi="Arial" w:cs="Arial"/>
                <w:b/>
                <w:bCs/>
                <w:color w:val="0033CC"/>
                <w:sz w:val="30"/>
                <w:szCs w:val="30"/>
              </w:rPr>
              <w:t>w.e.f</w:t>
            </w:r>
            <w:proofErr w:type="spellEnd"/>
            <w:r>
              <w:rPr>
                <w:rFonts w:ascii="Arial" w:hAnsi="Arial" w:cs="Arial"/>
                <w:b/>
                <w:bCs/>
                <w:color w:val="0033CC"/>
                <w:sz w:val="30"/>
                <w:szCs w:val="30"/>
              </w:rPr>
              <w:t>. 01.04.2010</w:t>
            </w:r>
            <w:bookmarkEnd w:id="0"/>
            <w:r>
              <w:t xml:space="preserve"> </w:t>
            </w:r>
          </w:p>
          <w:p w:rsidR="005C6CA6" w:rsidRDefault="005C6CA6">
            <w:pPr>
              <w:spacing w:line="336" w:lineRule="auto"/>
              <w:jc w:val="center"/>
              <w:rPr>
                <w:rStyle w:val="apple-style-span"/>
                <w:rFonts w:ascii="Verdana" w:hAnsi="Verdana"/>
                <w:b/>
                <w:bCs/>
                <w:color w:val="1F497D"/>
                <w:sz w:val="21"/>
                <w:szCs w:val="21"/>
              </w:rPr>
            </w:pPr>
          </w:p>
          <w:p w:rsidR="005C6CA6" w:rsidRDefault="005C6CA6">
            <w:pPr>
              <w:spacing w:line="336" w:lineRule="auto"/>
              <w:jc w:val="center"/>
              <w:rPr>
                <w:rStyle w:val="apple-style-span"/>
                <w:rFonts w:ascii="Calibri" w:hAnsi="Calibri"/>
                <w:b/>
                <w:bCs/>
                <w:color w:val="1F497D"/>
              </w:rPr>
            </w:pPr>
          </w:p>
          <w:p w:rsidR="005C6CA6" w:rsidRDefault="005C6CA6">
            <w:pPr>
              <w:spacing w:line="336" w:lineRule="auto"/>
              <w:jc w:val="center"/>
              <w:rPr>
                <w:rFonts w:ascii="Verdana" w:hAnsi="Verdana"/>
                <w:color w:val="000033"/>
                <w:sz w:val="21"/>
                <w:szCs w:val="21"/>
              </w:rPr>
            </w:pPr>
            <w:r>
              <w:rPr>
                <w:rStyle w:val="apple-style-span"/>
                <w:rFonts w:ascii="Verdana" w:hAnsi="Verdana"/>
                <w:b/>
                <w:bCs/>
                <w:color w:val="0000FF"/>
                <w:sz w:val="21"/>
                <w:szCs w:val="21"/>
              </w:rPr>
              <w:t>TDS/TCS PROCEDURE CHANGED W.E.F. 01.04.2010</w:t>
            </w:r>
            <w:r>
              <w:rPr>
                <w:rFonts w:ascii="Verdana" w:hAnsi="Verdana"/>
                <w:color w:val="000033"/>
                <w:sz w:val="21"/>
                <w:szCs w:val="21"/>
              </w:rPr>
              <w:t xml:space="preserve">    </w:t>
            </w:r>
          </w:p>
          <w:p w:rsidR="005C6CA6" w:rsidRDefault="005C6CA6">
            <w:pPr>
              <w:spacing w:line="336" w:lineRule="auto"/>
              <w:jc w:val="center"/>
              <w:rPr>
                <w:rFonts w:ascii="Verdana" w:hAnsi="Verdana"/>
                <w:color w:val="000033"/>
                <w:sz w:val="21"/>
                <w:szCs w:val="21"/>
              </w:rPr>
            </w:pPr>
            <w:r>
              <w:rPr>
                <w:rFonts w:ascii="Verdana" w:hAnsi="Verdana"/>
                <w:color w:val="000033"/>
                <w:sz w:val="21"/>
                <w:szCs w:val="21"/>
              </w:rPr>
              <w:t>            </w:t>
            </w:r>
          </w:p>
          <w:p w:rsidR="005C6CA6" w:rsidRDefault="005C6CA6">
            <w:pPr>
              <w:spacing w:line="336" w:lineRule="auto"/>
              <w:jc w:val="both"/>
              <w:rPr>
                <w:rFonts w:ascii="Verdana" w:hAnsi="Verdana"/>
                <w:color w:val="000033"/>
                <w:sz w:val="21"/>
                <w:szCs w:val="21"/>
              </w:rPr>
            </w:pPr>
            <w:r>
              <w:rPr>
                <w:rFonts w:ascii="Verdana" w:hAnsi="Verdana"/>
                <w:color w:val="000033"/>
                <w:sz w:val="21"/>
                <w:szCs w:val="21"/>
              </w:rPr>
              <w:t>              </w:t>
            </w:r>
            <w:r>
              <w:rPr>
                <w:rStyle w:val="apple-style-span"/>
                <w:rFonts w:ascii="inherit" w:hAnsi="inherit"/>
                <w:color w:val="000033"/>
              </w:rPr>
              <w:t>The Central Board of Direct Taxes (</w:t>
            </w:r>
            <w:r>
              <w:rPr>
                <w:rStyle w:val="apple-style-span"/>
                <w:rFonts w:ascii="inherit" w:hAnsi="inherit"/>
                <w:color w:val="000033"/>
                <w:sz w:val="21"/>
                <w:szCs w:val="21"/>
              </w:rPr>
              <w:t>CBDT) have amended the Rules relating to TDS provisions date and mode of payment of tax deducted  at source (TDS), TDS certificate and filing of ‘statement of TDS’ (TDS return) vide Notification No. 41/2010; SO No. 1261(E) dated 31.05.2010. The amended rules will apply only in respect of tax deducted on or after 1</w:t>
            </w:r>
            <w:r>
              <w:rPr>
                <w:rStyle w:val="apple-style-span"/>
                <w:rFonts w:ascii="inherit" w:hAnsi="inherit"/>
                <w:color w:val="000033"/>
                <w:sz w:val="36"/>
                <w:szCs w:val="36"/>
              </w:rPr>
              <w:t>st</w:t>
            </w:r>
            <w:r>
              <w:rPr>
                <w:rStyle w:val="apple-style-span"/>
                <w:rFonts w:ascii="inherit" w:hAnsi="inherit"/>
                <w:color w:val="000033"/>
                <w:sz w:val="21"/>
                <w:szCs w:val="21"/>
              </w:rPr>
              <w:t> day of April 2010.The main changes are listed out below.</w:t>
            </w:r>
          </w:p>
          <w:p w:rsidR="005C6CA6" w:rsidRDefault="005C6CA6" w:rsidP="00DF1093">
            <w:pPr>
              <w:numPr>
                <w:ilvl w:val="0"/>
                <w:numId w:val="1"/>
              </w:numPr>
              <w:spacing w:before="100" w:beforeAutospacing="1" w:after="240" w:line="336" w:lineRule="auto"/>
              <w:ind w:left="960"/>
              <w:rPr>
                <w:rFonts w:ascii="Verdana" w:hAnsi="Verdana"/>
                <w:color w:val="000033"/>
                <w:sz w:val="21"/>
                <w:szCs w:val="21"/>
              </w:rPr>
            </w:pPr>
            <w:r>
              <w:rPr>
                <w:rFonts w:ascii="Verdana" w:hAnsi="Verdana"/>
                <w:color w:val="000033"/>
                <w:sz w:val="21"/>
                <w:szCs w:val="21"/>
              </w:rPr>
              <w:t xml:space="preserve">This rules are applicable only for the TDS deducted on or after 01.04.2010 means applicable </w:t>
            </w:r>
            <w:proofErr w:type="gramStart"/>
            <w:r>
              <w:rPr>
                <w:rFonts w:ascii="Verdana" w:hAnsi="Verdana"/>
                <w:color w:val="000033"/>
                <w:sz w:val="21"/>
                <w:szCs w:val="21"/>
              </w:rPr>
              <w:t>for  Financial</w:t>
            </w:r>
            <w:proofErr w:type="gramEnd"/>
            <w:r>
              <w:rPr>
                <w:rFonts w:ascii="Verdana" w:hAnsi="Verdana"/>
                <w:color w:val="000033"/>
                <w:sz w:val="21"/>
                <w:szCs w:val="21"/>
              </w:rPr>
              <w:t xml:space="preserve"> year 2010-11 assessment year 2011-12.</w:t>
            </w:r>
          </w:p>
          <w:p w:rsidR="005C6CA6" w:rsidRDefault="005C6CA6" w:rsidP="00DF1093">
            <w:pPr>
              <w:numPr>
                <w:ilvl w:val="0"/>
                <w:numId w:val="1"/>
              </w:numPr>
              <w:spacing w:before="100" w:beforeAutospacing="1" w:after="240" w:line="336" w:lineRule="auto"/>
              <w:ind w:left="960"/>
              <w:rPr>
                <w:rFonts w:ascii="Verdana" w:hAnsi="Verdana"/>
                <w:color w:val="000033"/>
                <w:sz w:val="21"/>
                <w:szCs w:val="21"/>
              </w:rPr>
            </w:pPr>
            <w:r>
              <w:rPr>
                <w:rFonts w:ascii="Verdana" w:hAnsi="Verdana"/>
                <w:color w:val="000033"/>
                <w:sz w:val="21"/>
                <w:szCs w:val="21"/>
              </w:rPr>
              <w:t xml:space="preserve">Last date to file quarterly </w:t>
            </w:r>
            <w:proofErr w:type="spellStart"/>
            <w:r>
              <w:rPr>
                <w:rFonts w:ascii="Verdana" w:hAnsi="Verdana"/>
                <w:color w:val="000033"/>
                <w:sz w:val="21"/>
                <w:szCs w:val="21"/>
              </w:rPr>
              <w:t>etds</w:t>
            </w:r>
            <w:proofErr w:type="spellEnd"/>
            <w:r>
              <w:rPr>
                <w:rFonts w:ascii="Verdana" w:hAnsi="Verdana"/>
                <w:color w:val="000033"/>
                <w:sz w:val="21"/>
                <w:szCs w:val="21"/>
              </w:rPr>
              <w:t xml:space="preserve"> </w:t>
            </w:r>
            <w:proofErr w:type="gramStart"/>
            <w:r>
              <w:rPr>
                <w:rFonts w:ascii="Verdana" w:hAnsi="Verdana"/>
                <w:color w:val="000033"/>
                <w:sz w:val="21"/>
                <w:szCs w:val="21"/>
              </w:rPr>
              <w:t>return(</w:t>
            </w:r>
            <w:proofErr w:type="gramEnd"/>
            <w:r>
              <w:rPr>
                <w:rFonts w:ascii="Verdana" w:hAnsi="Verdana"/>
                <w:color w:val="000033"/>
                <w:sz w:val="21"/>
                <w:szCs w:val="21"/>
              </w:rPr>
              <w:t xml:space="preserve"> form 24Q,form 26Q) has been changed to 15 May of  succeeding </w:t>
            </w:r>
            <w:proofErr w:type="spellStart"/>
            <w:r>
              <w:rPr>
                <w:rFonts w:ascii="Verdana" w:hAnsi="Verdana"/>
                <w:color w:val="000033"/>
                <w:sz w:val="21"/>
                <w:szCs w:val="21"/>
              </w:rPr>
              <w:t>year.Presently</w:t>
            </w:r>
            <w:proofErr w:type="spellEnd"/>
            <w:r>
              <w:rPr>
                <w:rFonts w:ascii="Verdana" w:hAnsi="Verdana"/>
                <w:color w:val="000033"/>
                <w:sz w:val="21"/>
                <w:szCs w:val="21"/>
              </w:rPr>
              <w:t xml:space="preserve"> it is 15 June.</w:t>
            </w:r>
          </w:p>
          <w:p w:rsidR="005C6CA6" w:rsidRDefault="005C6CA6" w:rsidP="00DF1093">
            <w:pPr>
              <w:numPr>
                <w:ilvl w:val="0"/>
                <w:numId w:val="1"/>
              </w:numPr>
              <w:spacing w:before="100" w:beforeAutospacing="1" w:after="240" w:line="336" w:lineRule="auto"/>
              <w:ind w:left="960"/>
              <w:rPr>
                <w:rFonts w:ascii="Verdana" w:hAnsi="Verdana"/>
                <w:color w:val="000033"/>
                <w:sz w:val="21"/>
                <w:szCs w:val="21"/>
              </w:rPr>
            </w:pPr>
            <w:r>
              <w:rPr>
                <w:rFonts w:ascii="Verdana" w:hAnsi="Verdana"/>
                <w:color w:val="000033"/>
                <w:sz w:val="21"/>
                <w:szCs w:val="21"/>
              </w:rPr>
              <w:t>Form 16</w:t>
            </w:r>
            <w:proofErr w:type="gramStart"/>
            <w:r>
              <w:rPr>
                <w:rFonts w:ascii="Verdana" w:hAnsi="Verdana"/>
                <w:color w:val="000033"/>
                <w:sz w:val="21"/>
                <w:szCs w:val="21"/>
              </w:rPr>
              <w:t>,Form</w:t>
            </w:r>
            <w:proofErr w:type="gramEnd"/>
            <w:r>
              <w:rPr>
                <w:rFonts w:ascii="Verdana" w:hAnsi="Verdana"/>
                <w:color w:val="000033"/>
                <w:sz w:val="21"/>
                <w:szCs w:val="21"/>
              </w:rPr>
              <w:t xml:space="preserve"> 16A required to be issued for Financial year 2010-11 has also been changed.</w:t>
            </w:r>
          </w:p>
          <w:p w:rsidR="005C6CA6" w:rsidRDefault="005C6CA6" w:rsidP="00DF1093">
            <w:pPr>
              <w:numPr>
                <w:ilvl w:val="0"/>
                <w:numId w:val="1"/>
              </w:numPr>
              <w:spacing w:before="100" w:beforeAutospacing="1" w:after="240" w:line="336" w:lineRule="auto"/>
              <w:ind w:left="960"/>
              <w:rPr>
                <w:rFonts w:ascii="Verdana" w:hAnsi="Verdana"/>
                <w:color w:val="000033"/>
                <w:sz w:val="21"/>
                <w:szCs w:val="21"/>
              </w:rPr>
            </w:pPr>
            <w:r>
              <w:rPr>
                <w:rFonts w:ascii="Verdana" w:hAnsi="Verdana"/>
                <w:color w:val="000033"/>
                <w:sz w:val="21"/>
                <w:szCs w:val="21"/>
              </w:rPr>
              <w:t>Due date to make TDS payment and mode of TDS payments has also been changed(details awaited)</w:t>
            </w:r>
          </w:p>
          <w:p w:rsidR="005C6CA6" w:rsidRDefault="005C6CA6" w:rsidP="00DF1093">
            <w:pPr>
              <w:numPr>
                <w:ilvl w:val="0"/>
                <w:numId w:val="1"/>
              </w:numPr>
              <w:spacing w:before="100" w:beforeAutospacing="1" w:after="240" w:line="336" w:lineRule="auto"/>
              <w:ind w:left="960"/>
              <w:rPr>
                <w:rFonts w:ascii="Verdana" w:hAnsi="Verdana"/>
                <w:color w:val="000033"/>
                <w:sz w:val="21"/>
                <w:szCs w:val="21"/>
              </w:rPr>
            </w:pPr>
            <w:r>
              <w:rPr>
                <w:rFonts w:ascii="Verdana" w:hAnsi="Verdana"/>
                <w:color w:val="000033"/>
                <w:sz w:val="21"/>
                <w:szCs w:val="21"/>
              </w:rPr>
              <w:t xml:space="preserve">UTN has been introduced again in modified </w:t>
            </w:r>
            <w:proofErr w:type="gramStart"/>
            <w:r>
              <w:rPr>
                <w:rFonts w:ascii="Verdana" w:hAnsi="Verdana"/>
                <w:color w:val="000033"/>
                <w:sz w:val="21"/>
                <w:szCs w:val="21"/>
              </w:rPr>
              <w:t>version ,now</w:t>
            </w:r>
            <w:proofErr w:type="gramEnd"/>
            <w:r>
              <w:rPr>
                <w:rFonts w:ascii="Verdana" w:hAnsi="Verdana"/>
                <w:color w:val="000033"/>
                <w:sz w:val="21"/>
                <w:szCs w:val="21"/>
              </w:rPr>
              <w:t xml:space="preserve"> TAN of </w:t>
            </w:r>
            <w:proofErr w:type="spellStart"/>
            <w:r>
              <w:rPr>
                <w:rFonts w:ascii="Verdana" w:hAnsi="Verdana"/>
                <w:color w:val="000033"/>
                <w:sz w:val="21"/>
                <w:szCs w:val="21"/>
              </w:rPr>
              <w:t>deductor</w:t>
            </w:r>
            <w:proofErr w:type="spellEnd"/>
            <w:r>
              <w:rPr>
                <w:rFonts w:ascii="Verdana" w:hAnsi="Verdana"/>
                <w:color w:val="000033"/>
                <w:sz w:val="21"/>
                <w:szCs w:val="21"/>
              </w:rPr>
              <w:t xml:space="preserve"> ,PAN of </w:t>
            </w:r>
            <w:proofErr w:type="spellStart"/>
            <w:r>
              <w:rPr>
                <w:rFonts w:ascii="Verdana" w:hAnsi="Verdana"/>
                <w:color w:val="000033"/>
                <w:sz w:val="21"/>
                <w:szCs w:val="21"/>
              </w:rPr>
              <w:t>deductee</w:t>
            </w:r>
            <w:proofErr w:type="spellEnd"/>
            <w:r>
              <w:rPr>
                <w:rFonts w:ascii="Verdana" w:hAnsi="Verdana"/>
                <w:color w:val="000033"/>
                <w:sz w:val="21"/>
                <w:szCs w:val="21"/>
              </w:rPr>
              <w:t xml:space="preserve"> and PRN (receipt number) of ETDS return form a UTN for verification of tax credit.</w:t>
            </w:r>
          </w:p>
          <w:p w:rsidR="005C6CA6" w:rsidRDefault="005C6CA6" w:rsidP="00DF1093">
            <w:pPr>
              <w:numPr>
                <w:ilvl w:val="0"/>
                <w:numId w:val="1"/>
              </w:numPr>
              <w:spacing w:before="100" w:beforeAutospacing="1" w:after="240" w:line="336" w:lineRule="auto"/>
              <w:ind w:left="960"/>
              <w:rPr>
                <w:rFonts w:ascii="Verdana" w:hAnsi="Verdana"/>
                <w:color w:val="000033"/>
                <w:sz w:val="21"/>
                <w:szCs w:val="21"/>
              </w:rPr>
            </w:pPr>
            <w:r>
              <w:rPr>
                <w:rFonts w:ascii="Verdana" w:hAnsi="Verdana"/>
                <w:color w:val="000033"/>
                <w:sz w:val="21"/>
                <w:szCs w:val="21"/>
              </w:rPr>
              <w:t xml:space="preserve">Form </w:t>
            </w:r>
            <w:proofErr w:type="gramStart"/>
            <w:r>
              <w:rPr>
                <w:rFonts w:ascii="Verdana" w:hAnsi="Verdana"/>
                <w:color w:val="000033"/>
                <w:sz w:val="21"/>
                <w:szCs w:val="21"/>
              </w:rPr>
              <w:t>16A(</w:t>
            </w:r>
            <w:proofErr w:type="gramEnd"/>
            <w:r>
              <w:rPr>
                <w:rFonts w:ascii="Verdana" w:hAnsi="Verdana"/>
                <w:color w:val="000033"/>
                <w:sz w:val="21"/>
                <w:szCs w:val="21"/>
              </w:rPr>
              <w:t xml:space="preserve">non salary </w:t>
            </w:r>
            <w:proofErr w:type="spellStart"/>
            <w:r>
              <w:rPr>
                <w:rFonts w:ascii="Verdana" w:hAnsi="Verdana"/>
                <w:color w:val="000033"/>
                <w:sz w:val="21"/>
                <w:szCs w:val="21"/>
              </w:rPr>
              <w:t>tds</w:t>
            </w:r>
            <w:proofErr w:type="spellEnd"/>
            <w:r>
              <w:rPr>
                <w:rFonts w:ascii="Verdana" w:hAnsi="Verdana"/>
                <w:color w:val="000033"/>
                <w:sz w:val="21"/>
                <w:szCs w:val="21"/>
              </w:rPr>
              <w:t xml:space="preserve">) is now required to be issued quarterly within 15 days from due date to file </w:t>
            </w:r>
            <w:proofErr w:type="spellStart"/>
            <w:r>
              <w:rPr>
                <w:rFonts w:ascii="Verdana" w:hAnsi="Verdana"/>
                <w:color w:val="000033"/>
                <w:sz w:val="21"/>
                <w:szCs w:val="21"/>
              </w:rPr>
              <w:t>etds</w:t>
            </w:r>
            <w:proofErr w:type="spellEnd"/>
            <w:r>
              <w:rPr>
                <w:rFonts w:ascii="Verdana" w:hAnsi="Verdana"/>
                <w:color w:val="000033"/>
                <w:sz w:val="21"/>
                <w:szCs w:val="21"/>
              </w:rPr>
              <w:t xml:space="preserve"> statements.</w:t>
            </w:r>
          </w:p>
          <w:p w:rsidR="005C6CA6" w:rsidRDefault="005C6CA6" w:rsidP="005C6CA6">
            <w:pPr>
              <w:numPr>
                <w:ilvl w:val="0"/>
                <w:numId w:val="1"/>
              </w:numPr>
              <w:spacing w:before="100" w:beforeAutospacing="1" w:after="0" w:line="336" w:lineRule="auto"/>
              <w:ind w:left="960"/>
              <w:rPr>
                <w:rFonts w:ascii="Verdana" w:hAnsi="Verdana"/>
                <w:color w:val="000033"/>
                <w:sz w:val="21"/>
                <w:szCs w:val="21"/>
              </w:rPr>
            </w:pPr>
            <w:r>
              <w:rPr>
                <w:rFonts w:ascii="Verdana" w:hAnsi="Verdana"/>
                <w:color w:val="000033"/>
                <w:sz w:val="21"/>
                <w:szCs w:val="21"/>
              </w:rPr>
              <w:t>Form 16 (</w:t>
            </w:r>
            <w:proofErr w:type="spellStart"/>
            <w:r>
              <w:rPr>
                <w:rFonts w:ascii="Verdana" w:hAnsi="Verdana"/>
                <w:color w:val="000033"/>
                <w:sz w:val="21"/>
                <w:szCs w:val="21"/>
              </w:rPr>
              <w:t>tds</w:t>
            </w:r>
            <w:proofErr w:type="spellEnd"/>
            <w:r>
              <w:rPr>
                <w:rFonts w:ascii="Verdana" w:hAnsi="Verdana"/>
                <w:color w:val="000033"/>
                <w:sz w:val="21"/>
                <w:szCs w:val="21"/>
              </w:rPr>
              <w:t xml:space="preserve"> from salary) is now required to be issued by 31st May </w:t>
            </w:r>
            <w:r>
              <w:rPr>
                <w:rStyle w:val="apple-style-span"/>
                <w:rFonts w:ascii="Verdana" w:hAnsi="Verdana"/>
                <w:color w:val="000033"/>
                <w:sz w:val="21"/>
                <w:szCs w:val="21"/>
              </w:rPr>
              <w:t>of the financial year immediately following the financial year in which the income was paid and tax deducted</w:t>
            </w:r>
            <w:r>
              <w:rPr>
                <w:rFonts w:ascii="Verdana" w:hAnsi="Verdana"/>
                <w:color w:val="000033"/>
                <w:sz w:val="21"/>
                <w:szCs w:val="21"/>
              </w:rPr>
              <w:t>.</w:t>
            </w:r>
          </w:p>
          <w:p w:rsidR="005C6CA6" w:rsidRDefault="005C6CA6">
            <w:pPr>
              <w:spacing w:line="336" w:lineRule="auto"/>
              <w:rPr>
                <w:rStyle w:val="apple-style-span"/>
                <w:rFonts w:ascii="Arial" w:hAnsi="Arial" w:cs="Arial"/>
                <w:sz w:val="24"/>
                <w:szCs w:val="24"/>
              </w:rPr>
            </w:pPr>
          </w:p>
          <w:p w:rsidR="005C6CA6" w:rsidRDefault="005C6CA6">
            <w:pPr>
              <w:spacing w:line="336" w:lineRule="auto"/>
              <w:jc w:val="center"/>
              <w:rPr>
                <w:rFonts w:ascii="Times New Roman" w:hAnsi="Times New Roman" w:cs="Times New Roman"/>
                <w:b/>
                <w:bCs/>
              </w:rPr>
            </w:pPr>
            <w:r>
              <w:rPr>
                <w:rStyle w:val="apple-style-span"/>
                <w:rFonts w:ascii="inherit" w:hAnsi="inherit"/>
                <w:b/>
                <w:bCs/>
                <w:color w:val="0000FF"/>
              </w:rPr>
              <w:t>New Changes in TDS Rules</w:t>
            </w:r>
          </w:p>
          <w:p w:rsidR="005C6CA6" w:rsidRDefault="005C6CA6">
            <w:pPr>
              <w:spacing w:line="336" w:lineRule="auto"/>
              <w:jc w:val="center"/>
              <w:rPr>
                <w:rFonts w:ascii="Arial" w:hAnsi="Arial" w:cs="Arial"/>
                <w:color w:val="000033"/>
              </w:rPr>
            </w:pPr>
            <w:r>
              <w:rPr>
                <w:rStyle w:val="apple-style-span"/>
                <w:rFonts w:ascii="inherit" w:hAnsi="inherit"/>
                <w:i/>
                <w:iCs/>
                <w:color w:val="000033"/>
              </w:rPr>
              <w:t>CBDT Press Release No. 402/92/2006-MC (27 of 2010), dated 2-6-2010</w:t>
            </w:r>
          </w:p>
          <w:p w:rsidR="005C6CA6" w:rsidRDefault="005C6CA6">
            <w:pPr>
              <w:spacing w:line="336" w:lineRule="auto"/>
              <w:jc w:val="center"/>
              <w:rPr>
                <w:rFonts w:ascii="Arial" w:hAnsi="Arial" w:cs="Arial"/>
                <w:color w:val="000033"/>
              </w:rPr>
            </w:pPr>
          </w:p>
          <w:p w:rsidR="005C6CA6" w:rsidRDefault="005C6CA6">
            <w:pPr>
              <w:spacing w:line="336" w:lineRule="auto"/>
              <w:jc w:val="both"/>
              <w:rPr>
                <w:rFonts w:ascii="Arial" w:hAnsi="Arial" w:cs="Arial"/>
                <w:color w:val="000033"/>
              </w:rPr>
            </w:pPr>
            <w:r>
              <w:rPr>
                <w:rStyle w:val="apple-style-span"/>
                <w:rFonts w:ascii="inherit" w:hAnsi="inherit"/>
                <w:color w:val="000033"/>
              </w:rPr>
              <w:t>The Central Board of Direct Taxes (</w:t>
            </w:r>
            <w:r>
              <w:rPr>
                <w:rStyle w:val="apple-style-span"/>
                <w:rFonts w:ascii="inherit" w:hAnsi="inherit"/>
                <w:b/>
                <w:bCs/>
                <w:color w:val="0000FF"/>
              </w:rPr>
              <w:t>CBDT</w:t>
            </w:r>
            <w:r>
              <w:rPr>
                <w:rStyle w:val="apple-style-span"/>
                <w:rFonts w:ascii="inherit" w:hAnsi="inherit"/>
                <w:color w:val="000033"/>
              </w:rPr>
              <w:t>) have amended the Rules relating to TDS provisions date and mode of payment of tax deducted at source (TDS), TDS certificate and filing of ‘statement of TDS’ (TDS return) vide Notification No. 41/2010; SO No. 1261(E) dated 31.05.2010. The amended rules will apply only in respect of tax deducted on or after 1</w:t>
            </w:r>
            <w:r>
              <w:rPr>
                <w:rStyle w:val="apple-style-span"/>
                <w:rFonts w:ascii="inherit" w:hAnsi="inherit"/>
                <w:color w:val="000033"/>
                <w:sz w:val="27"/>
                <w:szCs w:val="27"/>
                <w:vertAlign w:val="superscript"/>
              </w:rPr>
              <w:t>st</w:t>
            </w:r>
            <w:r>
              <w:rPr>
                <w:rStyle w:val="apple-style-span"/>
                <w:rFonts w:ascii="inherit" w:hAnsi="inherit"/>
                <w:color w:val="000033"/>
              </w:rPr>
              <w:t> day of April 2010.</w:t>
            </w:r>
          </w:p>
          <w:p w:rsidR="005C6CA6" w:rsidRDefault="005C6CA6">
            <w:pPr>
              <w:spacing w:line="336" w:lineRule="auto"/>
              <w:jc w:val="both"/>
              <w:rPr>
                <w:rFonts w:ascii="Arial" w:hAnsi="Arial" w:cs="Arial"/>
                <w:color w:val="000033"/>
              </w:rPr>
            </w:pPr>
            <w:r>
              <w:rPr>
                <w:rStyle w:val="apple-style-span"/>
                <w:rFonts w:ascii="inherit" w:hAnsi="inherit"/>
                <w:color w:val="000033"/>
              </w:rPr>
              <w:t>Forms for TDS certificate have been revised to include the </w:t>
            </w:r>
            <w:r>
              <w:rPr>
                <w:rStyle w:val="apple-style-span"/>
                <w:rFonts w:ascii="inherit" w:hAnsi="inherit"/>
                <w:b/>
                <w:bCs/>
                <w:color w:val="0000FF"/>
              </w:rPr>
              <w:t>receipt number</w:t>
            </w:r>
            <w:r>
              <w:rPr>
                <w:rStyle w:val="apple-style-span"/>
                <w:rFonts w:ascii="inherit" w:hAnsi="inherit"/>
                <w:color w:val="000033"/>
              </w:rPr>
              <w:t xml:space="preserve"> of the TDS return filed by the </w:t>
            </w:r>
            <w:proofErr w:type="spellStart"/>
            <w:r>
              <w:rPr>
                <w:rStyle w:val="apple-style-span"/>
                <w:rFonts w:ascii="inherit" w:hAnsi="inherit"/>
                <w:color w:val="000033"/>
              </w:rPr>
              <w:t>deductor</w:t>
            </w:r>
            <w:proofErr w:type="spellEnd"/>
            <w:r>
              <w:rPr>
                <w:rStyle w:val="apple-style-span"/>
                <w:rFonts w:ascii="inherit" w:hAnsi="inherit"/>
                <w:color w:val="000033"/>
              </w:rPr>
              <w:t xml:space="preserve">. Now the Tax-deduction Account Number (TAN) of the </w:t>
            </w:r>
            <w:proofErr w:type="spellStart"/>
            <w:r>
              <w:rPr>
                <w:rStyle w:val="apple-style-span"/>
                <w:rFonts w:ascii="inherit" w:hAnsi="inherit"/>
                <w:color w:val="000033"/>
              </w:rPr>
              <w:t>deductor</w:t>
            </w:r>
            <w:proofErr w:type="spellEnd"/>
            <w:r>
              <w:rPr>
                <w:rStyle w:val="apple-style-span"/>
                <w:rFonts w:ascii="inherit" w:hAnsi="inherit"/>
                <w:color w:val="000033"/>
              </w:rPr>
              <w:t xml:space="preserve">, Permanent Account Number (PAN) of the </w:t>
            </w:r>
            <w:proofErr w:type="spellStart"/>
            <w:r>
              <w:rPr>
                <w:rStyle w:val="apple-style-span"/>
                <w:rFonts w:ascii="inherit" w:hAnsi="inherit"/>
                <w:color w:val="000033"/>
              </w:rPr>
              <w:t>deductee</w:t>
            </w:r>
            <w:proofErr w:type="spellEnd"/>
            <w:r>
              <w:rPr>
                <w:rStyle w:val="apple-style-span"/>
                <w:rFonts w:ascii="inherit" w:hAnsi="inherit"/>
                <w:color w:val="000033"/>
              </w:rPr>
              <w:t xml:space="preserve">, and Receipt number of TDS return filed by the </w:t>
            </w:r>
            <w:proofErr w:type="spellStart"/>
            <w:r>
              <w:rPr>
                <w:rStyle w:val="apple-style-span"/>
                <w:rFonts w:ascii="inherit" w:hAnsi="inherit"/>
                <w:color w:val="000033"/>
              </w:rPr>
              <w:t>deductor</w:t>
            </w:r>
            <w:proofErr w:type="spellEnd"/>
            <w:r>
              <w:rPr>
                <w:rStyle w:val="apple-style-span"/>
                <w:rFonts w:ascii="inherit" w:hAnsi="inherit"/>
                <w:color w:val="000033"/>
              </w:rPr>
              <w:t xml:space="preserve"> will form the </w:t>
            </w:r>
            <w:r>
              <w:rPr>
                <w:rStyle w:val="apple-style-span"/>
                <w:rFonts w:ascii="inherit" w:hAnsi="inherit"/>
                <w:b/>
                <w:bCs/>
                <w:color w:val="0000FF"/>
              </w:rPr>
              <w:t>unique identification</w:t>
            </w:r>
            <w:r>
              <w:rPr>
                <w:rStyle w:val="apple-style-span"/>
                <w:rFonts w:ascii="inherit" w:hAnsi="inherit"/>
                <w:color w:val="000033"/>
              </w:rPr>
              <w:t> for allowing tax credit claimed by the taxpayer in his income-tax return.</w:t>
            </w:r>
          </w:p>
          <w:p w:rsidR="005C6CA6" w:rsidRDefault="005C6CA6">
            <w:pPr>
              <w:spacing w:line="336" w:lineRule="auto"/>
              <w:jc w:val="both"/>
              <w:rPr>
                <w:rFonts w:ascii="Arial" w:hAnsi="Arial" w:cs="Arial"/>
                <w:color w:val="000033"/>
              </w:rPr>
            </w:pPr>
            <w:r>
              <w:rPr>
                <w:rStyle w:val="apple-style-span"/>
                <w:rFonts w:ascii="inherit" w:hAnsi="inherit"/>
                <w:color w:val="000033"/>
              </w:rPr>
              <w:t xml:space="preserve">Government Authorities (Pay and Accounts Officer or Treasury Officer or </w:t>
            </w:r>
            <w:proofErr w:type="spellStart"/>
            <w:r>
              <w:rPr>
                <w:rStyle w:val="apple-style-span"/>
                <w:rFonts w:ascii="inherit" w:hAnsi="inherit"/>
                <w:color w:val="000033"/>
              </w:rPr>
              <w:t>Cheque</w:t>
            </w:r>
            <w:proofErr w:type="spellEnd"/>
            <w:r>
              <w:rPr>
                <w:rStyle w:val="apple-style-span"/>
                <w:rFonts w:ascii="inherit" w:hAnsi="inherit"/>
                <w:color w:val="000033"/>
              </w:rPr>
              <w:t xml:space="preserve"> Drawing and Disbursing Officer) responsible for crediting tax deducted at source to the credit of the Central Government </w:t>
            </w:r>
            <w:r>
              <w:rPr>
                <w:rStyle w:val="apple-style-span"/>
                <w:rFonts w:ascii="inherit" w:hAnsi="inherit"/>
                <w:b/>
                <w:bCs/>
                <w:color w:val="0000FF"/>
              </w:rPr>
              <w:t>by book-entry</w:t>
            </w:r>
            <w:r>
              <w:rPr>
                <w:rStyle w:val="apple-style-span"/>
                <w:rFonts w:ascii="inherit" w:hAnsi="inherit"/>
                <w:color w:val="000033"/>
              </w:rPr>
              <w:t> are now required to electronically file a monthly statement in a new Form No. 24G containing details of credit of TDS to the agency </w:t>
            </w:r>
            <w:proofErr w:type="spellStart"/>
            <w:r>
              <w:rPr>
                <w:rStyle w:val="apple-style-span"/>
                <w:rFonts w:ascii="inherit" w:hAnsi="inherit"/>
                <w:color w:val="000033"/>
              </w:rPr>
              <w:t>authorised</w:t>
            </w:r>
            <w:proofErr w:type="spellEnd"/>
            <w:r>
              <w:rPr>
                <w:rStyle w:val="apple-style-span"/>
                <w:rFonts w:ascii="inherit" w:hAnsi="inherit"/>
                <w:color w:val="000033"/>
              </w:rPr>
              <w:t xml:space="preserve"> by the Director General of Income-tax (Systems). </w:t>
            </w:r>
          </w:p>
          <w:p w:rsidR="005C6CA6" w:rsidRDefault="005C6CA6">
            <w:pPr>
              <w:spacing w:line="336" w:lineRule="auto"/>
              <w:jc w:val="both"/>
              <w:rPr>
                <w:rFonts w:ascii="Arial" w:hAnsi="Arial" w:cs="Arial"/>
                <w:color w:val="000033"/>
              </w:rPr>
            </w:pPr>
            <w:r>
              <w:rPr>
                <w:rStyle w:val="apple-style-span"/>
                <w:rFonts w:ascii="inherit" w:hAnsi="inherit"/>
                <w:color w:val="000033"/>
              </w:rPr>
              <w:t>Due date for furnishing TDS return for the last quarter of the financial year has been modified to 15</w:t>
            </w:r>
            <w:r>
              <w:rPr>
                <w:rStyle w:val="apple-style-span"/>
                <w:rFonts w:ascii="inherit" w:hAnsi="inherit"/>
                <w:color w:val="000033"/>
                <w:vertAlign w:val="superscript"/>
              </w:rPr>
              <w:t>th</w:t>
            </w:r>
            <w:r>
              <w:rPr>
                <w:rStyle w:val="apple-style-span"/>
                <w:rFonts w:ascii="inherit" w:hAnsi="inherit"/>
                <w:color w:val="000033"/>
              </w:rPr>
              <w:t> May (from earlier 15</w:t>
            </w:r>
            <w:r>
              <w:rPr>
                <w:rStyle w:val="apple-style-span"/>
                <w:rFonts w:ascii="inherit" w:hAnsi="inherit"/>
                <w:color w:val="000033"/>
                <w:vertAlign w:val="superscript"/>
              </w:rPr>
              <w:t>th</w:t>
            </w:r>
            <w:r>
              <w:rPr>
                <w:rStyle w:val="apple-style-span"/>
                <w:rFonts w:ascii="inherit" w:hAnsi="inherit"/>
                <w:color w:val="000033"/>
              </w:rPr>
              <w:t> June). The revised due dates for furnishing TDS return are</w:t>
            </w:r>
          </w:p>
          <w:tbl>
            <w:tblPr>
              <w:tblW w:w="0" w:type="auto"/>
              <w:tblCellMar>
                <w:left w:w="0" w:type="dxa"/>
                <w:right w:w="0" w:type="dxa"/>
              </w:tblCellMar>
              <w:tblLook w:val="04A0"/>
            </w:tblPr>
            <w:tblGrid>
              <w:gridCol w:w="828"/>
              <w:gridCol w:w="3240"/>
              <w:gridCol w:w="3720"/>
            </w:tblGrid>
            <w:tr w:rsidR="005C6CA6">
              <w:tc>
                <w:tcPr>
                  <w:tcW w:w="8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 xml:space="preserve">Sr. No. </w:t>
                  </w:r>
                </w:p>
              </w:tc>
              <w:tc>
                <w:tcPr>
                  <w:tcW w:w="32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Date of ending of the quarter of the Financial Year</w:t>
                  </w:r>
                </w:p>
              </w:tc>
              <w:tc>
                <w:tcPr>
                  <w:tcW w:w="37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Due Dates</w:t>
                  </w:r>
                </w:p>
              </w:tc>
            </w:tr>
            <w:tr w:rsidR="005C6CA6">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1.</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30</w:t>
                  </w:r>
                  <w:r>
                    <w:rPr>
                      <w:vertAlign w:val="superscript"/>
                    </w:rPr>
                    <w:t>th</w:t>
                  </w:r>
                  <w:r>
                    <w:t xml:space="preserve"> June</w:t>
                  </w: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15</w:t>
                  </w:r>
                  <w:r>
                    <w:rPr>
                      <w:vertAlign w:val="superscript"/>
                    </w:rPr>
                    <w:t>th</w:t>
                  </w:r>
                  <w:r>
                    <w:t xml:space="preserve"> July of the Financial Year</w:t>
                  </w:r>
                </w:p>
              </w:tc>
            </w:tr>
            <w:tr w:rsidR="005C6CA6">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2.</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30</w:t>
                  </w:r>
                  <w:r>
                    <w:rPr>
                      <w:vertAlign w:val="superscript"/>
                    </w:rPr>
                    <w:t>th</w:t>
                  </w:r>
                  <w:r>
                    <w:t xml:space="preserve"> September</w:t>
                  </w: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15</w:t>
                  </w:r>
                  <w:r>
                    <w:rPr>
                      <w:vertAlign w:val="superscript"/>
                    </w:rPr>
                    <w:t>th</w:t>
                  </w:r>
                  <w:r>
                    <w:t xml:space="preserve"> October of the Financial Year</w:t>
                  </w:r>
                </w:p>
              </w:tc>
            </w:tr>
            <w:tr w:rsidR="005C6CA6">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3.</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31</w:t>
                  </w:r>
                  <w:r>
                    <w:rPr>
                      <w:vertAlign w:val="superscript"/>
                    </w:rPr>
                    <w:t>st</w:t>
                  </w:r>
                  <w:r>
                    <w:t xml:space="preserve"> December</w:t>
                  </w: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15</w:t>
                  </w:r>
                  <w:r>
                    <w:rPr>
                      <w:vertAlign w:val="superscript"/>
                    </w:rPr>
                    <w:t>th</w:t>
                  </w:r>
                  <w:r>
                    <w:t xml:space="preserve"> January of the Financial year</w:t>
                  </w:r>
                </w:p>
              </w:tc>
            </w:tr>
            <w:tr w:rsidR="005C6CA6">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4.</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31</w:t>
                  </w:r>
                  <w:r>
                    <w:rPr>
                      <w:vertAlign w:val="superscript"/>
                    </w:rPr>
                    <w:t>st</w:t>
                  </w:r>
                  <w:r>
                    <w:t xml:space="preserve"> March</w:t>
                  </w: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15the May of the Financial Year immediately following the Financial Year in which deduction is made</w:t>
                  </w:r>
                </w:p>
              </w:tc>
            </w:tr>
          </w:tbl>
          <w:p w:rsidR="005C6CA6" w:rsidRDefault="005C6CA6">
            <w:pPr>
              <w:spacing w:line="336" w:lineRule="auto"/>
              <w:rPr>
                <w:rFonts w:ascii="Arial" w:hAnsi="Arial" w:cs="Arial"/>
                <w:color w:val="000033"/>
                <w:sz w:val="24"/>
                <w:szCs w:val="24"/>
              </w:rPr>
            </w:pPr>
          </w:p>
          <w:p w:rsidR="005C6CA6" w:rsidRDefault="005C6CA6">
            <w:pPr>
              <w:spacing w:line="336" w:lineRule="auto"/>
              <w:rPr>
                <w:rFonts w:ascii="Arial" w:hAnsi="Arial" w:cs="Arial"/>
                <w:color w:val="000033"/>
              </w:rPr>
            </w:pPr>
            <w:r>
              <w:rPr>
                <w:rFonts w:ascii="Arial" w:hAnsi="Arial" w:cs="Arial"/>
                <w:color w:val="000033"/>
              </w:rPr>
              <w:lastRenderedPageBreak/>
              <w:t>Due dates for issuing TDS certificates to the employees or deductees or payees are also revised as under:-</w:t>
            </w:r>
          </w:p>
          <w:p w:rsidR="005C6CA6" w:rsidRDefault="005C6CA6">
            <w:pPr>
              <w:spacing w:after="270" w:line="336" w:lineRule="auto"/>
              <w:rPr>
                <w:rStyle w:val="apple-style-span"/>
                <w:rFonts w:ascii="Times New Roman" w:hAnsi="Times New Roman" w:cs="Times New Roman"/>
                <w:sz w:val="27"/>
                <w:szCs w:val="27"/>
              </w:rPr>
            </w:pPr>
          </w:p>
          <w:tbl>
            <w:tblPr>
              <w:tblW w:w="0" w:type="auto"/>
              <w:tblCellMar>
                <w:left w:w="0" w:type="dxa"/>
                <w:right w:w="0" w:type="dxa"/>
              </w:tblCellMar>
              <w:tblLook w:val="04A0"/>
            </w:tblPr>
            <w:tblGrid>
              <w:gridCol w:w="948"/>
              <w:gridCol w:w="2664"/>
              <w:gridCol w:w="2664"/>
              <w:gridCol w:w="2664"/>
            </w:tblGrid>
            <w:tr w:rsidR="005C6CA6">
              <w:tc>
                <w:tcPr>
                  <w:tcW w:w="9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C6CA6" w:rsidRDefault="005C6CA6">
                  <w:pPr>
                    <w:jc w:val="center"/>
                    <w:rPr>
                      <w:sz w:val="24"/>
                      <w:szCs w:val="24"/>
                    </w:rPr>
                  </w:pPr>
                  <w:r>
                    <w:t>Sr. No.</w:t>
                  </w:r>
                </w:p>
              </w:tc>
              <w:tc>
                <w:tcPr>
                  <w:tcW w:w="26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Category</w:t>
                  </w:r>
                </w:p>
              </w:tc>
              <w:tc>
                <w:tcPr>
                  <w:tcW w:w="26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6CA6" w:rsidRDefault="005C6CA6">
                  <w:pPr>
                    <w:jc w:val="center"/>
                    <w:rPr>
                      <w:sz w:val="24"/>
                      <w:szCs w:val="24"/>
                    </w:rPr>
                  </w:pPr>
                  <w:r>
                    <w:t>Periodicity of Furnishing TDS Certificate</w:t>
                  </w:r>
                </w:p>
              </w:tc>
              <w:tc>
                <w:tcPr>
                  <w:tcW w:w="26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Due Dates</w:t>
                  </w:r>
                </w:p>
              </w:tc>
            </w:tr>
            <w:tr w:rsidR="005C6CA6">
              <w:tc>
                <w:tcPr>
                  <w:tcW w:w="9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CA6" w:rsidRDefault="005C6CA6">
                  <w:pPr>
                    <w:jc w:val="center"/>
                    <w:rPr>
                      <w:sz w:val="24"/>
                      <w:szCs w:val="24"/>
                    </w:rPr>
                  </w:pPr>
                  <w:r>
                    <w:t>1.</w:t>
                  </w:r>
                </w:p>
              </w:tc>
              <w:tc>
                <w:tcPr>
                  <w:tcW w:w="2664" w:type="dxa"/>
                  <w:tcBorders>
                    <w:top w:val="nil"/>
                    <w:left w:val="nil"/>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Salary (Form 16)</w:t>
                  </w:r>
                </w:p>
              </w:tc>
              <w:tc>
                <w:tcPr>
                  <w:tcW w:w="2664" w:type="dxa"/>
                  <w:tcBorders>
                    <w:top w:val="nil"/>
                    <w:left w:val="nil"/>
                    <w:bottom w:val="single" w:sz="8" w:space="0" w:color="auto"/>
                    <w:right w:val="single" w:sz="8" w:space="0" w:color="auto"/>
                  </w:tcBorders>
                  <w:tcMar>
                    <w:top w:w="0" w:type="dxa"/>
                    <w:left w:w="108" w:type="dxa"/>
                    <w:bottom w:w="0" w:type="dxa"/>
                    <w:right w:w="108" w:type="dxa"/>
                  </w:tcMar>
                  <w:hideMark/>
                </w:tcPr>
                <w:p w:rsidR="005C6CA6" w:rsidRDefault="005C6CA6">
                  <w:pPr>
                    <w:jc w:val="center"/>
                    <w:rPr>
                      <w:sz w:val="24"/>
                      <w:szCs w:val="24"/>
                    </w:rPr>
                  </w:pPr>
                  <w:r>
                    <w:t>Annual</w:t>
                  </w:r>
                </w:p>
              </w:tc>
              <w:tc>
                <w:tcPr>
                  <w:tcW w:w="2664" w:type="dxa"/>
                  <w:tcBorders>
                    <w:top w:val="nil"/>
                    <w:left w:val="nil"/>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By 31</w:t>
                  </w:r>
                  <w:r>
                    <w:rPr>
                      <w:vertAlign w:val="superscript"/>
                    </w:rPr>
                    <w:t>st</w:t>
                  </w:r>
                  <w:r>
                    <w:t xml:space="preserve"> day of May of the Financial Year immediately following the financial year in which the income was paid and tax deducted.</w:t>
                  </w:r>
                </w:p>
              </w:tc>
            </w:tr>
            <w:tr w:rsidR="005C6CA6">
              <w:tc>
                <w:tcPr>
                  <w:tcW w:w="9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CA6" w:rsidRDefault="005C6CA6">
                  <w:pPr>
                    <w:jc w:val="center"/>
                    <w:rPr>
                      <w:sz w:val="24"/>
                      <w:szCs w:val="24"/>
                    </w:rPr>
                  </w:pPr>
                  <w:r>
                    <w:t>2.</w:t>
                  </w:r>
                </w:p>
              </w:tc>
              <w:tc>
                <w:tcPr>
                  <w:tcW w:w="2664" w:type="dxa"/>
                  <w:tcBorders>
                    <w:top w:val="nil"/>
                    <w:left w:val="nil"/>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r>
                    <w:t>Non Salary (Form 16A)</w:t>
                  </w:r>
                </w:p>
              </w:tc>
              <w:tc>
                <w:tcPr>
                  <w:tcW w:w="2664" w:type="dxa"/>
                  <w:tcBorders>
                    <w:top w:val="nil"/>
                    <w:left w:val="nil"/>
                    <w:bottom w:val="single" w:sz="8" w:space="0" w:color="auto"/>
                    <w:right w:val="single" w:sz="8" w:space="0" w:color="auto"/>
                  </w:tcBorders>
                  <w:tcMar>
                    <w:top w:w="0" w:type="dxa"/>
                    <w:left w:w="108" w:type="dxa"/>
                    <w:bottom w:w="0" w:type="dxa"/>
                    <w:right w:w="108" w:type="dxa"/>
                  </w:tcMar>
                  <w:hideMark/>
                </w:tcPr>
                <w:p w:rsidR="005C6CA6" w:rsidRDefault="005C6CA6">
                  <w:pPr>
                    <w:jc w:val="center"/>
                    <w:rPr>
                      <w:sz w:val="24"/>
                      <w:szCs w:val="24"/>
                    </w:rPr>
                  </w:pPr>
                  <w:r>
                    <w:t>Quarterly</w:t>
                  </w:r>
                </w:p>
              </w:tc>
              <w:tc>
                <w:tcPr>
                  <w:tcW w:w="2664" w:type="dxa"/>
                  <w:tcBorders>
                    <w:top w:val="nil"/>
                    <w:left w:val="nil"/>
                    <w:bottom w:val="single" w:sz="8" w:space="0" w:color="auto"/>
                    <w:right w:val="single" w:sz="8" w:space="0" w:color="auto"/>
                  </w:tcBorders>
                  <w:tcMar>
                    <w:top w:w="0" w:type="dxa"/>
                    <w:left w:w="108" w:type="dxa"/>
                    <w:bottom w:w="0" w:type="dxa"/>
                    <w:right w:w="108" w:type="dxa"/>
                  </w:tcMar>
                  <w:hideMark/>
                </w:tcPr>
                <w:p w:rsidR="005C6CA6" w:rsidRDefault="005C6CA6">
                  <w:pPr>
                    <w:rPr>
                      <w:sz w:val="24"/>
                      <w:szCs w:val="24"/>
                    </w:rPr>
                  </w:pPr>
                  <w:proofErr w:type="spellStart"/>
                  <w:r>
                    <w:t>With in</w:t>
                  </w:r>
                  <w:proofErr w:type="spellEnd"/>
                  <w:r>
                    <w:t xml:space="preserve"> 15 (Fifteen days) from the due date for furnishing the </w:t>
                  </w:r>
                  <w:proofErr w:type="spellStart"/>
                  <w:r>
                    <w:t>etds</w:t>
                  </w:r>
                  <w:proofErr w:type="spellEnd"/>
                  <w:r>
                    <w:t>/</w:t>
                  </w:r>
                  <w:proofErr w:type="spellStart"/>
                  <w:r>
                    <w:t>tcs</w:t>
                  </w:r>
                  <w:proofErr w:type="spellEnd"/>
                  <w:r>
                    <w:t xml:space="preserve"> Statement.</w:t>
                  </w:r>
                </w:p>
              </w:tc>
            </w:tr>
          </w:tbl>
          <w:p w:rsidR="005C6CA6" w:rsidRDefault="005C6CA6">
            <w:pPr>
              <w:spacing w:after="240" w:line="336" w:lineRule="auto"/>
              <w:rPr>
                <w:rFonts w:ascii="Verdana" w:hAnsi="Verdana"/>
                <w:color w:val="000033"/>
                <w:sz w:val="21"/>
                <w:szCs w:val="21"/>
              </w:rPr>
            </w:pPr>
          </w:p>
        </w:tc>
      </w:tr>
    </w:tbl>
    <w:p w:rsidR="005C6CA6" w:rsidRDefault="005C6CA6" w:rsidP="005C6CA6">
      <w:pPr>
        <w:spacing w:line="336" w:lineRule="auto"/>
        <w:rPr>
          <w:rFonts w:ascii="Verdana" w:hAnsi="Verdana"/>
          <w:color w:val="000033"/>
          <w:sz w:val="21"/>
          <w:szCs w:val="21"/>
        </w:rPr>
      </w:pPr>
    </w:p>
    <w:p w:rsidR="005C6CA6" w:rsidRDefault="005C6CA6"/>
    <w:sectPr w:rsidR="005C6CA6" w:rsidSect="00B4042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036D62"/>
    <w:multiLevelType w:val="multilevel"/>
    <w:tmpl w:val="4F4EF5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C6CA6"/>
    <w:rsid w:val="005C6CA6"/>
    <w:rsid w:val="00AB6201"/>
    <w:rsid w:val="00B404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4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6CA6"/>
    <w:pPr>
      <w:spacing w:before="100" w:beforeAutospacing="1" w:after="100" w:afterAutospacing="1" w:line="240" w:lineRule="auto"/>
    </w:pPr>
    <w:rPr>
      <w:rFonts w:ascii="Times New Roman" w:hAnsi="Times New Roman" w:cs="Times New Roman"/>
      <w:sz w:val="24"/>
      <w:szCs w:val="24"/>
    </w:rPr>
  </w:style>
  <w:style w:type="character" w:customStyle="1" w:styleId="apple-style-span">
    <w:name w:val="apple-style-span"/>
    <w:basedOn w:val="DefaultParagraphFont"/>
    <w:rsid w:val="005C6CA6"/>
  </w:style>
</w:styles>
</file>

<file path=word/webSettings.xml><?xml version="1.0" encoding="utf-8"?>
<w:webSettings xmlns:r="http://schemas.openxmlformats.org/officeDocument/2006/relationships" xmlns:w="http://schemas.openxmlformats.org/wordprocessingml/2006/main">
  <w:divs>
    <w:div w:id="1828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555</Words>
  <Characters>3169</Characters>
  <Application>Microsoft Office Word</Application>
  <DocSecurity>0</DocSecurity>
  <Lines>26</Lines>
  <Paragraphs>7</Paragraphs>
  <ScaleCrop>false</ScaleCrop>
  <Company> </Company>
  <LinksUpToDate>false</LinksUpToDate>
  <CharactersWithSpaces>3717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MDave</dc:creator>
  <cp:keywords/>
  <dc:description/>
  <cp:lastModifiedBy>MDave</cp:lastModifiedBy>
  <cp:revision>1</cp:revision>
  <dcterms:created xsi:type="dcterms:W3CDTF">2010-06-03T05:24:00Z</dcterms:created>
  <dcterms:modified xsi:type="dcterms:W3CDTF">2010-06-03T05:25:00Z</dcterms:modified>
</cp:coreProperties>
</file>