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B62" w:rsidRPr="00275AB4" w:rsidRDefault="00FA6ADE" w:rsidP="00334701">
      <w:pPr>
        <w:pStyle w:val="NormalWeb"/>
        <w:jc w:val="center"/>
        <w:rPr>
          <w:rFonts w:ascii="Arial Unicode MS" w:eastAsia="Arial Unicode MS" w:hAnsi="Arial Unicode MS" w:cs="Arial Unicode MS"/>
          <w:b/>
          <w:sz w:val="20"/>
          <w:szCs w:val="20"/>
          <w:u w:val="single"/>
        </w:rPr>
      </w:pPr>
      <w:r>
        <w:rPr>
          <w:rFonts w:ascii="Arial Unicode MS" w:eastAsia="Arial Unicode MS" w:hAnsi="Arial Unicode MS" w:cs="Arial Unicode MS"/>
          <w:b/>
          <w:sz w:val="20"/>
          <w:szCs w:val="20"/>
          <w:u w:val="single"/>
        </w:rPr>
        <w:t xml:space="preserve">Important </w:t>
      </w:r>
      <w:r w:rsidR="00B30B62" w:rsidRPr="00275AB4">
        <w:rPr>
          <w:rFonts w:ascii="Arial Unicode MS" w:eastAsia="Arial Unicode MS" w:hAnsi="Arial Unicode MS" w:cs="Arial Unicode MS"/>
          <w:b/>
          <w:sz w:val="20"/>
          <w:szCs w:val="20"/>
          <w:u w:val="single"/>
        </w:rPr>
        <w:t>Rules Regarding TDS Certificate</w:t>
      </w:r>
    </w:p>
    <w:p w:rsidR="001B1D9A" w:rsidRPr="00275AB4" w:rsidRDefault="001B1D9A" w:rsidP="001B1D9A">
      <w:pPr>
        <w:pStyle w:val="NormalWeb"/>
        <w:jc w:val="both"/>
        <w:rPr>
          <w:rFonts w:ascii="Arial Unicode MS" w:eastAsia="Arial Unicode MS" w:hAnsi="Arial Unicode MS" w:cs="Arial Unicode MS"/>
          <w:sz w:val="20"/>
          <w:szCs w:val="20"/>
        </w:rPr>
      </w:pP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AS per Rule 31(3) , Tds certificate should, generally be issued within one month from the end of the month in which the sum is credited or paid.</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Where TDS on interest other than interest on securities is requied to be deposited quarterly, Tds certificates may be issued within 14 days from the date of deposit of tax ( Rule 31(3) Third Proviso)</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However, TDS certificate for salary i.e form 16 may be issued within 1 month from the end of financial year in which the tax is deducted or paid by the employer on behalf of the employee .( Rule 31(3) Second Proviso)</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Where Tax has been deducted on the last date of the accounting year i.e 31st March, of the person making the payment u/s 194 C/ 194 J/ 194 A/ 194 I / etc then TDS ceftificate may be issued within a period of 2 months and one week from the month in which the tax is so deducted. ( Rule 31(3) First Proviso)</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Consolidate TDS Certificates</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Where more than one TDS certificate is required to be issued to a payee during the financial year , the person deducting the Tax, may on request from the such payee, issue within 1 month from the close of the year, a consolidated Tds certificate in Form no 16 A for that year .(  Rule 31(3) Fourth Proviso)</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Note : Where a consolidated Tds certificate is to be issued for the year, then the tax shall have to be deposited before issued of such certificate.</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Thanks &amp; Regards</w:t>
      </w:r>
    </w:p>
    <w:p w:rsidR="001B1D9A" w:rsidRPr="00275AB4" w:rsidRDefault="001B1D9A" w:rsidP="001B1D9A">
      <w:pPr>
        <w:pStyle w:val="NormalWeb"/>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CA. B.K.BANSAL</w:t>
      </w:r>
    </w:p>
    <w:p w:rsidR="002C3465" w:rsidRPr="00275AB4" w:rsidRDefault="002C3465">
      <w:pPr>
        <w:rPr>
          <w:rFonts w:ascii="Arial Unicode MS" w:eastAsia="Arial Unicode MS" w:hAnsi="Arial Unicode MS" w:cs="Arial Unicode MS"/>
          <w:sz w:val="20"/>
          <w:szCs w:val="20"/>
        </w:rPr>
      </w:pPr>
    </w:p>
    <w:p w:rsidR="001B1D9A" w:rsidRPr="00275AB4" w:rsidRDefault="00334701" w:rsidP="00334701">
      <w:pPr>
        <w:jc w:val="center"/>
        <w:rPr>
          <w:rFonts w:ascii="Arial Unicode MS" w:eastAsia="Arial Unicode MS" w:hAnsi="Arial Unicode MS" w:cs="Arial Unicode MS"/>
          <w:b/>
          <w:sz w:val="20"/>
          <w:szCs w:val="20"/>
          <w:u w:val="single"/>
        </w:rPr>
      </w:pPr>
      <w:r w:rsidRPr="00275AB4">
        <w:rPr>
          <w:rFonts w:ascii="Arial Unicode MS" w:eastAsia="Arial Unicode MS" w:hAnsi="Arial Unicode MS" w:cs="Arial Unicode MS"/>
          <w:b/>
          <w:sz w:val="20"/>
          <w:szCs w:val="20"/>
          <w:u w:val="single"/>
        </w:rPr>
        <w:t>Income Tax Act Regarding This</w:t>
      </w:r>
    </w:p>
    <w:p w:rsidR="001B1D9A" w:rsidRPr="00275AB4" w:rsidRDefault="001B1D9A" w:rsidP="001B1D9A">
      <w:pPr>
        <w:spacing w:after="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b/>
          <w:bCs/>
          <w:sz w:val="20"/>
          <w:szCs w:val="20"/>
        </w:rPr>
        <w:t>Certificate of tax deducted at source</w:t>
      </w:r>
      <w:r w:rsidRPr="00275AB4">
        <w:rPr>
          <w:rFonts w:ascii="Arial Unicode MS" w:eastAsia="Arial Unicode MS" w:hAnsi="Arial Unicode MS" w:cs="Arial Unicode MS"/>
          <w:sz w:val="20"/>
          <w:szCs w:val="20"/>
          <w:vertAlign w:val="superscript"/>
        </w:rPr>
        <w:t xml:space="preserve"> </w:t>
      </w:r>
      <w:hyperlink r:id="rId6" w:history="1">
        <w:r w:rsidRPr="00275AB4">
          <w:rPr>
            <w:rFonts w:ascii="Arial Unicode MS" w:eastAsia="Arial Unicode MS" w:hAnsi="Arial Unicode MS" w:cs="Arial Unicode MS"/>
            <w:sz w:val="20"/>
            <w:szCs w:val="20"/>
            <w:vertAlign w:val="superscript"/>
          </w:rPr>
          <w:t>43</w:t>
        </w:r>
      </w:hyperlink>
      <w:r w:rsidRPr="00275AB4">
        <w:rPr>
          <w:rFonts w:ascii="Arial Unicode MS" w:eastAsia="Arial Unicode MS" w:hAnsi="Arial Unicode MS" w:cs="Arial Unicode MS"/>
          <w:b/>
          <w:bCs/>
          <w:sz w:val="20"/>
          <w:szCs w:val="20"/>
        </w:rPr>
        <w:t>[or tax paid under sub-section (1A) of section 192].</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b/>
          <w:bCs/>
          <w:sz w:val="20"/>
          <w:szCs w:val="20"/>
        </w:rPr>
        <w:t>31.</w:t>
      </w:r>
      <w:r w:rsidRPr="00275AB4">
        <w:rPr>
          <w:rFonts w:ascii="Arial Unicode MS" w:eastAsia="Arial Unicode MS" w:hAnsi="Arial Unicode MS" w:cs="Arial Unicode MS"/>
          <w:sz w:val="20"/>
          <w:szCs w:val="20"/>
        </w:rPr>
        <w:t xml:space="preserve"> </w:t>
      </w:r>
      <w:hyperlink r:id="rId7" w:history="1">
        <w:r w:rsidRPr="00275AB4">
          <w:rPr>
            <w:rFonts w:ascii="Arial Unicode MS" w:eastAsia="Arial Unicode MS" w:hAnsi="Arial Unicode MS" w:cs="Arial Unicode MS"/>
            <w:sz w:val="20"/>
            <w:szCs w:val="20"/>
            <w:vertAlign w:val="superscript"/>
          </w:rPr>
          <w:t>44</w:t>
        </w:r>
      </w:hyperlink>
      <w:r w:rsidRPr="00275AB4">
        <w:rPr>
          <w:rFonts w:ascii="Arial Unicode MS" w:eastAsia="Arial Unicode MS" w:hAnsi="Arial Unicode MS" w:cs="Arial Unicode MS"/>
          <w:sz w:val="20"/>
          <w:szCs w:val="20"/>
        </w:rPr>
        <w:t xml:space="preserve">[(1) The certificate of deduction of tax at source </w:t>
      </w:r>
      <w:hyperlink r:id="rId8" w:history="1">
        <w:r w:rsidRPr="00275AB4">
          <w:rPr>
            <w:rFonts w:ascii="Arial Unicode MS" w:eastAsia="Arial Unicode MS" w:hAnsi="Arial Unicode MS" w:cs="Arial Unicode MS"/>
            <w:sz w:val="20"/>
            <w:szCs w:val="20"/>
            <w:vertAlign w:val="superscript"/>
          </w:rPr>
          <w:t>45</w:t>
        </w:r>
      </w:hyperlink>
      <w:r w:rsidRPr="00275AB4">
        <w:rPr>
          <w:rFonts w:ascii="Arial Unicode MS" w:eastAsia="Arial Unicode MS" w:hAnsi="Arial Unicode MS" w:cs="Arial Unicode MS"/>
          <w:sz w:val="20"/>
          <w:szCs w:val="20"/>
        </w:rPr>
        <w:t>[or, the certificate of payment of tax by the employer on behalf of the employee,] under section 203 to be furnished by any person deducting tax in accordance with the provisions of</w:t>
      </w:r>
    </w:p>
    <w:p w:rsidR="001B1D9A" w:rsidRPr="00275AB4" w:rsidRDefault="001B1D9A" w:rsidP="001B1D9A">
      <w:pPr>
        <w:tabs>
          <w:tab w:val="right" w:pos="360"/>
          <w:tab w:val="left" w:pos="480"/>
          <w:tab w:val="right" w:pos="840"/>
          <w:tab w:val="left" w:pos="960"/>
        </w:tabs>
        <w:spacing w:after="80" w:line="240" w:lineRule="auto"/>
        <w:ind w:left="480" w:hanging="480"/>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w:t>
      </w:r>
      <w:r w:rsidRPr="00275AB4">
        <w:rPr>
          <w:rFonts w:ascii="Arial Unicode MS" w:eastAsia="Arial Unicode MS" w:hAnsi="Arial Unicode MS" w:cs="Arial Unicode MS"/>
          <w:i/>
          <w:iCs/>
          <w:sz w:val="20"/>
          <w:szCs w:val="20"/>
        </w:rPr>
        <w:t>a</w:t>
      </w:r>
      <w:r w:rsidRPr="00275AB4">
        <w:rPr>
          <w:rFonts w:ascii="Arial Unicode MS" w:eastAsia="Arial Unicode MS" w:hAnsi="Arial Unicode MS" w:cs="Arial Unicode MS"/>
          <w:sz w:val="20"/>
          <w:szCs w:val="20"/>
        </w:rPr>
        <w:t>)</w:t>
      </w:r>
      <w:r w:rsidRPr="00275AB4">
        <w:rPr>
          <w:rFonts w:ascii="Arial Unicode MS" w:eastAsia="Arial Unicode MS" w:hAnsi="Arial Unicode MS" w:cs="Arial Unicode MS"/>
          <w:sz w:val="20"/>
          <w:szCs w:val="20"/>
        </w:rPr>
        <w:tab/>
        <w:t xml:space="preserve">section 192 shall be in </w:t>
      </w:r>
      <w:hyperlink r:id="rId9" w:history="1">
        <w:r w:rsidRPr="00275AB4">
          <w:rPr>
            <w:rFonts w:ascii="Arial Unicode MS" w:eastAsia="Arial Unicode MS" w:hAnsi="Arial Unicode MS" w:cs="Arial Unicode MS"/>
            <w:sz w:val="20"/>
            <w:szCs w:val="20"/>
          </w:rPr>
          <w:t>Form No. 16</w:t>
        </w:r>
      </w:hyperlink>
      <w:r w:rsidRPr="00275AB4">
        <w:rPr>
          <w:rFonts w:ascii="Arial Unicode MS" w:eastAsia="Arial Unicode MS" w:hAnsi="Arial Unicode MS" w:cs="Arial Unicode MS"/>
          <w:sz w:val="20"/>
          <w:szCs w:val="20"/>
        </w:rPr>
        <w:t xml:space="preserve"> </w:t>
      </w:r>
      <w:hyperlink r:id="rId10" w:history="1">
        <w:r w:rsidRPr="00275AB4">
          <w:rPr>
            <w:rFonts w:ascii="Arial Unicode MS" w:eastAsia="Arial Unicode MS" w:hAnsi="Arial Unicode MS" w:cs="Arial Unicode MS"/>
            <w:sz w:val="20"/>
            <w:szCs w:val="20"/>
            <w:vertAlign w:val="superscript"/>
          </w:rPr>
          <w:t>46</w:t>
        </w:r>
      </w:hyperlink>
      <w:r w:rsidRPr="00275AB4">
        <w:rPr>
          <w:rFonts w:ascii="Arial Unicode MS" w:eastAsia="Arial Unicode MS" w:hAnsi="Arial Unicode MS" w:cs="Arial Unicode MS"/>
          <w:sz w:val="20"/>
          <w:szCs w:val="20"/>
          <w:vertAlign w:val="superscript"/>
        </w:rPr>
        <w:t>:</w:t>
      </w:r>
    </w:p>
    <w:p w:rsidR="001B1D9A" w:rsidRPr="00275AB4" w:rsidRDefault="00DA72BB" w:rsidP="001B1D9A">
      <w:pPr>
        <w:tabs>
          <w:tab w:val="right" w:pos="360"/>
          <w:tab w:val="left" w:pos="480"/>
          <w:tab w:val="right" w:pos="840"/>
          <w:tab w:val="left" w:pos="960"/>
        </w:tabs>
        <w:spacing w:after="80" w:line="240" w:lineRule="auto"/>
        <w:ind w:left="480" w:hanging="480"/>
        <w:jc w:val="both"/>
        <w:rPr>
          <w:rFonts w:ascii="Arial Unicode MS" w:eastAsia="Arial Unicode MS" w:hAnsi="Arial Unicode MS" w:cs="Arial Unicode MS"/>
          <w:sz w:val="20"/>
          <w:szCs w:val="20"/>
        </w:rPr>
      </w:pPr>
      <w:hyperlink r:id="rId11" w:history="1">
        <w:r w:rsidR="001B1D9A" w:rsidRPr="00275AB4">
          <w:rPr>
            <w:rFonts w:ascii="Arial Unicode MS" w:eastAsia="Arial Unicode MS" w:hAnsi="Arial Unicode MS" w:cs="Arial Unicode MS"/>
            <w:sz w:val="20"/>
            <w:szCs w:val="20"/>
            <w:vertAlign w:val="superscript"/>
          </w:rPr>
          <w:t>47</w:t>
        </w:r>
      </w:hyperlink>
      <w:r w:rsidR="001B1D9A" w:rsidRPr="00275AB4">
        <w:rPr>
          <w:rFonts w:ascii="Arial Unicode MS" w:eastAsia="Arial Unicode MS" w:hAnsi="Arial Unicode MS" w:cs="Arial Unicode MS"/>
          <w:sz w:val="20"/>
          <w:szCs w:val="20"/>
        </w:rPr>
        <w:t>[</w:t>
      </w:r>
      <w:r w:rsidR="001B1D9A" w:rsidRPr="00275AB4">
        <w:rPr>
          <w:rFonts w:ascii="Arial Unicode MS" w:eastAsia="Arial Unicode MS" w:hAnsi="Arial Unicode MS" w:cs="Arial Unicode MS"/>
          <w:b/>
          <w:bCs/>
          <w:sz w:val="20"/>
          <w:szCs w:val="20"/>
        </w:rPr>
        <w:t xml:space="preserve">Provided </w:t>
      </w:r>
      <w:r w:rsidR="001B1D9A" w:rsidRPr="00275AB4">
        <w:rPr>
          <w:rFonts w:ascii="Arial Unicode MS" w:eastAsia="Arial Unicode MS" w:hAnsi="Arial Unicode MS" w:cs="Arial Unicode MS"/>
          <w:i/>
          <w:iCs/>
          <w:sz w:val="20"/>
          <w:szCs w:val="20"/>
        </w:rPr>
        <w:t xml:space="preserve">that in the case of an individual, resident in India, where his income from salaries before allowing deductions under section 16 of the Income-tax Act, 1961 does not exceed rupees one lakh fifty thousand, the certificate of deduction of tax at source shall be in </w:t>
      </w:r>
      <w:hyperlink r:id="rId12" w:history="1">
        <w:r w:rsidR="001B1D9A" w:rsidRPr="00275AB4">
          <w:rPr>
            <w:rFonts w:ascii="Arial Unicode MS" w:eastAsia="Arial Unicode MS" w:hAnsi="Arial Unicode MS" w:cs="Arial Unicode MS"/>
            <w:i/>
            <w:iCs/>
            <w:sz w:val="20"/>
            <w:szCs w:val="20"/>
          </w:rPr>
          <w:t>Form No. 16AA</w:t>
        </w:r>
      </w:hyperlink>
      <w:r w:rsidR="001B1D9A" w:rsidRPr="00275AB4">
        <w:rPr>
          <w:rFonts w:ascii="Arial Unicode MS" w:eastAsia="Arial Unicode MS" w:hAnsi="Arial Unicode MS" w:cs="Arial Unicode MS"/>
          <w:i/>
          <w:iCs/>
          <w:sz w:val="20"/>
          <w:szCs w:val="20"/>
        </w:rPr>
        <w:t>;</w:t>
      </w:r>
      <w:r w:rsidR="001B1D9A" w:rsidRPr="00275AB4">
        <w:rPr>
          <w:rFonts w:ascii="Arial Unicode MS" w:eastAsia="Arial Unicode MS" w:hAnsi="Arial Unicode MS" w:cs="Arial Unicode MS"/>
          <w:sz w:val="20"/>
          <w:szCs w:val="20"/>
        </w:rPr>
        <w:t>]</w:t>
      </w:r>
    </w:p>
    <w:p w:rsidR="001B1D9A" w:rsidRPr="00275AB4" w:rsidRDefault="00DA72BB" w:rsidP="001B1D9A">
      <w:pPr>
        <w:tabs>
          <w:tab w:val="right" w:pos="360"/>
          <w:tab w:val="left" w:pos="480"/>
          <w:tab w:val="right" w:pos="840"/>
          <w:tab w:val="left" w:pos="960"/>
        </w:tabs>
        <w:spacing w:after="80" w:line="240" w:lineRule="auto"/>
        <w:ind w:left="480" w:hanging="480"/>
        <w:jc w:val="both"/>
        <w:rPr>
          <w:rFonts w:ascii="Arial Unicode MS" w:eastAsia="Arial Unicode MS" w:hAnsi="Arial Unicode MS" w:cs="Arial Unicode MS"/>
          <w:sz w:val="20"/>
          <w:szCs w:val="20"/>
        </w:rPr>
      </w:pPr>
      <w:hyperlink r:id="rId13" w:history="1">
        <w:r w:rsidR="001B1D9A" w:rsidRPr="00275AB4">
          <w:rPr>
            <w:rFonts w:ascii="Arial Unicode MS" w:eastAsia="Arial Unicode MS" w:hAnsi="Arial Unicode MS" w:cs="Arial Unicode MS"/>
            <w:sz w:val="20"/>
            <w:szCs w:val="20"/>
            <w:vertAlign w:val="superscript"/>
          </w:rPr>
          <w:t>48</w:t>
        </w:r>
      </w:hyperlink>
      <w:r w:rsidR="001B1D9A" w:rsidRPr="00275AB4">
        <w:rPr>
          <w:rFonts w:ascii="Arial Unicode MS" w:eastAsia="Arial Unicode MS" w:hAnsi="Arial Unicode MS" w:cs="Arial Unicode MS"/>
          <w:sz w:val="20"/>
          <w:szCs w:val="20"/>
        </w:rPr>
        <w:t>[(</w:t>
      </w:r>
      <w:r w:rsidR="001B1D9A" w:rsidRPr="00275AB4">
        <w:rPr>
          <w:rFonts w:ascii="Arial Unicode MS" w:eastAsia="Arial Unicode MS" w:hAnsi="Arial Unicode MS" w:cs="Arial Unicode MS"/>
          <w:i/>
          <w:iCs/>
          <w:sz w:val="20"/>
          <w:szCs w:val="20"/>
        </w:rPr>
        <w:t>b</w:t>
      </w:r>
      <w:r w:rsidR="001B1D9A" w:rsidRPr="00275AB4">
        <w:rPr>
          <w:rFonts w:ascii="Arial Unicode MS" w:eastAsia="Arial Unicode MS" w:hAnsi="Arial Unicode MS" w:cs="Arial Unicode MS"/>
          <w:sz w:val="20"/>
          <w:szCs w:val="20"/>
        </w:rPr>
        <w:t>)</w:t>
      </w:r>
      <w:r w:rsidR="001B1D9A" w:rsidRPr="00275AB4">
        <w:rPr>
          <w:rFonts w:ascii="Arial Unicode MS" w:eastAsia="Arial Unicode MS" w:hAnsi="Arial Unicode MS" w:cs="Arial Unicode MS"/>
          <w:sz w:val="20"/>
          <w:szCs w:val="20"/>
        </w:rPr>
        <w:tab/>
        <w:t xml:space="preserve">section 193, section 194, section 194A, section 194B, section 194BB, section 194C, section 194D, section 194E, section 194EE, section 194F, section 194G, </w:t>
      </w:r>
      <w:hyperlink r:id="rId14" w:history="1">
        <w:r w:rsidR="001B1D9A" w:rsidRPr="00275AB4">
          <w:rPr>
            <w:rFonts w:ascii="Arial Unicode MS" w:eastAsia="Arial Unicode MS" w:hAnsi="Arial Unicode MS" w:cs="Arial Unicode MS"/>
            <w:sz w:val="20"/>
            <w:szCs w:val="20"/>
            <w:vertAlign w:val="superscript"/>
          </w:rPr>
          <w:t>49</w:t>
        </w:r>
      </w:hyperlink>
      <w:r w:rsidR="001B1D9A" w:rsidRPr="00275AB4">
        <w:rPr>
          <w:rFonts w:ascii="Arial Unicode MS" w:eastAsia="Arial Unicode MS" w:hAnsi="Arial Unicode MS" w:cs="Arial Unicode MS"/>
          <w:sz w:val="20"/>
          <w:szCs w:val="20"/>
        </w:rPr>
        <w:t xml:space="preserve">[section 194-I,] </w:t>
      </w:r>
      <w:hyperlink r:id="rId15" w:history="1">
        <w:r w:rsidR="001B1D9A" w:rsidRPr="00275AB4">
          <w:rPr>
            <w:rFonts w:ascii="Arial Unicode MS" w:eastAsia="Arial Unicode MS" w:hAnsi="Arial Unicode MS" w:cs="Arial Unicode MS"/>
            <w:sz w:val="20"/>
            <w:szCs w:val="20"/>
            <w:vertAlign w:val="superscript"/>
          </w:rPr>
          <w:t>50</w:t>
        </w:r>
      </w:hyperlink>
      <w:r w:rsidR="001B1D9A" w:rsidRPr="00275AB4">
        <w:rPr>
          <w:rFonts w:ascii="Arial Unicode MS" w:eastAsia="Arial Unicode MS" w:hAnsi="Arial Unicode MS" w:cs="Arial Unicode MS"/>
          <w:sz w:val="20"/>
          <w:szCs w:val="20"/>
        </w:rPr>
        <w:t xml:space="preserve">[section 194J, section 194K,] </w:t>
      </w:r>
      <w:hyperlink r:id="rId16" w:history="1">
        <w:r w:rsidR="001B1D9A" w:rsidRPr="00275AB4">
          <w:rPr>
            <w:rFonts w:ascii="Arial Unicode MS" w:eastAsia="Arial Unicode MS" w:hAnsi="Arial Unicode MS" w:cs="Arial Unicode MS"/>
            <w:sz w:val="20"/>
            <w:szCs w:val="20"/>
            <w:vertAlign w:val="superscript"/>
          </w:rPr>
          <w:t>51</w:t>
        </w:r>
      </w:hyperlink>
      <w:r w:rsidR="001B1D9A" w:rsidRPr="00275AB4">
        <w:rPr>
          <w:rFonts w:ascii="Arial Unicode MS" w:eastAsia="Arial Unicode MS" w:hAnsi="Arial Unicode MS" w:cs="Arial Unicode MS"/>
          <w:b/>
          <w:bCs/>
          <w:sz w:val="20"/>
          <w:szCs w:val="20"/>
        </w:rPr>
        <w:t>[</w:t>
      </w:r>
      <w:r w:rsidR="001B1D9A" w:rsidRPr="00275AB4">
        <w:rPr>
          <w:rFonts w:ascii="Arial Unicode MS" w:eastAsia="Arial Unicode MS" w:hAnsi="Arial Unicode MS" w:cs="Arial Unicode MS"/>
          <w:i/>
          <w:iCs/>
          <w:sz w:val="20"/>
          <w:szCs w:val="20"/>
        </w:rPr>
        <w:t>section 194LA,</w:t>
      </w:r>
      <w:r w:rsidR="001B1D9A" w:rsidRPr="00275AB4">
        <w:rPr>
          <w:rFonts w:ascii="Arial Unicode MS" w:eastAsia="Arial Unicode MS" w:hAnsi="Arial Unicode MS" w:cs="Arial Unicode MS"/>
          <w:b/>
          <w:bCs/>
          <w:sz w:val="20"/>
          <w:szCs w:val="20"/>
        </w:rPr>
        <w:t>]</w:t>
      </w:r>
      <w:r w:rsidR="001B1D9A" w:rsidRPr="00275AB4">
        <w:rPr>
          <w:rFonts w:ascii="Arial Unicode MS" w:eastAsia="Arial Unicode MS" w:hAnsi="Arial Unicode MS" w:cs="Arial Unicode MS"/>
          <w:sz w:val="20"/>
          <w:szCs w:val="20"/>
        </w:rPr>
        <w:t xml:space="preserve"> section 195, section 196A, section 196B, section 196C and section 196D shall be in </w:t>
      </w:r>
      <w:hyperlink r:id="rId17" w:history="1">
        <w:r w:rsidR="001B1D9A" w:rsidRPr="00275AB4">
          <w:rPr>
            <w:rFonts w:ascii="Arial Unicode MS" w:eastAsia="Arial Unicode MS" w:hAnsi="Arial Unicode MS" w:cs="Arial Unicode MS"/>
            <w:sz w:val="20"/>
            <w:szCs w:val="20"/>
          </w:rPr>
          <w:t>Form No. 16A</w:t>
        </w:r>
      </w:hyperlink>
      <w:r w:rsidR="001B1D9A" w:rsidRPr="00275AB4">
        <w:rPr>
          <w:rFonts w:ascii="Arial Unicode MS" w:eastAsia="Arial Unicode MS" w:hAnsi="Arial Unicode MS" w:cs="Arial Unicode MS"/>
          <w:sz w:val="20"/>
          <w:szCs w:val="20"/>
        </w:rPr>
        <w:t>.]]</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lastRenderedPageBreak/>
        <w:t xml:space="preserve">(2) </w:t>
      </w:r>
      <w:hyperlink r:id="rId18" w:history="1">
        <w:r w:rsidRPr="00275AB4">
          <w:rPr>
            <w:rFonts w:ascii="Arial Unicode MS" w:eastAsia="Arial Unicode MS" w:hAnsi="Arial Unicode MS" w:cs="Arial Unicode MS"/>
            <w:sz w:val="20"/>
            <w:szCs w:val="20"/>
            <w:vertAlign w:val="superscript"/>
          </w:rPr>
          <w:t>52</w:t>
        </w:r>
      </w:hyperlink>
      <w:r w:rsidRPr="00275AB4">
        <w:rPr>
          <w:rFonts w:ascii="Arial Unicode MS" w:eastAsia="Arial Unicode MS" w:hAnsi="Arial Unicode MS" w:cs="Arial Unicode MS"/>
          <w:sz w:val="20"/>
          <w:szCs w:val="20"/>
        </w:rPr>
        <w:t>[* * *]</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(3) The certificate mentioned in sub-rule (1) shall be furnished within a period of </w:t>
      </w:r>
      <w:hyperlink r:id="rId19" w:history="1">
        <w:r w:rsidRPr="00275AB4">
          <w:rPr>
            <w:rFonts w:ascii="Arial Unicode MS" w:eastAsia="Arial Unicode MS" w:hAnsi="Arial Unicode MS" w:cs="Arial Unicode MS"/>
            <w:sz w:val="20"/>
            <w:szCs w:val="20"/>
            <w:vertAlign w:val="superscript"/>
          </w:rPr>
          <w:t>53</w:t>
        </w:r>
      </w:hyperlink>
      <w:r w:rsidRPr="00275AB4">
        <w:rPr>
          <w:rFonts w:ascii="Arial Unicode MS" w:eastAsia="Arial Unicode MS" w:hAnsi="Arial Unicode MS" w:cs="Arial Unicode MS"/>
          <w:sz w:val="20"/>
          <w:szCs w:val="20"/>
        </w:rPr>
        <w:t>[one month from the end of the month during which the credit has been given or the sums have been paid or, as the case may be, a cheque or warrant for payment of any dividend has been issued to a shareholder]:</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b/>
          <w:bCs/>
          <w:sz w:val="20"/>
          <w:szCs w:val="20"/>
        </w:rPr>
        <w:t>Provided</w:t>
      </w:r>
      <w:r w:rsidRPr="00275AB4">
        <w:rPr>
          <w:rFonts w:ascii="Arial Unicode MS" w:eastAsia="Arial Unicode MS" w:hAnsi="Arial Unicode MS" w:cs="Arial Unicode MS"/>
          <w:sz w:val="20"/>
          <w:szCs w:val="20"/>
        </w:rPr>
        <w:t xml:space="preserve"> that </w:t>
      </w:r>
      <w:hyperlink r:id="rId20" w:history="1">
        <w:r w:rsidRPr="00275AB4">
          <w:rPr>
            <w:rFonts w:ascii="Arial Unicode MS" w:eastAsia="Arial Unicode MS" w:hAnsi="Arial Unicode MS" w:cs="Arial Unicode MS"/>
            <w:sz w:val="20"/>
            <w:szCs w:val="20"/>
            <w:vertAlign w:val="superscript"/>
          </w:rPr>
          <w:t>54</w:t>
        </w:r>
      </w:hyperlink>
      <w:r w:rsidRPr="00275AB4">
        <w:rPr>
          <w:rFonts w:ascii="Arial Unicode MS" w:eastAsia="Arial Unicode MS" w:hAnsi="Arial Unicode MS" w:cs="Arial Unicode MS"/>
          <w:sz w:val="20"/>
          <w:szCs w:val="20"/>
        </w:rPr>
        <w:t xml:space="preserve">[where the income by way of interest on securities referred to in section 193 or the income by way of interest referred to in section 194A or the sum referred to in section 194C or the income by way of insurance commission referred to in section 194D or the payment to non-resident sportsmen or sports associations referred to in section 194E </w:t>
      </w:r>
      <w:hyperlink r:id="rId21" w:history="1">
        <w:r w:rsidRPr="00275AB4">
          <w:rPr>
            <w:rFonts w:ascii="Arial Unicode MS" w:eastAsia="Arial Unicode MS" w:hAnsi="Arial Unicode MS" w:cs="Arial Unicode MS"/>
            <w:sz w:val="20"/>
            <w:szCs w:val="20"/>
            <w:vertAlign w:val="superscript"/>
          </w:rPr>
          <w:t>55</w:t>
        </w:r>
      </w:hyperlink>
      <w:r w:rsidRPr="00275AB4">
        <w:rPr>
          <w:rFonts w:ascii="Arial Unicode MS" w:eastAsia="Arial Unicode MS" w:hAnsi="Arial Unicode MS" w:cs="Arial Unicode MS"/>
          <w:sz w:val="20"/>
          <w:szCs w:val="20"/>
        </w:rPr>
        <w:t xml:space="preserve">[or the income by way of commission, remuneration or prize on sale of lottery tickets referred to in section 194G or the income by way of commission or brokerage referred to in section 194H </w:t>
      </w:r>
      <w:hyperlink r:id="rId22" w:history="1">
        <w:r w:rsidRPr="00275AB4">
          <w:rPr>
            <w:rFonts w:ascii="Arial Unicode MS" w:eastAsia="Arial Unicode MS" w:hAnsi="Arial Unicode MS" w:cs="Arial Unicode MS"/>
            <w:sz w:val="20"/>
            <w:szCs w:val="20"/>
            <w:vertAlign w:val="superscript"/>
          </w:rPr>
          <w:t>56</w:t>
        </w:r>
      </w:hyperlink>
      <w:r w:rsidRPr="00275AB4">
        <w:rPr>
          <w:rFonts w:ascii="Arial Unicode MS" w:eastAsia="Arial Unicode MS" w:hAnsi="Arial Unicode MS" w:cs="Arial Unicode MS"/>
          <w:sz w:val="20"/>
          <w:szCs w:val="20"/>
        </w:rPr>
        <w:t xml:space="preserve">[or the income by way of rent referred to in section 194-I] </w:t>
      </w:r>
      <w:hyperlink r:id="rId23" w:history="1">
        <w:r w:rsidRPr="00275AB4">
          <w:rPr>
            <w:rFonts w:ascii="Arial Unicode MS" w:eastAsia="Arial Unicode MS" w:hAnsi="Arial Unicode MS" w:cs="Arial Unicode MS"/>
            <w:sz w:val="20"/>
            <w:szCs w:val="20"/>
            <w:vertAlign w:val="superscript"/>
          </w:rPr>
          <w:t>57</w:t>
        </w:r>
      </w:hyperlink>
      <w:r w:rsidRPr="00275AB4">
        <w:rPr>
          <w:rFonts w:ascii="Arial Unicode MS" w:eastAsia="Arial Unicode MS" w:hAnsi="Arial Unicode MS" w:cs="Arial Unicode MS"/>
          <w:sz w:val="20"/>
          <w:szCs w:val="20"/>
        </w:rPr>
        <w:t xml:space="preserve">[or the income by way of fees for professional or technical services referred to in section 194J] or the interest or any other sum referred to in section 195 or the income of a foreign company referred to in sub-section (2) of section 196A] or the income from units referred to in section 196B] </w:t>
      </w:r>
      <w:hyperlink r:id="rId24" w:history="1">
        <w:r w:rsidRPr="00275AB4">
          <w:rPr>
            <w:rFonts w:ascii="Arial Unicode MS" w:eastAsia="Arial Unicode MS" w:hAnsi="Arial Unicode MS" w:cs="Arial Unicode MS"/>
            <w:sz w:val="20"/>
            <w:szCs w:val="20"/>
            <w:vertAlign w:val="superscript"/>
          </w:rPr>
          <w:t>58</w:t>
        </w:r>
      </w:hyperlink>
      <w:r w:rsidRPr="00275AB4">
        <w:rPr>
          <w:rFonts w:ascii="Arial Unicode MS" w:eastAsia="Arial Unicode MS" w:hAnsi="Arial Unicode MS" w:cs="Arial Unicode MS"/>
          <w:sz w:val="20"/>
          <w:szCs w:val="20"/>
        </w:rPr>
        <w:t xml:space="preserve">[or the income from foreign currency bonds or shares of an Indian company referred to in section 196C] </w:t>
      </w:r>
      <w:hyperlink r:id="rId25" w:history="1">
        <w:r w:rsidRPr="00275AB4">
          <w:rPr>
            <w:rFonts w:ascii="Arial Unicode MS" w:eastAsia="Arial Unicode MS" w:hAnsi="Arial Unicode MS" w:cs="Arial Unicode MS"/>
            <w:sz w:val="20"/>
            <w:szCs w:val="20"/>
            <w:vertAlign w:val="superscript"/>
          </w:rPr>
          <w:t>59</w:t>
        </w:r>
      </w:hyperlink>
      <w:r w:rsidRPr="00275AB4">
        <w:rPr>
          <w:rFonts w:ascii="Arial Unicode MS" w:eastAsia="Arial Unicode MS" w:hAnsi="Arial Unicode MS" w:cs="Arial Unicode MS"/>
          <w:sz w:val="20"/>
          <w:szCs w:val="20"/>
        </w:rPr>
        <w:t xml:space="preserve">[or the income of Foreign Institutional Investors from securities referred to in section 196D] is credited by a person </w:t>
      </w:r>
      <w:hyperlink r:id="rId26" w:history="1">
        <w:r w:rsidRPr="00275AB4">
          <w:rPr>
            <w:rFonts w:ascii="Arial Unicode MS" w:eastAsia="Arial Unicode MS" w:hAnsi="Arial Unicode MS" w:cs="Arial Unicode MS"/>
            <w:sz w:val="20"/>
            <w:szCs w:val="20"/>
            <w:vertAlign w:val="superscript"/>
          </w:rPr>
          <w:t>60</w:t>
        </w:r>
      </w:hyperlink>
      <w:r w:rsidRPr="00275AB4">
        <w:rPr>
          <w:rFonts w:ascii="Arial Unicode MS" w:eastAsia="Arial Unicode MS" w:hAnsi="Arial Unicode MS" w:cs="Arial Unicode MS"/>
          <w:sz w:val="20"/>
          <w:szCs w:val="20"/>
        </w:rPr>
        <w:t>[to the account of the payee as on the date up to which the account of such person] are made, the certificate under sub-rule (1) shall be issued within a week after the expiry of two months from the month in which income is so credited:</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b/>
          <w:bCs/>
          <w:sz w:val="20"/>
          <w:szCs w:val="20"/>
        </w:rPr>
        <w:t>Provided further</w:t>
      </w:r>
      <w:r w:rsidRPr="00275AB4">
        <w:rPr>
          <w:rFonts w:ascii="Arial Unicode MS" w:eastAsia="Arial Unicode MS" w:hAnsi="Arial Unicode MS" w:cs="Arial Unicode MS"/>
          <w:sz w:val="20"/>
          <w:szCs w:val="20"/>
        </w:rPr>
        <w:t xml:space="preserve"> </w:t>
      </w:r>
      <w:hyperlink r:id="rId27" w:history="1">
        <w:r w:rsidRPr="00275AB4">
          <w:rPr>
            <w:rFonts w:ascii="Arial Unicode MS" w:eastAsia="Arial Unicode MS" w:hAnsi="Arial Unicode MS" w:cs="Arial Unicode MS"/>
            <w:sz w:val="20"/>
            <w:szCs w:val="20"/>
            <w:vertAlign w:val="superscript"/>
          </w:rPr>
          <w:t>61</w:t>
        </w:r>
      </w:hyperlink>
      <w:r w:rsidRPr="00275AB4">
        <w:rPr>
          <w:rFonts w:ascii="Arial Unicode MS" w:eastAsia="Arial Unicode MS" w:hAnsi="Arial Unicode MS" w:cs="Arial Unicode MS"/>
          <w:sz w:val="20"/>
          <w:szCs w:val="20"/>
        </w:rPr>
        <w:t xml:space="preserve">[that the certificate in the case of deduction of tax under sub-section (1) of section 192 or, payment of tax by the employer on behalf of the employee, under sub-section (1A) of that section] </w:t>
      </w:r>
      <w:hyperlink r:id="rId28" w:history="1">
        <w:r w:rsidRPr="00275AB4">
          <w:rPr>
            <w:rFonts w:ascii="Arial Unicode MS" w:eastAsia="Arial Unicode MS" w:hAnsi="Arial Unicode MS" w:cs="Arial Unicode MS"/>
            <w:sz w:val="20"/>
            <w:szCs w:val="20"/>
            <w:vertAlign w:val="superscript"/>
          </w:rPr>
          <w:t>62</w:t>
        </w:r>
      </w:hyperlink>
      <w:r w:rsidRPr="00275AB4">
        <w:rPr>
          <w:rFonts w:ascii="Arial Unicode MS" w:eastAsia="Arial Unicode MS" w:hAnsi="Arial Unicode MS" w:cs="Arial Unicode MS"/>
          <w:sz w:val="20"/>
          <w:szCs w:val="20"/>
        </w:rPr>
        <w:t>[or section 194D] may be furnished within one month from the close of the financial year in which such deduction was made:</w:t>
      </w:r>
    </w:p>
    <w:p w:rsidR="001B1D9A" w:rsidRPr="00275AB4" w:rsidRDefault="00DA72BB"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hyperlink r:id="rId29" w:history="1">
        <w:r w:rsidR="001B1D9A" w:rsidRPr="00275AB4">
          <w:rPr>
            <w:rFonts w:ascii="Arial Unicode MS" w:eastAsia="Arial Unicode MS" w:hAnsi="Arial Unicode MS" w:cs="Arial Unicode MS"/>
            <w:sz w:val="20"/>
            <w:szCs w:val="20"/>
            <w:vertAlign w:val="superscript"/>
          </w:rPr>
          <w:t>63</w:t>
        </w:r>
      </w:hyperlink>
      <w:r w:rsidR="001B1D9A" w:rsidRPr="00275AB4">
        <w:rPr>
          <w:rFonts w:ascii="Arial Unicode MS" w:eastAsia="Arial Unicode MS" w:hAnsi="Arial Unicode MS" w:cs="Arial Unicode MS"/>
          <w:sz w:val="20"/>
          <w:szCs w:val="20"/>
        </w:rPr>
        <w:t>[</w:t>
      </w:r>
      <w:r w:rsidR="001B1D9A" w:rsidRPr="00275AB4">
        <w:rPr>
          <w:rFonts w:ascii="Arial Unicode MS" w:eastAsia="Arial Unicode MS" w:hAnsi="Arial Unicode MS" w:cs="Arial Unicode MS"/>
          <w:b/>
          <w:bCs/>
          <w:sz w:val="20"/>
          <w:szCs w:val="20"/>
        </w:rPr>
        <w:t>Provided also</w:t>
      </w:r>
      <w:r w:rsidR="001B1D9A" w:rsidRPr="00275AB4">
        <w:rPr>
          <w:rFonts w:ascii="Arial Unicode MS" w:eastAsia="Arial Unicode MS" w:hAnsi="Arial Unicode MS" w:cs="Arial Unicode MS"/>
          <w:sz w:val="20"/>
          <w:szCs w:val="20"/>
        </w:rPr>
        <w:t xml:space="preserve"> that the certificate in cases, other than those mentioned in the second proviso, where payment of income-tax deducted is permitted quarterly in accordance with clause (</w:t>
      </w:r>
      <w:r w:rsidR="001B1D9A" w:rsidRPr="00275AB4">
        <w:rPr>
          <w:rFonts w:ascii="Arial Unicode MS" w:eastAsia="Arial Unicode MS" w:hAnsi="Arial Unicode MS" w:cs="Arial Unicode MS"/>
          <w:i/>
          <w:iCs/>
          <w:sz w:val="20"/>
          <w:szCs w:val="20"/>
        </w:rPr>
        <w:t>a</w:t>
      </w:r>
      <w:r w:rsidR="001B1D9A" w:rsidRPr="00275AB4">
        <w:rPr>
          <w:rFonts w:ascii="Arial Unicode MS" w:eastAsia="Arial Unicode MS" w:hAnsi="Arial Unicode MS" w:cs="Arial Unicode MS"/>
          <w:sz w:val="20"/>
          <w:szCs w:val="20"/>
        </w:rPr>
        <w:t>) of the proviso to clause (</w:t>
      </w:r>
      <w:r w:rsidR="001B1D9A" w:rsidRPr="00275AB4">
        <w:rPr>
          <w:rFonts w:ascii="Arial Unicode MS" w:eastAsia="Arial Unicode MS" w:hAnsi="Arial Unicode MS" w:cs="Arial Unicode MS"/>
          <w:i/>
          <w:iCs/>
          <w:sz w:val="20"/>
          <w:szCs w:val="20"/>
        </w:rPr>
        <w:t>b</w:t>
      </w:r>
      <w:r w:rsidR="001B1D9A" w:rsidRPr="00275AB4">
        <w:rPr>
          <w:rFonts w:ascii="Arial Unicode MS" w:eastAsia="Arial Unicode MS" w:hAnsi="Arial Unicode MS" w:cs="Arial Unicode MS"/>
          <w:sz w:val="20"/>
          <w:szCs w:val="20"/>
        </w:rPr>
        <w:t>) of sub-rule (1) of rule 30 may be furnished within fourteen days from the date of payment of income-tax:]</w:t>
      </w:r>
    </w:p>
    <w:p w:rsidR="001B1D9A" w:rsidRPr="00275AB4" w:rsidRDefault="00DA72BB"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hyperlink r:id="rId30" w:history="1">
        <w:r w:rsidR="001B1D9A" w:rsidRPr="00275AB4">
          <w:rPr>
            <w:rFonts w:ascii="Arial Unicode MS" w:eastAsia="Arial Unicode MS" w:hAnsi="Arial Unicode MS" w:cs="Arial Unicode MS"/>
            <w:sz w:val="20"/>
            <w:szCs w:val="20"/>
            <w:vertAlign w:val="superscript"/>
          </w:rPr>
          <w:t>64</w:t>
        </w:r>
      </w:hyperlink>
      <w:r w:rsidR="001B1D9A" w:rsidRPr="00275AB4">
        <w:rPr>
          <w:rFonts w:ascii="Arial Unicode MS" w:eastAsia="Arial Unicode MS" w:hAnsi="Arial Unicode MS" w:cs="Arial Unicode MS"/>
          <w:sz w:val="20"/>
          <w:szCs w:val="20"/>
        </w:rPr>
        <w:t>[</w:t>
      </w:r>
      <w:r w:rsidR="001B1D9A" w:rsidRPr="00275AB4">
        <w:rPr>
          <w:rFonts w:ascii="Arial Unicode MS" w:eastAsia="Arial Unicode MS" w:hAnsi="Arial Unicode MS" w:cs="Arial Unicode MS"/>
          <w:b/>
          <w:bCs/>
          <w:sz w:val="20"/>
          <w:szCs w:val="20"/>
        </w:rPr>
        <w:t xml:space="preserve">Provided also </w:t>
      </w:r>
      <w:r w:rsidR="001B1D9A" w:rsidRPr="00275AB4">
        <w:rPr>
          <w:rFonts w:ascii="Arial Unicode MS" w:eastAsia="Arial Unicode MS" w:hAnsi="Arial Unicode MS" w:cs="Arial Unicode MS"/>
          <w:sz w:val="20"/>
          <w:szCs w:val="20"/>
        </w:rPr>
        <w:t xml:space="preserve">that where more than one certificate is required to be furnished to a payee for deductions of income-tax made during a financial year, the person deducting the tax, may on request from such payee, issue within one month from the close of such financial year a consolidated certificate in </w:t>
      </w:r>
      <w:hyperlink r:id="rId31" w:history="1">
        <w:r w:rsidR="001B1D9A" w:rsidRPr="00275AB4">
          <w:rPr>
            <w:rFonts w:ascii="Arial Unicode MS" w:eastAsia="Arial Unicode MS" w:hAnsi="Arial Unicode MS" w:cs="Arial Unicode MS"/>
            <w:sz w:val="20"/>
            <w:szCs w:val="20"/>
          </w:rPr>
          <w:t>Form No. 16A</w:t>
        </w:r>
      </w:hyperlink>
      <w:r w:rsidR="001B1D9A" w:rsidRPr="00275AB4">
        <w:rPr>
          <w:rFonts w:ascii="Arial Unicode MS" w:eastAsia="Arial Unicode MS" w:hAnsi="Arial Unicode MS" w:cs="Arial Unicode MS"/>
          <w:sz w:val="20"/>
          <w:szCs w:val="20"/>
        </w:rPr>
        <w:t xml:space="preserve"> for tax deducted during whole of such financial year.]</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(4) Where in a case, the TDS certificate issued under this rule is lost, the person deducting tax at source may issue a duplicate certificate of deduction of tax at source on a plain paper giving necessary details as contained in </w:t>
      </w:r>
      <w:hyperlink r:id="rId32" w:history="1">
        <w:r w:rsidRPr="00275AB4">
          <w:rPr>
            <w:rFonts w:ascii="Arial Unicode MS" w:eastAsia="Arial Unicode MS" w:hAnsi="Arial Unicode MS" w:cs="Arial Unicode MS"/>
            <w:sz w:val="20"/>
            <w:szCs w:val="20"/>
          </w:rPr>
          <w:t>Form No. 16</w:t>
        </w:r>
      </w:hyperlink>
      <w:r w:rsidRPr="00275AB4">
        <w:rPr>
          <w:rFonts w:ascii="Arial Unicode MS" w:eastAsia="Arial Unicode MS" w:hAnsi="Arial Unicode MS" w:cs="Arial Unicode MS"/>
          <w:sz w:val="20"/>
          <w:szCs w:val="20"/>
        </w:rPr>
        <w:t xml:space="preserve"> </w:t>
      </w:r>
      <w:hyperlink r:id="rId33" w:history="1">
        <w:r w:rsidRPr="00275AB4">
          <w:rPr>
            <w:rFonts w:ascii="Arial Unicode MS" w:eastAsia="Arial Unicode MS" w:hAnsi="Arial Unicode MS" w:cs="Arial Unicode MS"/>
            <w:sz w:val="20"/>
            <w:szCs w:val="20"/>
            <w:vertAlign w:val="superscript"/>
          </w:rPr>
          <w:t>65</w:t>
        </w:r>
      </w:hyperlink>
      <w:r w:rsidRPr="00275AB4">
        <w:rPr>
          <w:rFonts w:ascii="Arial Unicode MS" w:eastAsia="Arial Unicode MS" w:hAnsi="Arial Unicode MS" w:cs="Arial Unicode MS"/>
          <w:sz w:val="20"/>
          <w:szCs w:val="20"/>
        </w:rPr>
        <w:t xml:space="preserve">[or </w:t>
      </w:r>
      <w:hyperlink r:id="rId34" w:history="1">
        <w:r w:rsidRPr="00275AB4">
          <w:rPr>
            <w:rFonts w:ascii="Arial Unicode MS" w:eastAsia="Arial Unicode MS" w:hAnsi="Arial Unicode MS" w:cs="Arial Unicode MS"/>
            <w:sz w:val="20"/>
            <w:szCs w:val="20"/>
          </w:rPr>
          <w:t>Form No. 16A</w:t>
        </w:r>
      </w:hyperlink>
      <w:r w:rsidRPr="00275AB4">
        <w:rPr>
          <w:rFonts w:ascii="Arial Unicode MS" w:eastAsia="Arial Unicode MS" w:hAnsi="Arial Unicode MS" w:cs="Arial Unicode MS"/>
          <w:sz w:val="20"/>
          <w:szCs w:val="20"/>
        </w:rPr>
        <w:t xml:space="preserve"> </w:t>
      </w:r>
      <w:hyperlink r:id="rId35" w:history="1">
        <w:r w:rsidRPr="00275AB4">
          <w:rPr>
            <w:rFonts w:ascii="Arial Unicode MS" w:eastAsia="Arial Unicode MS" w:hAnsi="Arial Unicode MS" w:cs="Arial Unicode MS"/>
            <w:sz w:val="20"/>
            <w:szCs w:val="20"/>
            <w:vertAlign w:val="superscript"/>
          </w:rPr>
          <w:t>66</w:t>
        </w:r>
      </w:hyperlink>
      <w:r w:rsidRPr="00275AB4">
        <w:rPr>
          <w:rFonts w:ascii="Arial Unicode MS" w:eastAsia="Arial Unicode MS" w:hAnsi="Arial Unicode MS" w:cs="Arial Unicode MS"/>
          <w:sz w:val="20"/>
          <w:szCs w:val="20"/>
        </w:rPr>
        <w:t>[* * *], as the case may be].</w:t>
      </w:r>
    </w:p>
    <w:p w:rsidR="001B1D9A" w:rsidRPr="00275AB4" w:rsidRDefault="001B1D9A" w:rsidP="001B1D9A">
      <w:pPr>
        <w:widowControl w:val="0"/>
        <w:tabs>
          <w:tab w:val="left" w:pos="240"/>
          <w:tab w:val="left" w:pos="360"/>
          <w:tab w:val="left" w:pos="480"/>
          <w:tab w:val="left" w:pos="600"/>
          <w:tab w:val="left" w:pos="720"/>
        </w:tabs>
        <w:adjustRightInd w:val="0"/>
        <w:spacing w:after="60" w:line="240" w:lineRule="auto"/>
        <w:jc w:val="both"/>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(5) The Assessing Officer before giving credit for the tax deducted at source on the basis of duplicate certificate referred to in sub-rule (4), shall get the payment certified from the </w:t>
      </w:r>
      <w:hyperlink r:id="rId36" w:history="1">
        <w:r w:rsidRPr="00275AB4">
          <w:rPr>
            <w:rFonts w:ascii="Arial Unicode MS" w:eastAsia="Arial Unicode MS" w:hAnsi="Arial Unicode MS" w:cs="Arial Unicode MS"/>
            <w:sz w:val="20"/>
            <w:szCs w:val="20"/>
            <w:vertAlign w:val="superscript"/>
          </w:rPr>
          <w:t>67</w:t>
        </w:r>
      </w:hyperlink>
      <w:r w:rsidRPr="00275AB4">
        <w:rPr>
          <w:rFonts w:ascii="Arial Unicode MS" w:eastAsia="Arial Unicode MS" w:hAnsi="Arial Unicode MS" w:cs="Arial Unicode MS"/>
          <w:sz w:val="20"/>
          <w:szCs w:val="20"/>
        </w:rPr>
        <w:t xml:space="preserve">[Assessing Officer] </w:t>
      </w:r>
      <w:r w:rsidRPr="00275AB4">
        <w:rPr>
          <w:rFonts w:ascii="Arial Unicode MS" w:eastAsia="Arial Unicode MS" w:hAnsi="Arial Unicode MS" w:cs="Arial Unicode MS"/>
          <w:sz w:val="20"/>
          <w:szCs w:val="20"/>
        </w:rPr>
        <w:lastRenderedPageBreak/>
        <w:t>designated in this behalf by the Chief Commissioner or the Commissioner and shall also obtain an Indemnity Bond from the assessee.]</w:t>
      </w:r>
    </w:p>
    <w:p w:rsidR="001B1D9A" w:rsidRPr="00275AB4" w:rsidRDefault="001B1D9A">
      <w:pPr>
        <w:rPr>
          <w:rFonts w:ascii="Arial Unicode MS" w:eastAsia="Arial Unicode MS" w:hAnsi="Arial Unicode MS" w:cs="Arial Unicode MS"/>
          <w:sz w:val="20"/>
          <w:szCs w:val="20"/>
        </w:rPr>
      </w:pPr>
    </w:p>
    <w:p w:rsidR="006009CF" w:rsidRPr="00275AB4" w:rsidRDefault="00DA72BB" w:rsidP="006009CF">
      <w:pPr>
        <w:rPr>
          <w:rFonts w:ascii="Arial Unicode MS" w:eastAsia="Arial Unicode MS" w:hAnsi="Arial Unicode MS" w:cs="Arial Unicode MS"/>
          <w:vanish/>
          <w:sz w:val="20"/>
          <w:szCs w:val="20"/>
        </w:rPr>
      </w:pPr>
      <w:hyperlink r:id="rId37" w:anchor="content" w:tooltip="Skip navigation." w:history="1">
        <w:r w:rsidR="006009CF" w:rsidRPr="00275AB4">
          <w:rPr>
            <w:rStyle w:val="Hyperlink"/>
            <w:rFonts w:ascii="Arial Unicode MS" w:eastAsia="Arial Unicode MS" w:hAnsi="Arial Unicode MS" w:cs="Arial Unicode MS"/>
            <w:vanish/>
            <w:color w:val="auto"/>
            <w:sz w:val="20"/>
            <w:szCs w:val="20"/>
          </w:rPr>
          <w:t>Skip navigation</w:t>
        </w:r>
      </w:hyperlink>
      <w:r w:rsidR="006009CF" w:rsidRPr="00275AB4">
        <w:rPr>
          <w:rFonts w:ascii="Arial Unicode MS" w:eastAsia="Arial Unicode MS" w:hAnsi="Arial Unicode MS" w:cs="Arial Unicode MS"/>
          <w:vanish/>
          <w:sz w:val="20"/>
          <w:szCs w:val="20"/>
        </w:rPr>
        <w:t>.</w:t>
      </w:r>
    </w:p>
    <w:p w:rsidR="006009CF" w:rsidRPr="00275AB4" w:rsidRDefault="006009CF" w:rsidP="006009CF">
      <w:pPr>
        <w:rPr>
          <w:rFonts w:ascii="Arial Unicode MS" w:eastAsia="Arial Unicode MS" w:hAnsi="Arial Unicode MS" w:cs="Arial Unicode MS"/>
          <w:vanish/>
          <w:sz w:val="20"/>
          <w:szCs w:val="20"/>
        </w:rPr>
      </w:pPr>
    </w:p>
    <w:p w:rsidR="006009CF" w:rsidRPr="00275AB4" w:rsidRDefault="006009CF" w:rsidP="006009CF">
      <w:pPr>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w:t>
      </w:r>
    </w:p>
    <w:p w:rsidR="00275AB4" w:rsidRPr="00275AB4" w:rsidRDefault="00275AB4" w:rsidP="00275AB4">
      <w:pPr>
        <w:spacing w:after="0"/>
        <w:jc w:val="center"/>
        <w:rPr>
          <w:rFonts w:ascii="Arial Unicode MS" w:eastAsia="Arial Unicode MS" w:hAnsi="Arial Unicode MS" w:cs="Arial Unicode MS"/>
          <w:sz w:val="20"/>
          <w:szCs w:val="20"/>
          <w:u w:val="single"/>
        </w:rPr>
      </w:pPr>
      <w:r w:rsidRPr="00275AB4">
        <w:rPr>
          <w:rStyle w:val="page-title1"/>
          <w:rFonts w:ascii="Arial Unicode MS" w:eastAsia="Arial Unicode MS" w:hAnsi="Arial Unicode MS" w:cs="Arial Unicode MS"/>
          <w:color w:val="auto"/>
          <w:sz w:val="20"/>
          <w:szCs w:val="20"/>
          <w:u w:val="single"/>
        </w:rPr>
        <w:t>SOME IMPORTANT, but not well known, ASPECTS RELATING TO TDS</w:t>
      </w:r>
    </w:p>
    <w:p w:rsidR="00275AB4" w:rsidRPr="00275AB4" w:rsidRDefault="00DA72BB" w:rsidP="00275AB4">
      <w:pPr>
        <w:pStyle w:val="NormalWeb"/>
        <w:rPr>
          <w:rFonts w:ascii="Arial Unicode MS" w:eastAsia="Arial Unicode MS" w:hAnsi="Arial Unicode MS" w:cs="Arial Unicode MS"/>
          <w:sz w:val="20"/>
          <w:szCs w:val="20"/>
        </w:rPr>
      </w:pPr>
      <w:hyperlink r:id="rId38" w:tgtFrame="_top" w:history="1">
        <w:r w:rsidR="00275AB4" w:rsidRPr="00275AB4">
          <w:rPr>
            <w:rStyle w:val="klink"/>
            <w:rFonts w:ascii="Arial Unicode MS" w:eastAsia="Arial Unicode MS" w:hAnsi="Arial Unicode MS" w:cs="Arial Unicode MS"/>
            <w:color w:val="auto"/>
            <w:sz w:val="20"/>
            <w:szCs w:val="20"/>
          </w:rPr>
          <w:t>TAX DEDUCTION</w:t>
        </w:r>
      </w:hyperlink>
      <w:r w:rsidR="00275AB4" w:rsidRPr="00275AB4">
        <w:rPr>
          <w:rFonts w:ascii="Arial Unicode MS" w:eastAsia="Arial Unicode MS" w:hAnsi="Arial Unicode MS" w:cs="Arial Unicode MS"/>
          <w:sz w:val="20"/>
          <w:szCs w:val="20"/>
        </w:rPr>
        <w:t xml:space="preserve"> AND COLLECTION ACCOUNTNUMBER: (S.203A):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Every person, deducting or collecting tax is required to apply for Tax Deduction and Collection Account Number within one month from the end of the month in which the tax was deducted or collected. Relevant Rule is 114A and relevant Form is Form No.49B. Here the problem arises, as tax in many cases is required to be deposited by 7 th of the succeeding month. </w:t>
      </w:r>
      <w:hyperlink r:id="rId39" w:tgtFrame="_top" w:history="1">
        <w:r w:rsidRPr="00275AB4">
          <w:rPr>
            <w:rStyle w:val="klink"/>
            <w:rFonts w:ascii="Arial Unicode MS" w:eastAsia="Arial Unicode MS" w:hAnsi="Arial Unicode MS" w:cs="Arial Unicode MS"/>
            <w:color w:val="auto"/>
            <w:sz w:val="20"/>
            <w:szCs w:val="20"/>
          </w:rPr>
          <w:t>Banks</w:t>
        </w:r>
      </w:hyperlink>
      <w:r w:rsidRPr="00275AB4">
        <w:rPr>
          <w:rFonts w:ascii="Arial Unicode MS" w:eastAsia="Arial Unicode MS" w:hAnsi="Arial Unicode MS" w:cs="Arial Unicode MS"/>
          <w:sz w:val="20"/>
          <w:szCs w:val="20"/>
        </w:rPr>
        <w:t xml:space="preserve"> do not accept the challans without quoting the TAN number and TDS deposit get late.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TAN or TDCN is required to be quoted on all Challans, certificates, statements and returns relating to TDS. (Section 203A(2))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Failure to apply for TDCAN (From 49B) or failure to quote Tan or Quoting of false Tan invites penalty U/S 272BB, which is Rs.10000/-. Of course, opportunity of being heard will be given before levy of any such penalty.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OTHER IMPORTANT POINTS: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If tax is not deducted , though it was required to be deducted, income tax shall be payable by the assessee direct. (Section 191)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Where tax is deductible and has been deducted , the payee cannot be called upon to pay the tax so deducted. The AO can force recovery from the payer and not be payee (Section 205)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NO DOUBLE DEMAND OF TAX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Where the assessee has paid tax himself under section 191, the liability under section 201(1) shall be eliminated. (Clarification by Board(F.NO.276/201/96-IT (B) DATED 29.1.1997) however, this will not alter the liability to charge interest u/s 201(1A) or penalty u/s 271C.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Date of Cheque be deemed as date of payment in case of payment of TDS by Cheque: it is well settled proposition of law that if payment by any cheque is accepted and the cheque on presentation is encashed, the payment relates back to the dated when the cheque had been received.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DEPOSIT OF TAX BY HEAD OFFICE EVEN THOUGH DEDUCTED AT SOURCE IN BRANCH: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(Circular No.719 dt.22.8.1995 and 744 dated 6.5.1996): Where all matters relating to TDS were handled (like deposit of tax, filing of returns, etc.) at Head Office or some other office, then though tax is deducted at branch office, it can be deposited at Regional/Head office. Circular no.719 and 744 are there. Though these circulars are only in respect of payment of salary. But these circulars have been followed by Orissa High Court in Larsen &amp; Toubro Ltd. VITO (2005) 278 ITR 369 in matters relating to TDS U/S 192 and U/S 194C.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lastRenderedPageBreak/>
        <w:t xml:space="preserve">• DUPLICATE CERTIFICATE: in case the original TDS certificate is lost, the payee can get a duplicate TDS certificate, which can be issued on a plain paper. The duplicate certificate should be filed along with an indemnity bond (U/R 31(5)).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CONSEQUENCES OF BELATED ISSUE OR NON ISSUE OF TDS CERTIFICATE: Failure to issue TDS certificate within the tome allowed U/R 31(3) attracts penalty of Rs. 100/- per day of default. (Sec 272A(2)(g).) However, penalty will not exceed the amount of tax deductible or collectible, as the case may be. Of course, penalty can be imposed by Joint Commissioner after giving an opportunity of being heard.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CREDIT OF TAX DEDUCTED (SECTION 199,203 &amp; 205):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Credit of tax deducted and paid is given to the payee U/s 199 on the basis of TDS certificate issued u/s 203.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Credit for TDS is given to person in whose hands the payment is clubbed . Thus where interest is paid to a minor, and the same is taxed in the hands of father, then the credit for such TDS will be given to the father (proviso (I) to Section 199).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Relevant year of Payment: Credit for TDS will be given in the assessment year in which the </w:t>
      </w:r>
      <w:hyperlink r:id="rId40" w:tgtFrame="_top" w:history="1">
        <w:r w:rsidRPr="00275AB4">
          <w:rPr>
            <w:rStyle w:val="klink"/>
            <w:rFonts w:ascii="Arial Unicode MS" w:eastAsia="Arial Unicode MS" w:hAnsi="Arial Unicode MS" w:cs="Arial Unicode MS"/>
            <w:color w:val="auto"/>
            <w:sz w:val="20"/>
            <w:szCs w:val="20"/>
          </w:rPr>
          <w:t>income</w:t>
        </w:r>
      </w:hyperlink>
      <w:r w:rsidRPr="00275AB4">
        <w:rPr>
          <w:rFonts w:ascii="Arial Unicode MS" w:eastAsia="Arial Unicode MS" w:hAnsi="Arial Unicode MS" w:cs="Arial Unicode MS"/>
          <w:sz w:val="20"/>
          <w:szCs w:val="20"/>
        </w:rPr>
        <w:t xml:space="preserve"> is assessable (S.199).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CASES WHERE THE PAYMENT SUBJECT TO TDS RELATES TO MULTIPLE YEARS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CBDT Cir. No.5/2201 dated 2.3.2001: “ Where advance rent is spread over more than one financial year and tax is deducted thereon, credit shall be allowed in the same proportion in which such income is offered for taxation for different asstt, years based o the single certificate furnished for tax so deducted on the entire advance rent.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Where subsequent to the deduction of tax at source on advance rent pertaining to one or more financial year, the agreement gets terminated/cancelled resulting into refund of the balance amount of advance rent to the tenant, credit for the entire balance amount of TDS, which has not been given credit so far, shall be allowed in the asstt, year relevant to financial year during which the balance amount of advance rent is refunded back.”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It may be noted that word used is assessable and not assessed . Meaning thereby that in case some income is wrongly included in the computation chart in a wrong assessment year and the same is assessed accordingly, credit for TDS may be denied in that year, as the income is assessable in some other year. (Stallion </w:t>
      </w:r>
      <w:hyperlink r:id="rId41" w:tgtFrame="_top" w:history="1">
        <w:r w:rsidRPr="00275AB4">
          <w:rPr>
            <w:rStyle w:val="klink"/>
            <w:rFonts w:ascii="Arial Unicode MS" w:eastAsia="Arial Unicode MS" w:hAnsi="Arial Unicode MS" w:cs="Arial Unicode MS"/>
            <w:color w:val="auto"/>
            <w:sz w:val="20"/>
            <w:szCs w:val="20"/>
          </w:rPr>
          <w:t>Securities</w:t>
        </w:r>
      </w:hyperlink>
      <w:r w:rsidRPr="00275AB4">
        <w:rPr>
          <w:rFonts w:ascii="Arial Unicode MS" w:eastAsia="Arial Unicode MS" w:hAnsi="Arial Unicode MS" w:cs="Arial Unicode MS"/>
          <w:sz w:val="20"/>
          <w:szCs w:val="20"/>
        </w:rPr>
        <w:t xml:space="preserve"> Ltd. V.ITO (2004) 91 ITD 338 (Hyd).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Credit only if income is included in total income: Credit for TDS is allowed only when income from which tax was deducted at source is included in total income. Thus where income from which tax was deducted at source was not included in total income, credit for TDS is not admissible.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 Where one TDS certificate is issued for payments due to multiple owners: In case of joint owners or co-owners, credit shall be given to each such joint owner in the same proportion in which rent, interest, etc is assessable as his/her income. There is one problem in this that is only one TDS certificate is issued in favor of first co-owner. And in order to take credit, only one of the co-owners can attach the original TDS certificate with his return of income, others are required to file a copy of the same. In my views, provision </w:t>
      </w:r>
      <w:r w:rsidRPr="00275AB4">
        <w:rPr>
          <w:rFonts w:ascii="Arial Unicode MS" w:eastAsia="Arial Unicode MS" w:hAnsi="Arial Unicode MS" w:cs="Arial Unicode MS"/>
          <w:sz w:val="20"/>
          <w:szCs w:val="20"/>
        </w:rPr>
        <w:lastRenderedPageBreak/>
        <w:t xml:space="preserve">should be made in the Rules so that person-deducing tax may be able to issue more than one certificate u/s 203.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9. REFUND OF TAX WRONGLY DEPOSITED: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Refund of excess TDS paid by the payer can be claimed by applying to ITO (TDS) as per Circular No.285 dated 21.10.1980.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It is possible in a case where tax has been wrongly deposited U?S 195, then an appeal can be preferred to CIT (A) U/s 248 for declaration that the person is not liable to make such deduction and refund can be granted by CIT (A). (Tata Engineering &amp; Locomotive Ltd. Case (2005) 921ITD 111 (Mum)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10. CONSEQUENCES OF DEFAULT IN TDS: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Disallowance of Expenditure (U/S 40a (I) and (ia)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Assessee in default (U/S 201(1)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Charging of Interest U/S 201(1A) @ 12% p.a.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 xml:space="preserve">Penalty U/S 271C (Equal to the amount of tax not deducted or not paid) </w:t>
      </w:r>
    </w:p>
    <w:p w:rsidR="00275AB4" w:rsidRPr="00275AB4" w:rsidRDefault="00275AB4" w:rsidP="00275AB4">
      <w:pPr>
        <w:pStyle w:val="NormalWeb"/>
        <w:rPr>
          <w:rFonts w:ascii="Arial Unicode MS" w:eastAsia="Arial Unicode MS" w:hAnsi="Arial Unicode MS" w:cs="Arial Unicode MS"/>
          <w:sz w:val="20"/>
          <w:szCs w:val="20"/>
        </w:rPr>
      </w:pPr>
      <w:r w:rsidRPr="00275AB4">
        <w:rPr>
          <w:rFonts w:ascii="Arial Unicode MS" w:eastAsia="Arial Unicode MS" w:hAnsi="Arial Unicode MS" w:cs="Arial Unicode MS"/>
          <w:sz w:val="20"/>
          <w:szCs w:val="20"/>
        </w:rPr>
        <w:t>Prosecution U/S 276B(Imprisonment not &lt; 3 months, may extend to 7 years and fine)</w:t>
      </w:r>
    </w:p>
    <w:p w:rsidR="006009CF" w:rsidRPr="00275AB4" w:rsidRDefault="006009CF">
      <w:pPr>
        <w:rPr>
          <w:rFonts w:ascii="Arial Unicode MS" w:eastAsia="Arial Unicode MS" w:hAnsi="Arial Unicode MS" w:cs="Arial Unicode MS"/>
          <w:sz w:val="20"/>
          <w:szCs w:val="20"/>
        </w:rPr>
      </w:pPr>
    </w:p>
    <w:p w:rsidR="00F631C7" w:rsidRPr="00275AB4" w:rsidRDefault="00F631C7">
      <w:pPr>
        <w:rPr>
          <w:rFonts w:ascii="Arial Unicode MS" w:eastAsia="Arial Unicode MS" w:hAnsi="Arial Unicode MS" w:cs="Arial Unicode MS"/>
          <w:sz w:val="20"/>
          <w:szCs w:val="20"/>
        </w:rPr>
      </w:pPr>
    </w:p>
    <w:sectPr w:rsidR="00F631C7" w:rsidRPr="00275AB4" w:rsidSect="002C34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C7586"/>
    <w:multiLevelType w:val="multilevel"/>
    <w:tmpl w:val="B6FC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042BD"/>
    <w:multiLevelType w:val="multilevel"/>
    <w:tmpl w:val="05A4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E429A"/>
    <w:multiLevelType w:val="multilevel"/>
    <w:tmpl w:val="B8B6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8610CD"/>
    <w:multiLevelType w:val="multilevel"/>
    <w:tmpl w:val="9BC0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975C81"/>
    <w:multiLevelType w:val="multilevel"/>
    <w:tmpl w:val="2942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987589"/>
    <w:multiLevelType w:val="multilevel"/>
    <w:tmpl w:val="C18E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7C6EB5"/>
    <w:multiLevelType w:val="multilevel"/>
    <w:tmpl w:val="EF0C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E4921"/>
    <w:multiLevelType w:val="multilevel"/>
    <w:tmpl w:val="5C0A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506A00"/>
    <w:multiLevelType w:val="multilevel"/>
    <w:tmpl w:val="B640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4"/>
  </w:num>
  <w:num w:numId="4">
    <w:abstractNumId w:val="2"/>
  </w:num>
  <w:num w:numId="5">
    <w:abstractNumId w:val="5"/>
  </w:num>
  <w:num w:numId="6">
    <w:abstractNumId w:val="8"/>
  </w:num>
  <w:num w:numId="7">
    <w:abstractNumId w:val="7"/>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1B1D9A"/>
    <w:rsid w:val="001B1D9A"/>
    <w:rsid w:val="00275AB4"/>
    <w:rsid w:val="002C3465"/>
    <w:rsid w:val="00334701"/>
    <w:rsid w:val="006009CF"/>
    <w:rsid w:val="00B30B62"/>
    <w:rsid w:val="00DA72BB"/>
    <w:rsid w:val="00F631C7"/>
    <w:rsid w:val="00FA6ADE"/>
    <w:rsid w:val="00FB7C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465"/>
  </w:style>
  <w:style w:type="paragraph" w:styleId="Heading3">
    <w:name w:val="heading 3"/>
    <w:basedOn w:val="Normal"/>
    <w:link w:val="Heading3Char"/>
    <w:uiPriority w:val="9"/>
    <w:qFormat/>
    <w:rsid w:val="006009CF"/>
    <w:pPr>
      <w:spacing w:after="0" w:line="240" w:lineRule="auto"/>
      <w:outlineLvl w:val="2"/>
    </w:pPr>
    <w:rPr>
      <w:rFonts w:ascii="Trebuchet MS" w:eastAsia="Times New Roman" w:hAnsi="Trebuchet MS"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1D9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B1D9A"/>
    <w:rPr>
      <w:strike w:val="0"/>
      <w:dstrike w:val="0"/>
      <w:color w:val="004080"/>
      <w:u w:val="none"/>
      <w:effect w:val="none"/>
    </w:rPr>
  </w:style>
  <w:style w:type="character" w:styleId="Strong">
    <w:name w:val="Strong"/>
    <w:basedOn w:val="DefaultParagraphFont"/>
    <w:uiPriority w:val="22"/>
    <w:qFormat/>
    <w:rsid w:val="001B1D9A"/>
    <w:rPr>
      <w:b/>
      <w:bCs/>
    </w:rPr>
  </w:style>
  <w:style w:type="paragraph" w:customStyle="1" w:styleId="subhead1">
    <w:name w:val="subhead1"/>
    <w:basedOn w:val="Normal"/>
    <w:rsid w:val="001B1D9A"/>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009CF"/>
    <w:rPr>
      <w:rFonts w:ascii="Trebuchet MS" w:eastAsia="Times New Roman" w:hAnsi="Trebuchet MS" w:cs="Times New Roman"/>
      <w:b/>
      <w:bCs/>
      <w:sz w:val="27"/>
      <w:szCs w:val="27"/>
    </w:rPr>
  </w:style>
  <w:style w:type="paragraph" w:customStyle="1" w:styleId="style1">
    <w:name w:val="style1"/>
    <w:basedOn w:val="Normal"/>
    <w:rsid w:val="006009CF"/>
    <w:pPr>
      <w:spacing w:after="312" w:line="240" w:lineRule="auto"/>
    </w:pPr>
    <w:rPr>
      <w:rFonts w:ascii="Verdana" w:eastAsia="Times New Roman" w:hAnsi="Verdana" w:cs="Times New Roman"/>
      <w:color w:val="FFFFFF"/>
      <w:sz w:val="13"/>
      <w:szCs w:val="13"/>
    </w:rPr>
  </w:style>
  <w:style w:type="paragraph" w:styleId="z-TopofForm">
    <w:name w:val="HTML Top of Form"/>
    <w:basedOn w:val="Normal"/>
    <w:next w:val="Normal"/>
    <w:link w:val="z-TopofFormChar"/>
    <w:hidden/>
    <w:uiPriority w:val="99"/>
    <w:semiHidden/>
    <w:unhideWhenUsed/>
    <w:rsid w:val="006009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009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6009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009CF"/>
    <w:rPr>
      <w:rFonts w:ascii="Arial" w:eastAsia="Times New Roman" w:hAnsi="Arial" w:cs="Arial"/>
      <w:vanish/>
      <w:sz w:val="16"/>
      <w:szCs w:val="16"/>
    </w:rPr>
  </w:style>
  <w:style w:type="character" w:customStyle="1" w:styleId="page-title1">
    <w:name w:val="page-title1"/>
    <w:basedOn w:val="DefaultParagraphFont"/>
    <w:rsid w:val="006009CF"/>
    <w:rPr>
      <w:rFonts w:ascii="Trebuchet MS" w:hAnsi="Trebuchet MS" w:hint="default"/>
      <w:b/>
      <w:bCs/>
      <w:color w:val="3D653A"/>
    </w:rPr>
  </w:style>
  <w:style w:type="character" w:customStyle="1" w:styleId="klink">
    <w:name w:val="klink"/>
    <w:basedOn w:val="DefaultParagraphFont"/>
    <w:rsid w:val="006009CF"/>
    <w:rPr>
      <w:vanish w:val="0"/>
      <w:webHidden w:val="0"/>
      <w:color w:val="FFA500"/>
      <w:bdr w:val="none" w:sz="0" w:space="0" w:color="auto" w:frame="1"/>
      <w:shd w:val="clear" w:color="auto" w:fill="auto"/>
      <w:specVanish w:val="0"/>
    </w:rPr>
  </w:style>
  <w:style w:type="character" w:customStyle="1" w:styleId="preloadwrap">
    <w:name w:val="preloadwrap"/>
    <w:basedOn w:val="DefaultParagraphFont"/>
    <w:rsid w:val="006009CF"/>
  </w:style>
  <w:style w:type="character" w:customStyle="1" w:styleId="form-required1">
    <w:name w:val="form-required1"/>
    <w:basedOn w:val="DefaultParagraphFont"/>
    <w:rsid w:val="006009CF"/>
    <w:rPr>
      <w:color w:val="FF0000"/>
    </w:rPr>
  </w:style>
  <w:style w:type="character" w:customStyle="1" w:styleId="konalayertitletext2">
    <w:name w:val="konalayertitletext2"/>
    <w:basedOn w:val="DefaultParagraphFont"/>
    <w:rsid w:val="006009CF"/>
    <w:rPr>
      <w:rFonts w:ascii="Tahoma" w:hAnsi="Tahoma" w:cs="Tahoma" w:hint="default"/>
      <w:b/>
      <w:bCs/>
      <w:vanish w:val="0"/>
      <w:webHidden w:val="0"/>
      <w:color w:val="FFA200"/>
      <w:sz w:val="15"/>
      <w:szCs w:val="15"/>
      <w:u w:val="single"/>
      <w:specVanish w:val="0"/>
    </w:rPr>
  </w:style>
  <w:style w:type="paragraph" w:styleId="BalloonText">
    <w:name w:val="Balloon Text"/>
    <w:basedOn w:val="Normal"/>
    <w:link w:val="BalloonTextChar"/>
    <w:uiPriority w:val="99"/>
    <w:semiHidden/>
    <w:unhideWhenUsed/>
    <w:rsid w:val="00600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9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1988945">
      <w:bodyDiv w:val="1"/>
      <w:marLeft w:val="0"/>
      <w:marRight w:val="0"/>
      <w:marTop w:val="0"/>
      <w:marBottom w:val="0"/>
      <w:divBdr>
        <w:top w:val="none" w:sz="0" w:space="0" w:color="auto"/>
        <w:left w:val="none" w:sz="0" w:space="0" w:color="auto"/>
        <w:bottom w:val="none" w:sz="0" w:space="0" w:color="auto"/>
        <w:right w:val="none" w:sz="0" w:space="0" w:color="auto"/>
      </w:divBdr>
      <w:divsChild>
        <w:div w:id="2070306050">
          <w:marLeft w:val="0"/>
          <w:marRight w:val="0"/>
          <w:marTop w:val="0"/>
          <w:marBottom w:val="0"/>
          <w:divBdr>
            <w:top w:val="none" w:sz="0" w:space="0" w:color="auto"/>
            <w:left w:val="none" w:sz="0" w:space="0" w:color="auto"/>
            <w:bottom w:val="none" w:sz="0" w:space="0" w:color="auto"/>
            <w:right w:val="none" w:sz="0" w:space="0" w:color="auto"/>
          </w:divBdr>
        </w:div>
        <w:div w:id="746196817">
          <w:marLeft w:val="0"/>
          <w:marRight w:val="0"/>
          <w:marTop w:val="0"/>
          <w:marBottom w:val="0"/>
          <w:divBdr>
            <w:top w:val="none" w:sz="0" w:space="0" w:color="auto"/>
            <w:left w:val="none" w:sz="0" w:space="0" w:color="auto"/>
            <w:bottom w:val="none" w:sz="0" w:space="0" w:color="auto"/>
            <w:right w:val="none" w:sz="0" w:space="0" w:color="auto"/>
          </w:divBdr>
          <w:divsChild>
            <w:div w:id="18183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13847">
      <w:bodyDiv w:val="1"/>
      <w:marLeft w:val="0"/>
      <w:marRight w:val="0"/>
      <w:marTop w:val="0"/>
      <w:marBottom w:val="0"/>
      <w:divBdr>
        <w:top w:val="none" w:sz="0" w:space="0" w:color="auto"/>
        <w:left w:val="none" w:sz="0" w:space="0" w:color="auto"/>
        <w:bottom w:val="none" w:sz="0" w:space="0" w:color="auto"/>
        <w:right w:val="none" w:sz="0" w:space="0" w:color="auto"/>
      </w:divBdr>
      <w:divsChild>
        <w:div w:id="489181333">
          <w:marLeft w:val="0"/>
          <w:marRight w:val="0"/>
          <w:marTop w:val="0"/>
          <w:marBottom w:val="0"/>
          <w:divBdr>
            <w:top w:val="none" w:sz="0" w:space="0" w:color="auto"/>
            <w:left w:val="none" w:sz="0" w:space="0" w:color="auto"/>
            <w:bottom w:val="none" w:sz="0" w:space="0" w:color="auto"/>
            <w:right w:val="none" w:sz="0" w:space="0" w:color="auto"/>
          </w:divBdr>
        </w:div>
        <w:div w:id="1092974861">
          <w:marLeft w:val="0"/>
          <w:marRight w:val="0"/>
          <w:marTop w:val="0"/>
          <w:marBottom w:val="360"/>
          <w:divBdr>
            <w:top w:val="none" w:sz="0" w:space="0" w:color="auto"/>
            <w:left w:val="none" w:sz="0" w:space="0" w:color="auto"/>
            <w:bottom w:val="none" w:sz="0" w:space="0" w:color="auto"/>
            <w:right w:val="none" w:sz="0" w:space="0" w:color="auto"/>
          </w:divBdr>
          <w:divsChild>
            <w:div w:id="474958414">
              <w:marLeft w:val="0"/>
              <w:marRight w:val="0"/>
              <w:marTop w:val="0"/>
              <w:marBottom w:val="0"/>
              <w:divBdr>
                <w:top w:val="none" w:sz="0" w:space="0" w:color="auto"/>
                <w:left w:val="none" w:sz="0" w:space="0" w:color="auto"/>
                <w:bottom w:val="none" w:sz="0" w:space="0" w:color="auto"/>
                <w:right w:val="none" w:sz="0" w:space="0" w:color="auto"/>
              </w:divBdr>
            </w:div>
          </w:divsChild>
        </w:div>
        <w:div w:id="504590603">
          <w:marLeft w:val="0"/>
          <w:marRight w:val="0"/>
          <w:marTop w:val="0"/>
          <w:marBottom w:val="360"/>
          <w:divBdr>
            <w:top w:val="none" w:sz="0" w:space="0" w:color="auto"/>
            <w:left w:val="none" w:sz="0" w:space="0" w:color="auto"/>
            <w:bottom w:val="none" w:sz="0" w:space="0" w:color="auto"/>
            <w:right w:val="none" w:sz="0" w:space="0" w:color="auto"/>
          </w:divBdr>
          <w:divsChild>
            <w:div w:id="444810154">
              <w:marLeft w:val="0"/>
              <w:marRight w:val="0"/>
              <w:marTop w:val="0"/>
              <w:marBottom w:val="0"/>
              <w:divBdr>
                <w:top w:val="none" w:sz="0" w:space="0" w:color="auto"/>
                <w:left w:val="none" w:sz="0" w:space="0" w:color="auto"/>
                <w:bottom w:val="none" w:sz="0" w:space="0" w:color="auto"/>
                <w:right w:val="none" w:sz="0" w:space="0" w:color="auto"/>
              </w:divBdr>
            </w:div>
          </w:divsChild>
        </w:div>
        <w:div w:id="1271858394">
          <w:marLeft w:val="0"/>
          <w:marRight w:val="0"/>
          <w:marTop w:val="0"/>
          <w:marBottom w:val="120"/>
          <w:divBdr>
            <w:top w:val="none" w:sz="0" w:space="0" w:color="auto"/>
            <w:left w:val="none" w:sz="0" w:space="0" w:color="auto"/>
            <w:bottom w:val="none" w:sz="0" w:space="0" w:color="auto"/>
            <w:right w:val="none" w:sz="0" w:space="0" w:color="auto"/>
          </w:divBdr>
        </w:div>
        <w:div w:id="762726797">
          <w:marLeft w:val="0"/>
          <w:marRight w:val="0"/>
          <w:marTop w:val="0"/>
          <w:marBottom w:val="0"/>
          <w:divBdr>
            <w:top w:val="none" w:sz="0" w:space="0" w:color="auto"/>
            <w:left w:val="none" w:sz="0" w:space="0" w:color="auto"/>
            <w:bottom w:val="none" w:sz="0" w:space="0" w:color="auto"/>
            <w:right w:val="none" w:sz="0" w:space="0" w:color="auto"/>
          </w:divBdr>
        </w:div>
        <w:div w:id="700520690">
          <w:marLeft w:val="0"/>
          <w:marRight w:val="0"/>
          <w:marTop w:val="0"/>
          <w:marBottom w:val="0"/>
          <w:divBdr>
            <w:top w:val="none" w:sz="0" w:space="0" w:color="auto"/>
            <w:left w:val="none" w:sz="0" w:space="0" w:color="auto"/>
            <w:bottom w:val="none" w:sz="0" w:space="0" w:color="auto"/>
            <w:right w:val="none" w:sz="0" w:space="0" w:color="auto"/>
          </w:divBdr>
          <w:divsChild>
            <w:div w:id="1165049254">
              <w:marLeft w:val="0"/>
              <w:marRight w:val="0"/>
              <w:marTop w:val="0"/>
              <w:marBottom w:val="0"/>
              <w:divBdr>
                <w:top w:val="none" w:sz="0" w:space="0" w:color="auto"/>
                <w:left w:val="none" w:sz="0" w:space="0" w:color="auto"/>
                <w:bottom w:val="none" w:sz="0" w:space="0" w:color="auto"/>
                <w:right w:val="none" w:sz="0" w:space="0" w:color="auto"/>
              </w:divBdr>
            </w:div>
          </w:divsChild>
        </w:div>
        <w:div w:id="515926417">
          <w:marLeft w:val="0"/>
          <w:marRight w:val="0"/>
          <w:marTop w:val="0"/>
          <w:marBottom w:val="0"/>
          <w:divBdr>
            <w:top w:val="none" w:sz="0" w:space="0" w:color="auto"/>
            <w:left w:val="none" w:sz="0" w:space="0" w:color="auto"/>
            <w:bottom w:val="none" w:sz="0" w:space="0" w:color="auto"/>
            <w:right w:val="none" w:sz="0" w:space="0" w:color="auto"/>
          </w:divBdr>
        </w:div>
        <w:div w:id="2012904385">
          <w:marLeft w:val="0"/>
          <w:marRight w:val="0"/>
          <w:marTop w:val="0"/>
          <w:marBottom w:val="0"/>
          <w:divBdr>
            <w:top w:val="none" w:sz="0" w:space="0" w:color="auto"/>
            <w:left w:val="none" w:sz="0" w:space="0" w:color="auto"/>
            <w:bottom w:val="none" w:sz="0" w:space="0" w:color="auto"/>
            <w:right w:val="none" w:sz="0" w:space="0" w:color="auto"/>
          </w:divBdr>
          <w:divsChild>
            <w:div w:id="1776049060">
              <w:marLeft w:val="0"/>
              <w:marRight w:val="0"/>
              <w:marTop w:val="0"/>
              <w:marBottom w:val="240"/>
              <w:divBdr>
                <w:top w:val="single" w:sz="6" w:space="6" w:color="AABBCC"/>
                <w:left w:val="single" w:sz="6" w:space="6" w:color="AABBCC"/>
                <w:bottom w:val="single" w:sz="6" w:space="6" w:color="AABBCC"/>
                <w:right w:val="single" w:sz="6" w:space="6" w:color="AABBCC"/>
              </w:divBdr>
              <w:divsChild>
                <w:div w:id="95099655">
                  <w:marLeft w:val="0"/>
                  <w:marRight w:val="0"/>
                  <w:marTop w:val="0"/>
                  <w:marBottom w:val="0"/>
                  <w:divBdr>
                    <w:top w:val="none" w:sz="0" w:space="0" w:color="auto"/>
                    <w:left w:val="none" w:sz="0" w:space="0" w:color="auto"/>
                    <w:bottom w:val="none" w:sz="0" w:space="0" w:color="auto"/>
                    <w:right w:val="none" w:sz="0" w:space="0" w:color="auto"/>
                  </w:divBdr>
                </w:div>
                <w:div w:id="2106461543">
                  <w:marLeft w:val="0"/>
                  <w:marRight w:val="0"/>
                  <w:marTop w:val="120"/>
                  <w:marBottom w:val="120"/>
                  <w:divBdr>
                    <w:top w:val="none" w:sz="0" w:space="0" w:color="auto"/>
                    <w:left w:val="none" w:sz="0" w:space="0" w:color="auto"/>
                    <w:bottom w:val="none" w:sz="0" w:space="0" w:color="auto"/>
                    <w:right w:val="none" w:sz="0" w:space="0" w:color="auto"/>
                  </w:divBdr>
                </w:div>
              </w:divsChild>
            </w:div>
            <w:div w:id="1653829022">
              <w:marLeft w:val="0"/>
              <w:marRight w:val="0"/>
              <w:marTop w:val="0"/>
              <w:marBottom w:val="0"/>
              <w:divBdr>
                <w:top w:val="none" w:sz="0" w:space="0" w:color="auto"/>
                <w:left w:val="none" w:sz="0" w:space="0" w:color="auto"/>
                <w:bottom w:val="none" w:sz="0" w:space="0" w:color="auto"/>
                <w:right w:val="none" w:sz="0" w:space="0" w:color="auto"/>
              </w:divBdr>
              <w:divsChild>
                <w:div w:id="1560289435">
                  <w:marLeft w:val="0"/>
                  <w:marRight w:val="0"/>
                  <w:marTop w:val="0"/>
                  <w:marBottom w:val="0"/>
                  <w:divBdr>
                    <w:top w:val="none" w:sz="0" w:space="0" w:color="auto"/>
                    <w:left w:val="none" w:sz="0" w:space="0" w:color="auto"/>
                    <w:bottom w:val="none" w:sz="0" w:space="0" w:color="auto"/>
                    <w:right w:val="none" w:sz="0" w:space="0" w:color="auto"/>
                  </w:divBdr>
                  <w:divsChild>
                    <w:div w:id="57869264">
                      <w:marLeft w:val="0"/>
                      <w:marRight w:val="0"/>
                      <w:marTop w:val="0"/>
                      <w:marBottom w:val="0"/>
                      <w:divBdr>
                        <w:top w:val="none" w:sz="0" w:space="0" w:color="auto"/>
                        <w:left w:val="none" w:sz="0" w:space="0" w:color="auto"/>
                        <w:bottom w:val="none" w:sz="0" w:space="0" w:color="auto"/>
                        <w:right w:val="none" w:sz="0" w:space="0" w:color="auto"/>
                      </w:divBdr>
                      <w:divsChild>
                        <w:div w:id="1428699282">
                          <w:marLeft w:val="0"/>
                          <w:marRight w:val="0"/>
                          <w:marTop w:val="240"/>
                          <w:marBottom w:val="240"/>
                          <w:divBdr>
                            <w:top w:val="none" w:sz="0" w:space="0" w:color="auto"/>
                            <w:left w:val="none" w:sz="0" w:space="0" w:color="auto"/>
                            <w:bottom w:val="none" w:sz="0" w:space="0" w:color="auto"/>
                            <w:right w:val="none" w:sz="0" w:space="0" w:color="auto"/>
                          </w:divBdr>
                        </w:div>
                        <w:div w:id="632564686">
                          <w:marLeft w:val="0"/>
                          <w:marRight w:val="0"/>
                          <w:marTop w:val="240"/>
                          <w:marBottom w:val="240"/>
                          <w:divBdr>
                            <w:top w:val="none" w:sz="0" w:space="0" w:color="auto"/>
                            <w:left w:val="none" w:sz="0" w:space="0" w:color="auto"/>
                            <w:bottom w:val="none" w:sz="0" w:space="0" w:color="auto"/>
                            <w:right w:val="none" w:sz="0" w:space="0" w:color="auto"/>
                          </w:divBdr>
                          <w:divsChild>
                            <w:div w:id="1670862885">
                              <w:marLeft w:val="0"/>
                              <w:marRight w:val="0"/>
                              <w:marTop w:val="0"/>
                              <w:marBottom w:val="0"/>
                              <w:divBdr>
                                <w:top w:val="none" w:sz="0" w:space="0" w:color="auto"/>
                                <w:left w:val="none" w:sz="0" w:space="0" w:color="auto"/>
                                <w:bottom w:val="none" w:sz="0" w:space="0" w:color="auto"/>
                                <w:right w:val="none" w:sz="0" w:space="0" w:color="auto"/>
                              </w:divBdr>
                            </w:div>
                          </w:divsChild>
                        </w:div>
                        <w:div w:id="63265688">
                          <w:marLeft w:val="0"/>
                          <w:marRight w:val="0"/>
                          <w:marTop w:val="240"/>
                          <w:marBottom w:val="240"/>
                          <w:divBdr>
                            <w:top w:val="none" w:sz="0" w:space="0" w:color="auto"/>
                            <w:left w:val="none" w:sz="0" w:space="0" w:color="auto"/>
                            <w:bottom w:val="none" w:sz="0" w:space="0" w:color="auto"/>
                            <w:right w:val="none" w:sz="0" w:space="0" w:color="auto"/>
                          </w:divBdr>
                        </w:div>
                        <w:div w:id="39980158">
                          <w:marLeft w:val="0"/>
                          <w:marRight w:val="0"/>
                          <w:marTop w:val="240"/>
                          <w:marBottom w:val="240"/>
                          <w:divBdr>
                            <w:top w:val="none" w:sz="0" w:space="0" w:color="auto"/>
                            <w:left w:val="none" w:sz="0" w:space="0" w:color="auto"/>
                            <w:bottom w:val="none" w:sz="0" w:space="0" w:color="auto"/>
                            <w:right w:val="none" w:sz="0" w:space="0" w:color="auto"/>
                          </w:divBdr>
                          <w:divsChild>
                            <w:div w:id="20449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663432">
          <w:marLeft w:val="0"/>
          <w:marRight w:val="0"/>
          <w:marTop w:val="0"/>
          <w:marBottom w:val="360"/>
          <w:divBdr>
            <w:top w:val="none" w:sz="0" w:space="0" w:color="auto"/>
            <w:left w:val="none" w:sz="0" w:space="0" w:color="auto"/>
            <w:bottom w:val="none" w:sz="0" w:space="0" w:color="auto"/>
            <w:right w:val="none" w:sz="0" w:space="0" w:color="auto"/>
          </w:divBdr>
          <w:divsChild>
            <w:div w:id="1110858176">
              <w:marLeft w:val="0"/>
              <w:marRight w:val="0"/>
              <w:marTop w:val="0"/>
              <w:marBottom w:val="0"/>
              <w:divBdr>
                <w:top w:val="none" w:sz="0" w:space="0" w:color="auto"/>
                <w:left w:val="none" w:sz="0" w:space="0" w:color="auto"/>
                <w:bottom w:val="none" w:sz="0" w:space="0" w:color="auto"/>
                <w:right w:val="none" w:sz="0" w:space="0" w:color="auto"/>
              </w:divBdr>
            </w:div>
            <w:div w:id="1298534522">
              <w:marLeft w:val="0"/>
              <w:marRight w:val="0"/>
              <w:marTop w:val="0"/>
              <w:marBottom w:val="0"/>
              <w:divBdr>
                <w:top w:val="none" w:sz="0" w:space="0" w:color="auto"/>
                <w:left w:val="none" w:sz="0" w:space="0" w:color="auto"/>
                <w:bottom w:val="none" w:sz="0" w:space="0" w:color="auto"/>
                <w:right w:val="none" w:sz="0" w:space="0" w:color="auto"/>
              </w:divBdr>
            </w:div>
          </w:divsChild>
        </w:div>
        <w:div w:id="1324553077">
          <w:marLeft w:val="0"/>
          <w:marRight w:val="0"/>
          <w:marTop w:val="0"/>
          <w:marBottom w:val="360"/>
          <w:divBdr>
            <w:top w:val="none" w:sz="0" w:space="0" w:color="auto"/>
            <w:left w:val="none" w:sz="0" w:space="0" w:color="auto"/>
            <w:bottom w:val="none" w:sz="0" w:space="0" w:color="auto"/>
            <w:right w:val="none" w:sz="0" w:space="0" w:color="auto"/>
          </w:divBdr>
          <w:divsChild>
            <w:div w:id="1212039409">
              <w:marLeft w:val="0"/>
              <w:marRight w:val="0"/>
              <w:marTop w:val="0"/>
              <w:marBottom w:val="0"/>
              <w:divBdr>
                <w:top w:val="none" w:sz="0" w:space="0" w:color="auto"/>
                <w:left w:val="none" w:sz="0" w:space="0" w:color="auto"/>
                <w:bottom w:val="none" w:sz="0" w:space="0" w:color="auto"/>
                <w:right w:val="none" w:sz="0" w:space="0" w:color="auto"/>
              </w:divBdr>
            </w:div>
            <w:div w:id="68356682">
              <w:marLeft w:val="0"/>
              <w:marRight w:val="0"/>
              <w:marTop w:val="0"/>
              <w:marBottom w:val="0"/>
              <w:divBdr>
                <w:top w:val="none" w:sz="0" w:space="0" w:color="auto"/>
                <w:left w:val="none" w:sz="0" w:space="0" w:color="auto"/>
                <w:bottom w:val="none" w:sz="0" w:space="0" w:color="auto"/>
                <w:right w:val="none" w:sz="0" w:space="0" w:color="auto"/>
              </w:divBdr>
              <w:divsChild>
                <w:div w:id="13293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672907">
          <w:marLeft w:val="0"/>
          <w:marRight w:val="0"/>
          <w:marTop w:val="0"/>
          <w:marBottom w:val="360"/>
          <w:divBdr>
            <w:top w:val="none" w:sz="0" w:space="0" w:color="auto"/>
            <w:left w:val="none" w:sz="0" w:space="0" w:color="auto"/>
            <w:bottom w:val="none" w:sz="0" w:space="0" w:color="auto"/>
            <w:right w:val="none" w:sz="0" w:space="0" w:color="auto"/>
          </w:divBdr>
          <w:divsChild>
            <w:div w:id="2136362500">
              <w:marLeft w:val="0"/>
              <w:marRight w:val="0"/>
              <w:marTop w:val="0"/>
              <w:marBottom w:val="0"/>
              <w:divBdr>
                <w:top w:val="none" w:sz="0" w:space="0" w:color="auto"/>
                <w:left w:val="none" w:sz="0" w:space="0" w:color="auto"/>
                <w:bottom w:val="none" w:sz="0" w:space="0" w:color="auto"/>
                <w:right w:val="none" w:sz="0" w:space="0" w:color="auto"/>
              </w:divBdr>
            </w:div>
            <w:div w:id="702898419">
              <w:marLeft w:val="0"/>
              <w:marRight w:val="0"/>
              <w:marTop w:val="0"/>
              <w:marBottom w:val="0"/>
              <w:divBdr>
                <w:top w:val="none" w:sz="0" w:space="0" w:color="auto"/>
                <w:left w:val="none" w:sz="0" w:space="0" w:color="auto"/>
                <w:bottom w:val="none" w:sz="0" w:space="0" w:color="auto"/>
                <w:right w:val="none" w:sz="0" w:space="0" w:color="auto"/>
              </w:divBdr>
              <w:divsChild>
                <w:div w:id="28489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60003">
          <w:marLeft w:val="0"/>
          <w:marRight w:val="0"/>
          <w:marTop w:val="0"/>
          <w:marBottom w:val="360"/>
          <w:divBdr>
            <w:top w:val="none" w:sz="0" w:space="0" w:color="auto"/>
            <w:left w:val="none" w:sz="0" w:space="0" w:color="auto"/>
            <w:bottom w:val="none" w:sz="0" w:space="0" w:color="auto"/>
            <w:right w:val="none" w:sz="0" w:space="0" w:color="auto"/>
          </w:divBdr>
          <w:divsChild>
            <w:div w:id="1659384683">
              <w:marLeft w:val="0"/>
              <w:marRight w:val="0"/>
              <w:marTop w:val="0"/>
              <w:marBottom w:val="0"/>
              <w:divBdr>
                <w:top w:val="none" w:sz="0" w:space="0" w:color="auto"/>
                <w:left w:val="none" w:sz="0" w:space="0" w:color="auto"/>
                <w:bottom w:val="none" w:sz="0" w:space="0" w:color="auto"/>
                <w:right w:val="none" w:sz="0" w:space="0" w:color="auto"/>
              </w:divBdr>
            </w:div>
            <w:div w:id="430508892">
              <w:marLeft w:val="0"/>
              <w:marRight w:val="0"/>
              <w:marTop w:val="0"/>
              <w:marBottom w:val="0"/>
              <w:divBdr>
                <w:top w:val="none" w:sz="0" w:space="0" w:color="auto"/>
                <w:left w:val="none" w:sz="0" w:space="0" w:color="auto"/>
                <w:bottom w:val="none" w:sz="0" w:space="0" w:color="auto"/>
                <w:right w:val="none" w:sz="0" w:space="0" w:color="auto"/>
              </w:divBdr>
              <w:divsChild>
                <w:div w:id="1022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39564">
          <w:marLeft w:val="0"/>
          <w:marRight w:val="0"/>
          <w:marTop w:val="0"/>
          <w:marBottom w:val="360"/>
          <w:divBdr>
            <w:top w:val="none" w:sz="0" w:space="0" w:color="auto"/>
            <w:left w:val="none" w:sz="0" w:space="0" w:color="auto"/>
            <w:bottom w:val="none" w:sz="0" w:space="0" w:color="auto"/>
            <w:right w:val="none" w:sz="0" w:space="0" w:color="auto"/>
          </w:divBdr>
          <w:divsChild>
            <w:div w:id="1342001764">
              <w:marLeft w:val="0"/>
              <w:marRight w:val="0"/>
              <w:marTop w:val="0"/>
              <w:marBottom w:val="0"/>
              <w:divBdr>
                <w:top w:val="none" w:sz="0" w:space="0" w:color="auto"/>
                <w:left w:val="none" w:sz="0" w:space="0" w:color="auto"/>
                <w:bottom w:val="none" w:sz="0" w:space="0" w:color="auto"/>
                <w:right w:val="none" w:sz="0" w:space="0" w:color="auto"/>
              </w:divBdr>
            </w:div>
            <w:div w:id="160585583">
              <w:marLeft w:val="0"/>
              <w:marRight w:val="0"/>
              <w:marTop w:val="0"/>
              <w:marBottom w:val="0"/>
              <w:divBdr>
                <w:top w:val="none" w:sz="0" w:space="0" w:color="auto"/>
                <w:left w:val="none" w:sz="0" w:space="0" w:color="auto"/>
                <w:bottom w:val="none" w:sz="0" w:space="0" w:color="auto"/>
                <w:right w:val="none" w:sz="0" w:space="0" w:color="auto"/>
              </w:divBdr>
              <w:divsChild>
                <w:div w:id="1820413447">
                  <w:marLeft w:val="0"/>
                  <w:marRight w:val="0"/>
                  <w:marTop w:val="0"/>
                  <w:marBottom w:val="0"/>
                  <w:divBdr>
                    <w:top w:val="none" w:sz="0" w:space="0" w:color="auto"/>
                    <w:left w:val="none" w:sz="0" w:space="0" w:color="auto"/>
                    <w:bottom w:val="none" w:sz="0" w:space="0" w:color="auto"/>
                    <w:right w:val="none" w:sz="0" w:space="0" w:color="auto"/>
                  </w:divBdr>
                  <w:divsChild>
                    <w:div w:id="1673532195">
                      <w:marLeft w:val="0"/>
                      <w:marRight w:val="0"/>
                      <w:marTop w:val="240"/>
                      <w:marBottom w:val="240"/>
                      <w:divBdr>
                        <w:top w:val="none" w:sz="0" w:space="0" w:color="auto"/>
                        <w:left w:val="none" w:sz="0" w:space="0" w:color="auto"/>
                        <w:bottom w:val="none" w:sz="0" w:space="0" w:color="auto"/>
                        <w:right w:val="none" w:sz="0" w:space="0" w:color="auto"/>
                      </w:divBdr>
                    </w:div>
                    <w:div w:id="773936278">
                      <w:marLeft w:val="0"/>
                      <w:marRight w:val="0"/>
                      <w:marTop w:val="240"/>
                      <w:marBottom w:val="240"/>
                      <w:divBdr>
                        <w:top w:val="none" w:sz="0" w:space="0" w:color="auto"/>
                        <w:left w:val="none" w:sz="0" w:space="0" w:color="auto"/>
                        <w:bottom w:val="none" w:sz="0" w:space="0" w:color="auto"/>
                        <w:right w:val="none" w:sz="0" w:space="0" w:color="auto"/>
                      </w:divBdr>
                    </w:div>
                    <w:div w:id="7068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21007">
          <w:marLeft w:val="0"/>
          <w:marRight w:val="0"/>
          <w:marTop w:val="0"/>
          <w:marBottom w:val="360"/>
          <w:divBdr>
            <w:top w:val="none" w:sz="0" w:space="0" w:color="auto"/>
            <w:left w:val="none" w:sz="0" w:space="0" w:color="auto"/>
            <w:bottom w:val="none" w:sz="0" w:space="0" w:color="auto"/>
            <w:right w:val="none" w:sz="0" w:space="0" w:color="auto"/>
          </w:divBdr>
          <w:divsChild>
            <w:div w:id="2007978443">
              <w:marLeft w:val="0"/>
              <w:marRight w:val="0"/>
              <w:marTop w:val="0"/>
              <w:marBottom w:val="0"/>
              <w:divBdr>
                <w:top w:val="none" w:sz="0" w:space="0" w:color="auto"/>
                <w:left w:val="none" w:sz="0" w:space="0" w:color="auto"/>
                <w:bottom w:val="none" w:sz="0" w:space="0" w:color="auto"/>
                <w:right w:val="none" w:sz="0" w:space="0" w:color="auto"/>
              </w:divBdr>
            </w:div>
          </w:divsChild>
        </w:div>
        <w:div w:id="884147176">
          <w:marLeft w:val="0"/>
          <w:marRight w:val="0"/>
          <w:marTop w:val="0"/>
          <w:marBottom w:val="0"/>
          <w:divBdr>
            <w:top w:val="none" w:sz="0" w:space="0" w:color="auto"/>
            <w:left w:val="none" w:sz="0" w:space="0" w:color="auto"/>
            <w:bottom w:val="none" w:sz="0" w:space="0" w:color="auto"/>
            <w:right w:val="none" w:sz="0" w:space="0" w:color="auto"/>
          </w:divBdr>
          <w:divsChild>
            <w:div w:id="28997051">
              <w:marLeft w:val="0"/>
              <w:marRight w:val="0"/>
              <w:marTop w:val="0"/>
              <w:marBottom w:val="0"/>
              <w:divBdr>
                <w:top w:val="none" w:sz="0" w:space="0" w:color="auto"/>
                <w:left w:val="none" w:sz="0" w:space="0" w:color="auto"/>
                <w:bottom w:val="none" w:sz="0" w:space="0" w:color="auto"/>
                <w:right w:val="none" w:sz="0" w:space="0" w:color="auto"/>
              </w:divBdr>
              <w:divsChild>
                <w:div w:id="299767316">
                  <w:marLeft w:val="0"/>
                  <w:marRight w:val="0"/>
                  <w:marTop w:val="0"/>
                  <w:marBottom w:val="0"/>
                  <w:divBdr>
                    <w:top w:val="none" w:sz="0" w:space="0" w:color="auto"/>
                    <w:left w:val="none" w:sz="0" w:space="0" w:color="auto"/>
                    <w:bottom w:val="none" w:sz="0" w:space="0" w:color="auto"/>
                    <w:right w:val="none" w:sz="0" w:space="0" w:color="auto"/>
                  </w:divBdr>
                  <w:divsChild>
                    <w:div w:id="225645976">
                      <w:marLeft w:val="0"/>
                      <w:marRight w:val="0"/>
                      <w:marTop w:val="0"/>
                      <w:marBottom w:val="0"/>
                      <w:divBdr>
                        <w:top w:val="none" w:sz="0" w:space="0" w:color="auto"/>
                        <w:left w:val="none" w:sz="0" w:space="0" w:color="auto"/>
                        <w:bottom w:val="none" w:sz="0" w:space="0" w:color="auto"/>
                        <w:right w:val="none" w:sz="0" w:space="0" w:color="auto"/>
                      </w:divBdr>
                    </w:div>
                    <w:div w:id="1815027411">
                      <w:marLeft w:val="0"/>
                      <w:marRight w:val="0"/>
                      <w:marTop w:val="0"/>
                      <w:marBottom w:val="0"/>
                      <w:divBdr>
                        <w:top w:val="none" w:sz="0" w:space="0" w:color="auto"/>
                        <w:left w:val="none" w:sz="0" w:space="0" w:color="auto"/>
                        <w:bottom w:val="none" w:sz="0" w:space="0" w:color="auto"/>
                        <w:right w:val="none" w:sz="0" w:space="0" w:color="auto"/>
                      </w:divBdr>
                    </w:div>
                  </w:divsChild>
                </w:div>
                <w:div w:id="323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incometaxindia.gov.in/DitTaxmann/IncomeTaxRules/Rules2005/ftn45_p1154.htm" TargetMode="External"/><Relationship Id="rId13" Type="http://schemas.openxmlformats.org/officeDocument/2006/relationships/hyperlink" Target="http://law.incometaxindia.gov.in/DitTaxmann/IncomeTaxRules/Rules2005/ftn48_p1154.htm" TargetMode="External"/><Relationship Id="rId18" Type="http://schemas.openxmlformats.org/officeDocument/2006/relationships/hyperlink" Target="http://law.incometaxindia.gov.in/DitTaxmann/IncomeTaxRules/Rules2005/ftn52_p1155.htm" TargetMode="External"/><Relationship Id="rId26" Type="http://schemas.openxmlformats.org/officeDocument/2006/relationships/hyperlink" Target="http://law.incometaxindia.gov.in/DitTaxmann/IncomeTaxRules/Rules2005/ftn60_p1155.htm" TargetMode="External"/><Relationship Id="rId39" Type="http://schemas.openxmlformats.org/officeDocument/2006/relationships/hyperlink" Target="http://www.savethatrupee.com/node/83" TargetMode="External"/><Relationship Id="rId3" Type="http://schemas.openxmlformats.org/officeDocument/2006/relationships/styles" Target="styles.xml"/><Relationship Id="rId21" Type="http://schemas.openxmlformats.org/officeDocument/2006/relationships/hyperlink" Target="http://law.incometaxindia.gov.in/DitTaxmann/IncomeTaxRules/Rules2005/ftn55_p1155.htm" TargetMode="External"/><Relationship Id="rId34" Type="http://schemas.openxmlformats.org/officeDocument/2006/relationships/hyperlink" Target="http://law.incometaxindia.gov.in/DitTaxmann/IncomeTaxRules/Rules2005/XXXITR62Form16A" TargetMode="External"/><Relationship Id="rId42" Type="http://schemas.openxmlformats.org/officeDocument/2006/relationships/fontTable" Target="fontTable.xml"/><Relationship Id="rId7" Type="http://schemas.openxmlformats.org/officeDocument/2006/relationships/hyperlink" Target="http://law.incometaxindia.gov.in/DitTaxmann/IncomeTaxRules/Rules2005/ftn44_p1154.htm" TargetMode="External"/><Relationship Id="rId12" Type="http://schemas.openxmlformats.org/officeDocument/2006/relationships/hyperlink" Target="http://law.incometaxindia.gov.in/DitTaxmann/IncomeTaxRules/Rules2005/XXXITR62Form16AA" TargetMode="External"/><Relationship Id="rId17" Type="http://schemas.openxmlformats.org/officeDocument/2006/relationships/hyperlink" Target="http://law.incometaxindia.gov.in/DitTaxmann/IncomeTaxRules/Rules2005/XXXITR62Form16A" TargetMode="External"/><Relationship Id="rId25" Type="http://schemas.openxmlformats.org/officeDocument/2006/relationships/hyperlink" Target="http://law.incometaxindia.gov.in/DitTaxmann/IncomeTaxRules/Rules2005/ftn59_p1155.htm" TargetMode="External"/><Relationship Id="rId33" Type="http://schemas.openxmlformats.org/officeDocument/2006/relationships/hyperlink" Target="http://law.incometaxindia.gov.in/DitTaxmann/IncomeTaxRules/Rules2005/ftn65_p1156.htm" TargetMode="External"/><Relationship Id="rId38" Type="http://schemas.openxmlformats.org/officeDocument/2006/relationships/hyperlink" Target="http://www.savethatrupee.com/node/83" TargetMode="External"/><Relationship Id="rId2" Type="http://schemas.openxmlformats.org/officeDocument/2006/relationships/numbering" Target="numbering.xml"/><Relationship Id="rId16" Type="http://schemas.openxmlformats.org/officeDocument/2006/relationships/hyperlink" Target="http://law.incometaxindia.gov.in/DitTaxmann/IncomeTaxRules/Rules2005/ftn51_p1154.htm" TargetMode="External"/><Relationship Id="rId20" Type="http://schemas.openxmlformats.org/officeDocument/2006/relationships/hyperlink" Target="http://law.incometaxindia.gov.in/DitTaxmann/IncomeTaxRules/Rules2005/ftn54_p1155.htm" TargetMode="External"/><Relationship Id="rId29" Type="http://schemas.openxmlformats.org/officeDocument/2006/relationships/hyperlink" Target="http://law.incometaxindia.gov.in/DitTaxmann/IncomeTaxRules/Rules2005/ftn63_p1156.htm" TargetMode="External"/><Relationship Id="rId41" Type="http://schemas.openxmlformats.org/officeDocument/2006/relationships/hyperlink" Target="http://www.savethatrupee.com/node/83" TargetMode="External"/><Relationship Id="rId1" Type="http://schemas.openxmlformats.org/officeDocument/2006/relationships/customXml" Target="../customXml/item1.xml"/><Relationship Id="rId6" Type="http://schemas.openxmlformats.org/officeDocument/2006/relationships/hyperlink" Target="http://law.incometaxindia.gov.in/DitTaxmann/IncomeTaxRules/Rules2005/ftn43_p1154.htm" TargetMode="External"/><Relationship Id="rId11" Type="http://schemas.openxmlformats.org/officeDocument/2006/relationships/hyperlink" Target="http://law.incometaxindia.gov.in/DitTaxmann/IncomeTaxRules/Rules2005/ftn47_p1154.htm" TargetMode="External"/><Relationship Id="rId24" Type="http://schemas.openxmlformats.org/officeDocument/2006/relationships/hyperlink" Target="http://law.incometaxindia.gov.in/DitTaxmann/IncomeTaxRules/Rules2005/ftn58_p1155.htm" TargetMode="External"/><Relationship Id="rId32" Type="http://schemas.openxmlformats.org/officeDocument/2006/relationships/hyperlink" Target="http://law.incometaxindia.gov.in/DitTaxmann/IncomeTaxRules/Rules2005/XXXITR62Form16" TargetMode="External"/><Relationship Id="rId37" Type="http://schemas.openxmlformats.org/officeDocument/2006/relationships/hyperlink" Target="http://www.savethatrupee.com/node/83" TargetMode="External"/><Relationship Id="rId40" Type="http://schemas.openxmlformats.org/officeDocument/2006/relationships/hyperlink" Target="http://www.savethatrupee.com/node/83" TargetMode="External"/><Relationship Id="rId5" Type="http://schemas.openxmlformats.org/officeDocument/2006/relationships/webSettings" Target="webSettings.xml"/><Relationship Id="rId15" Type="http://schemas.openxmlformats.org/officeDocument/2006/relationships/hyperlink" Target="http://law.incometaxindia.gov.in/DitTaxmann/IncomeTaxRules/Rules2005/ftn50_p1154.htm" TargetMode="External"/><Relationship Id="rId23" Type="http://schemas.openxmlformats.org/officeDocument/2006/relationships/hyperlink" Target="http://law.incometaxindia.gov.in/DitTaxmann/IncomeTaxRules/Rules2005/ftn57_p1155.htm" TargetMode="External"/><Relationship Id="rId28" Type="http://schemas.openxmlformats.org/officeDocument/2006/relationships/hyperlink" Target="http://law.incometaxindia.gov.in/DitTaxmann/IncomeTaxRules/Rules2005/ftn62_p1156.htm" TargetMode="External"/><Relationship Id="rId36" Type="http://schemas.openxmlformats.org/officeDocument/2006/relationships/hyperlink" Target="http://law.incometaxindia.gov.in/DitTaxmann/IncomeTaxRules/Rules2005/ftn67_p1156.htm" TargetMode="External"/><Relationship Id="rId10" Type="http://schemas.openxmlformats.org/officeDocument/2006/relationships/hyperlink" Target="http://law.incometaxindia.gov.in/DitTaxmann/IncomeTaxRules/Rules2005/ftn46_p1154.htm" TargetMode="External"/><Relationship Id="rId19" Type="http://schemas.openxmlformats.org/officeDocument/2006/relationships/hyperlink" Target="http://law.incometaxindia.gov.in/DitTaxmann/IncomeTaxRules/Rules2005/ftn53_p1155.htm" TargetMode="External"/><Relationship Id="rId31" Type="http://schemas.openxmlformats.org/officeDocument/2006/relationships/hyperlink" Target="http://law.incometaxindia.gov.in/DitTaxmann/IncomeTaxRules/Rules2005/XXXITR62Form16A" TargetMode="External"/><Relationship Id="rId4" Type="http://schemas.openxmlformats.org/officeDocument/2006/relationships/settings" Target="settings.xml"/><Relationship Id="rId9" Type="http://schemas.openxmlformats.org/officeDocument/2006/relationships/hyperlink" Target="http://law.incometaxindia.gov.in/DitTaxmann/IncomeTaxRules/Rules2005/XXXITR62Form16" TargetMode="External"/><Relationship Id="rId14" Type="http://schemas.openxmlformats.org/officeDocument/2006/relationships/hyperlink" Target="http://law.incometaxindia.gov.in/DitTaxmann/IncomeTaxRules/Rules2005/ftn49_p1154.htm" TargetMode="External"/><Relationship Id="rId22" Type="http://schemas.openxmlformats.org/officeDocument/2006/relationships/hyperlink" Target="http://law.incometaxindia.gov.in/DitTaxmann/IncomeTaxRules/Rules2005/ftn56_p1155.htm" TargetMode="External"/><Relationship Id="rId27" Type="http://schemas.openxmlformats.org/officeDocument/2006/relationships/hyperlink" Target="http://law.incometaxindia.gov.in/DitTaxmann/IncomeTaxRules/Rules2005/ftn61_p1156.htm" TargetMode="External"/><Relationship Id="rId30" Type="http://schemas.openxmlformats.org/officeDocument/2006/relationships/hyperlink" Target="http://law.incometaxindia.gov.in/DitTaxmann/IncomeTaxRules/Rules2005/ftn64_p1156.htm" TargetMode="External"/><Relationship Id="rId35" Type="http://schemas.openxmlformats.org/officeDocument/2006/relationships/hyperlink" Target="http://law.incometaxindia.gov.in/DitTaxmann/IncomeTaxRules/Rules2005/ftn66_p1156.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FA64DD7-D071-41B1-8FE9-8E8FB5C7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2354</Words>
  <Characters>13423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2010-03-15T08:18:00Z</dcterms:created>
  <dcterms:modified xsi:type="dcterms:W3CDTF">2010-03-15T10:33:00Z</dcterms:modified>
</cp:coreProperties>
</file>