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  <w:r w:rsidRPr="00A60A00"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>Case Law</w:t>
      </w:r>
      <w:r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>-1:</w:t>
      </w:r>
      <w:r w:rsidRPr="00A60A00"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 xml:space="preserve"> </w:t>
      </w:r>
      <w:r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 xml:space="preserve"> </w:t>
      </w:r>
    </w:p>
    <w:p w:rsid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A60A00" w:rsidRP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Cs/>
          <w:color w:val="D5734F"/>
          <w:sz w:val="24"/>
          <w:szCs w:val="18"/>
        </w:rPr>
      </w:pPr>
      <w:r w:rsidRPr="00A60A00">
        <w:rPr>
          <w:rFonts w:ascii="Book Antiqua" w:hAnsi="Book Antiqua" w:cs="Candara-Bold"/>
          <w:bCs/>
          <w:color w:val="D5734F"/>
          <w:sz w:val="24"/>
          <w:szCs w:val="18"/>
        </w:rPr>
        <w:t>Assistant Commissioner of Income</w:t>
      </w:r>
      <w:r>
        <w:rPr>
          <w:rFonts w:ascii="Book Antiqua" w:hAnsi="Book Antiqua" w:cs="Candara-Bold"/>
          <w:bCs/>
          <w:color w:val="D5734F"/>
          <w:sz w:val="24"/>
          <w:szCs w:val="18"/>
        </w:rPr>
        <w:t xml:space="preserve"> </w:t>
      </w:r>
      <w:r w:rsidRPr="00A60A00">
        <w:rPr>
          <w:rFonts w:ascii="Book Antiqua" w:hAnsi="Book Antiqua" w:cs="Candara-Bold"/>
          <w:bCs/>
          <w:color w:val="D5734F"/>
          <w:sz w:val="24"/>
          <w:szCs w:val="18"/>
        </w:rPr>
        <w:t xml:space="preserve">Tax </w:t>
      </w:r>
      <w:r>
        <w:rPr>
          <w:rFonts w:ascii="Book Antiqua" w:hAnsi="Book Antiqua" w:cs="Candara-BoldItalic"/>
          <w:bCs/>
          <w:iCs/>
          <w:color w:val="D5734F"/>
          <w:sz w:val="24"/>
          <w:szCs w:val="18"/>
        </w:rPr>
        <w:t>VS</w:t>
      </w:r>
      <w:r w:rsidRPr="00A60A00">
        <w:rPr>
          <w:rFonts w:ascii="Book Antiqua" w:hAnsi="Book Antiqua" w:cs="Candara-BoldItalic"/>
          <w:bCs/>
          <w:iCs/>
          <w:color w:val="D5734F"/>
          <w:sz w:val="24"/>
          <w:szCs w:val="18"/>
        </w:rPr>
        <w:t xml:space="preserve">. </w:t>
      </w:r>
      <w:r w:rsidRPr="00A60A00">
        <w:rPr>
          <w:rFonts w:ascii="Book Antiqua" w:hAnsi="Book Antiqua" w:cs="Candara-Bold"/>
          <w:bCs/>
          <w:color w:val="D5734F"/>
          <w:sz w:val="24"/>
          <w:szCs w:val="18"/>
        </w:rPr>
        <w:t>Neo Sack Private Limited,</w:t>
      </w:r>
      <w:r>
        <w:rPr>
          <w:rFonts w:ascii="Book Antiqua" w:hAnsi="Book Antiqua" w:cs="Candara-Bold"/>
          <w:bCs/>
          <w:color w:val="D5734F"/>
          <w:sz w:val="24"/>
          <w:szCs w:val="18"/>
        </w:rPr>
        <w:t xml:space="preserve"> </w:t>
      </w:r>
      <w:r w:rsidRPr="00A60A00">
        <w:rPr>
          <w:rFonts w:ascii="Book Antiqua" w:hAnsi="Book Antiqua" w:cs="Candara-Bold"/>
          <w:bCs/>
          <w:color w:val="D5734F"/>
          <w:sz w:val="24"/>
          <w:szCs w:val="18"/>
        </w:rPr>
        <w:t>October9, 2009(SC).</w:t>
      </w:r>
    </w:p>
    <w:p w:rsid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Cs/>
          <w:color w:val="D5734F"/>
          <w:sz w:val="24"/>
          <w:szCs w:val="18"/>
        </w:rPr>
      </w:pPr>
    </w:p>
    <w:p w:rsid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00B0F0"/>
          <w:sz w:val="24"/>
          <w:szCs w:val="18"/>
          <w:u w:val="single"/>
        </w:rPr>
      </w:pPr>
      <w:r w:rsidRPr="00A60A00">
        <w:rPr>
          <w:rFonts w:ascii="Book Antiqua" w:hAnsi="Book Antiqua" w:cs="Candara-Bold"/>
          <w:b/>
          <w:bCs/>
          <w:color w:val="00B0F0"/>
          <w:sz w:val="24"/>
          <w:szCs w:val="18"/>
          <w:u w:val="single"/>
        </w:rPr>
        <w:t>Key Notes:</w:t>
      </w:r>
    </w:p>
    <w:p w:rsidR="00A60A00" w:rsidRP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00B0F0"/>
          <w:sz w:val="24"/>
          <w:szCs w:val="18"/>
          <w:u w:val="single"/>
        </w:rPr>
      </w:pPr>
    </w:p>
    <w:p w:rsid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Cs/>
          <w:color w:val="00B0F0"/>
          <w:sz w:val="24"/>
          <w:szCs w:val="18"/>
        </w:rPr>
      </w:pPr>
      <w:r w:rsidRPr="00A60A00">
        <w:rPr>
          <w:rFonts w:ascii="Book Antiqua" w:hAnsi="Book Antiqua" w:cs="Candara-Bold"/>
          <w:bCs/>
          <w:color w:val="00B0F0"/>
          <w:sz w:val="24"/>
          <w:szCs w:val="18"/>
        </w:rPr>
        <w:t>If cellular telephone service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A60A00">
        <w:rPr>
          <w:rFonts w:ascii="Book Antiqua" w:hAnsi="Book Antiqua" w:cs="Candara-Bold"/>
          <w:bCs/>
          <w:color w:val="00B0F0"/>
          <w:sz w:val="24"/>
          <w:szCs w:val="18"/>
        </w:rPr>
        <w:t>provider allows some margin to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A60A00">
        <w:rPr>
          <w:rFonts w:ascii="Book Antiqua" w:hAnsi="Book Antiqua" w:cs="Candara-Bold"/>
          <w:bCs/>
          <w:color w:val="00B0F0"/>
          <w:sz w:val="24"/>
          <w:szCs w:val="18"/>
        </w:rPr>
        <w:t>distributors in form of discount/commission on market price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A60A00">
        <w:rPr>
          <w:rFonts w:ascii="Book Antiqua" w:hAnsi="Book Antiqua" w:cs="Candara-Bold"/>
          <w:bCs/>
          <w:color w:val="00B0F0"/>
          <w:sz w:val="24"/>
          <w:szCs w:val="18"/>
        </w:rPr>
        <w:t>of prepaid cellular connection and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A60A00">
        <w:rPr>
          <w:rFonts w:ascii="Book Antiqua" w:hAnsi="Book Antiqua" w:cs="Candara-Bold"/>
          <w:bCs/>
          <w:color w:val="00B0F0"/>
          <w:sz w:val="24"/>
          <w:szCs w:val="18"/>
        </w:rPr>
        <w:t>recharge coupons, such margin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A60A00">
        <w:rPr>
          <w:rFonts w:ascii="Book Antiqua" w:hAnsi="Book Antiqua" w:cs="Candara-Bold"/>
          <w:bCs/>
          <w:color w:val="00B0F0"/>
          <w:sz w:val="24"/>
          <w:szCs w:val="18"/>
        </w:rPr>
        <w:t>cannot be termed as 'commission'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A60A00">
        <w:rPr>
          <w:rFonts w:ascii="Book Antiqua" w:hAnsi="Book Antiqua" w:cs="Candara-Bold"/>
          <w:bCs/>
          <w:color w:val="00B0F0"/>
          <w:sz w:val="24"/>
          <w:szCs w:val="18"/>
        </w:rPr>
        <w:t>attracting deduction of tax at source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A60A00">
        <w:rPr>
          <w:rFonts w:ascii="Book Antiqua" w:hAnsi="Book Antiqua" w:cs="Candara-Bold"/>
          <w:bCs/>
          <w:color w:val="00B0F0"/>
          <w:sz w:val="24"/>
          <w:szCs w:val="18"/>
        </w:rPr>
        <w:t>under section 194H.</w:t>
      </w:r>
    </w:p>
    <w:p w:rsidR="00A60A00" w:rsidRP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Cs/>
          <w:color w:val="00B0F0"/>
          <w:sz w:val="24"/>
          <w:szCs w:val="18"/>
        </w:rPr>
      </w:pPr>
    </w:p>
    <w:p w:rsidR="00A60A00" w:rsidRP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r w:rsidRPr="00A60A00">
        <w:rPr>
          <w:rFonts w:ascii="Book Antiqua" w:hAnsi="Book Antiqua" w:cs="Candara"/>
          <w:color w:val="1F1A17"/>
          <w:sz w:val="24"/>
          <w:szCs w:val="18"/>
        </w:rPr>
        <w:t>The definition of expression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'commission or brokerage' as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contained in clause (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i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>) of Explanation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to section 194-H, is not so wide that it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would include any payment receivable,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directly or indirectly for services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in the course of buying or selling of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goods. To fall within the said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-Italic"/>
          <w:iCs/>
          <w:color w:val="1F1A17"/>
          <w:sz w:val="24"/>
          <w:szCs w:val="18"/>
        </w:rPr>
        <w:t xml:space="preserve">Explanation,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the payment received or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receivable, directly or indirectly, by a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person acting on behalf of another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person (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i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>) for services rendered (not</w:t>
      </w:r>
    </w:p>
    <w:p w:rsid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r w:rsidRPr="00A60A00">
        <w:rPr>
          <w:rFonts w:ascii="Book Antiqua" w:hAnsi="Book Antiqua" w:cs="Candara"/>
          <w:color w:val="1F1A17"/>
          <w:sz w:val="24"/>
          <w:szCs w:val="18"/>
        </w:rPr>
        <w:t>being professional), (ii) for any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services in the course of buying or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selling goods, (iii) in relation to any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transaction relating to any asset,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valuable article or thing, the element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of agency is to be there in case of all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services or transactions contemplated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by </w:t>
      </w:r>
      <w:r w:rsidRPr="00A60A00">
        <w:rPr>
          <w:rFonts w:ascii="Book Antiqua" w:hAnsi="Book Antiqua" w:cs="Candara-Italic"/>
          <w:iCs/>
          <w:color w:val="1F1A17"/>
          <w:sz w:val="24"/>
          <w:szCs w:val="18"/>
        </w:rPr>
        <w:t>Explanation (</w:t>
      </w:r>
      <w:proofErr w:type="spellStart"/>
      <w:r w:rsidRPr="00A60A00">
        <w:rPr>
          <w:rFonts w:ascii="Book Antiqua" w:hAnsi="Book Antiqua" w:cs="Candara-Italic"/>
          <w:iCs/>
          <w:color w:val="1F1A17"/>
          <w:sz w:val="24"/>
          <w:szCs w:val="18"/>
        </w:rPr>
        <w:t>i</w:t>
      </w:r>
      <w:proofErr w:type="spellEnd"/>
      <w:r w:rsidRPr="00A60A00">
        <w:rPr>
          <w:rFonts w:ascii="Book Antiqua" w:hAnsi="Book Antiqua" w:cs="Candara-Italic"/>
          <w:iCs/>
          <w:color w:val="1F1A17"/>
          <w:sz w:val="24"/>
          <w:szCs w:val="18"/>
        </w:rPr>
        <w:t xml:space="preserve">)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to section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194H.</w:t>
      </w:r>
    </w:p>
    <w:p w:rsidR="004F1C42" w:rsidRPr="00A60A00" w:rsidRDefault="004F1C42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</w:p>
    <w:p w:rsidR="00A60A00" w:rsidRP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r w:rsidRPr="00A60A00">
        <w:rPr>
          <w:rFonts w:ascii="Book Antiqua" w:hAnsi="Book Antiqua" w:cs="Candara"/>
          <w:color w:val="1F1A17"/>
          <w:sz w:val="24"/>
          <w:szCs w:val="18"/>
        </w:rPr>
        <w:t>For application of the provisions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of section 194H there should be in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existence the relationship of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principal and agent in order to bring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the discount in the ambit of commission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of brokerage. Under the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definition of expression 'commission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or brokerage' as contained in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clause (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i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>) of Explanation to section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194-H, it is not so </w:t>
      </w:r>
      <w:r w:rsidRPr="00A60A00">
        <w:rPr>
          <w:rFonts w:ascii="Book Antiqua" w:hAnsi="Book Antiqua" w:cs="Candara-Italic"/>
          <w:iCs/>
          <w:color w:val="1F1A17"/>
          <w:sz w:val="24"/>
          <w:szCs w:val="18"/>
        </w:rPr>
        <w:t xml:space="preserve">wide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that it would</w:t>
      </w:r>
    </w:p>
    <w:p w:rsidR="00A60A00" w:rsidRP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proofErr w:type="gramStart"/>
      <w:r w:rsidRPr="00A60A00">
        <w:rPr>
          <w:rFonts w:ascii="Book Antiqua" w:hAnsi="Book Antiqua" w:cs="Candara"/>
          <w:color w:val="1F1A17"/>
          <w:sz w:val="24"/>
          <w:szCs w:val="18"/>
        </w:rPr>
        <w:t>include</w:t>
      </w:r>
      <w:proofErr w:type="gramEnd"/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 any payment receivable,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directly or indirectly for services in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the course of buying or selling of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goods.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Where a cellular telephone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service provider, at the time of</w:t>
      </w:r>
    </w:p>
    <w:p w:rsidR="00A60A00" w:rsidRP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r w:rsidRPr="00A60A00">
        <w:rPr>
          <w:rFonts w:ascii="Book Antiqua" w:hAnsi="Book Antiqua" w:cs="Candara"/>
          <w:color w:val="1F1A17"/>
          <w:sz w:val="24"/>
          <w:szCs w:val="18"/>
        </w:rPr>
        <w:t>selling its prepaid cellular connections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and recharge coupons to the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distributors, allows some margin to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its distributors in the form of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discount/commission on the market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price, discount allowed on transactions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resulting in outright purchases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cannot be treated as brokerage or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commission; more so when the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transactions between cellular</w:t>
      </w:r>
    </w:p>
    <w:p w:rsidR="00A60A00" w:rsidRP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proofErr w:type="gramStart"/>
      <w:r w:rsidRPr="00A60A00">
        <w:rPr>
          <w:rFonts w:ascii="Book Antiqua" w:hAnsi="Book Antiqua" w:cs="Candara"/>
          <w:color w:val="1F1A17"/>
          <w:sz w:val="24"/>
          <w:szCs w:val="18"/>
        </w:rPr>
        <w:t>telephone</w:t>
      </w:r>
      <w:proofErr w:type="gramEnd"/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 provider and the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distributors were on principal to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principal basis and not on principal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and agent basis. Hence, it could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not be said that the service provider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was defaulter in deducting tax at</w:t>
      </w:r>
      <w:r w:rsidR="004F1C4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source.</w:t>
      </w:r>
    </w:p>
    <w:p w:rsidR="004F1C42" w:rsidRDefault="004F1C42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Swiss721BT-Roman"/>
          <w:color w:val="5E2124"/>
          <w:sz w:val="24"/>
          <w:szCs w:val="18"/>
        </w:rPr>
      </w:pPr>
    </w:p>
    <w:p w:rsidR="00771EFD" w:rsidRDefault="00771EFD" w:rsidP="004F1C42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771EFD" w:rsidRDefault="00771EFD" w:rsidP="004F1C42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771EFD" w:rsidRDefault="00771EFD" w:rsidP="004F1C42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771EFD" w:rsidRDefault="00771EFD" w:rsidP="004F1C42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771EFD" w:rsidRDefault="00771EFD" w:rsidP="004F1C42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771EFD" w:rsidRDefault="00771EFD" w:rsidP="004F1C42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771EFD" w:rsidRDefault="00771EFD" w:rsidP="004F1C42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4F1C42" w:rsidRDefault="004F1C42" w:rsidP="004F1C42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  <w:r w:rsidRPr="00A60A00"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lastRenderedPageBreak/>
        <w:t>Case Law</w:t>
      </w:r>
      <w:r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>-</w:t>
      </w:r>
      <w:r w:rsidR="00771EFD"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>2</w:t>
      </w:r>
      <w:r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>:</w:t>
      </w:r>
      <w:r w:rsidRPr="00A60A00"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 xml:space="preserve"> </w:t>
      </w:r>
      <w:r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 xml:space="preserve"> </w:t>
      </w:r>
    </w:p>
    <w:p w:rsidR="00A60A00" w:rsidRP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Swiss721BT-Roman"/>
          <w:color w:val="5E2124"/>
          <w:sz w:val="24"/>
          <w:szCs w:val="18"/>
        </w:rPr>
      </w:pPr>
      <w:r w:rsidRPr="00A60A00">
        <w:rPr>
          <w:rFonts w:ascii="Book Antiqua" w:hAnsi="Book Antiqua" w:cs="Swiss721BT-Roman"/>
          <w:color w:val="5E2124"/>
          <w:sz w:val="24"/>
          <w:szCs w:val="18"/>
        </w:rPr>
        <w:t>Section 194-I of the Income-tax</w:t>
      </w:r>
      <w:r w:rsidR="004F1C42">
        <w:rPr>
          <w:rFonts w:ascii="Book Antiqua" w:hAnsi="Book Antiqua" w:cs="Swiss721BT-Roman"/>
          <w:color w:val="5E2124"/>
          <w:sz w:val="24"/>
          <w:szCs w:val="18"/>
        </w:rPr>
        <w:t xml:space="preserve"> </w:t>
      </w:r>
      <w:r w:rsidRPr="00A60A00">
        <w:rPr>
          <w:rFonts w:ascii="Book Antiqua" w:hAnsi="Book Antiqua" w:cs="Swiss721BT-Roman"/>
          <w:color w:val="5E2124"/>
          <w:sz w:val="24"/>
          <w:szCs w:val="18"/>
        </w:rPr>
        <w:t>Act, 1961 – Deduction of tax at</w:t>
      </w:r>
      <w:r w:rsidR="004F1C42">
        <w:rPr>
          <w:rFonts w:ascii="Book Antiqua" w:hAnsi="Book Antiqua" w:cs="Swiss721BT-Roman"/>
          <w:color w:val="5E2124"/>
          <w:sz w:val="24"/>
          <w:szCs w:val="18"/>
        </w:rPr>
        <w:t xml:space="preserve"> </w:t>
      </w:r>
      <w:r w:rsidRPr="00A60A00">
        <w:rPr>
          <w:rFonts w:ascii="Book Antiqua" w:hAnsi="Book Antiqua" w:cs="Swiss721BT-Roman"/>
          <w:color w:val="5E2124"/>
          <w:sz w:val="24"/>
          <w:szCs w:val="18"/>
        </w:rPr>
        <w:t>source – Rent</w:t>
      </w:r>
    </w:p>
    <w:p w:rsidR="004F1C42" w:rsidRDefault="004F1C42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Cs/>
          <w:color w:val="D5734F"/>
          <w:sz w:val="24"/>
          <w:szCs w:val="18"/>
        </w:rPr>
      </w:pPr>
    </w:p>
    <w:p w:rsidR="00771EFD" w:rsidRDefault="00771EFD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Cs/>
          <w:color w:val="D5734F"/>
          <w:sz w:val="24"/>
          <w:szCs w:val="18"/>
        </w:rPr>
      </w:pPr>
      <w:r w:rsidRPr="00771EFD">
        <w:rPr>
          <w:rFonts w:ascii="Book Antiqua" w:hAnsi="Book Antiqua" w:cs="Candara-Bold"/>
          <w:bCs/>
          <w:color w:val="D5734F"/>
          <w:sz w:val="24"/>
          <w:szCs w:val="18"/>
        </w:rPr>
        <w:t>Commissioner of Income Tax vs. NIIT Ltd, September 22, 2009 (DEL.)</w:t>
      </w:r>
    </w:p>
    <w:p w:rsidR="00771EFD" w:rsidRDefault="00771EFD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Cs/>
          <w:color w:val="D5734F"/>
          <w:sz w:val="24"/>
          <w:szCs w:val="18"/>
        </w:rPr>
      </w:pPr>
    </w:p>
    <w:p w:rsidR="00771EFD" w:rsidRDefault="00771EFD" w:rsidP="00771EF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00B0F0"/>
          <w:sz w:val="24"/>
          <w:szCs w:val="18"/>
          <w:u w:val="single"/>
        </w:rPr>
      </w:pPr>
      <w:r w:rsidRPr="00A60A00">
        <w:rPr>
          <w:rFonts w:ascii="Book Antiqua" w:hAnsi="Book Antiqua" w:cs="Candara-Bold"/>
          <w:b/>
          <w:bCs/>
          <w:color w:val="00B0F0"/>
          <w:sz w:val="24"/>
          <w:szCs w:val="18"/>
          <w:u w:val="single"/>
        </w:rPr>
        <w:t>Key Notes:</w:t>
      </w:r>
    </w:p>
    <w:p w:rsidR="00771EFD" w:rsidRDefault="00771EFD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Cs/>
          <w:color w:val="D5734F"/>
          <w:sz w:val="24"/>
          <w:szCs w:val="18"/>
        </w:rPr>
      </w:pPr>
    </w:p>
    <w:p w:rsidR="00A60A00" w:rsidRPr="00771EFD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Cs/>
          <w:color w:val="00B0F0"/>
          <w:sz w:val="24"/>
          <w:szCs w:val="18"/>
        </w:rPr>
      </w:pPr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Where </w:t>
      </w:r>
      <w:proofErr w:type="spellStart"/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>assessee</w:t>
      </w:r>
      <w:proofErr w:type="spellEnd"/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 shares fees</w:t>
      </w:r>
      <w:r w:rsid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>collected from students with</w:t>
      </w:r>
      <w:r w:rsid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>franchisee and a part of such share is</w:t>
      </w:r>
      <w:r w:rsid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>on account of infrastructure facility</w:t>
      </w:r>
      <w:r w:rsid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>provided by franchisee, payment</w:t>
      </w:r>
      <w:r w:rsid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>related to infrastructure cannot be</w:t>
      </w:r>
      <w:r w:rsid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treated as rent, and thus </w:t>
      </w:r>
      <w:proofErr w:type="spellStart"/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>assessee</w:t>
      </w:r>
      <w:proofErr w:type="spellEnd"/>
      <w:r w:rsid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>was not liable to TDS under section</w:t>
      </w:r>
      <w:r w:rsidR="00771EFD"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771EFD">
        <w:rPr>
          <w:rFonts w:ascii="Book Antiqua" w:hAnsi="Book Antiqua" w:cs="Candara-Bold"/>
          <w:bCs/>
          <w:color w:val="00B0F0"/>
          <w:sz w:val="24"/>
          <w:szCs w:val="18"/>
        </w:rPr>
        <w:t>194-I</w:t>
      </w:r>
    </w:p>
    <w:p w:rsidR="00771EFD" w:rsidRDefault="00771EFD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</w:p>
    <w:p w:rsid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The 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>-company was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engaged in the business of providing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computer education and training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through franchisees. Under the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arrangement the 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 was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required to provide the courseware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and expertise while the franchisees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were required to provide the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infrastructure facilities like class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room facility, equipment, furniture,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fixture, administrative set up, etc.</w:t>
      </w:r>
    </w:p>
    <w:p w:rsidR="00E358D3" w:rsidRPr="00A60A00" w:rsidRDefault="00E358D3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</w:p>
    <w:p w:rsidR="00A60A00" w:rsidRP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r w:rsidRPr="00A60A00">
        <w:rPr>
          <w:rFonts w:ascii="Book Antiqua" w:hAnsi="Book Antiqua" w:cs="Candara"/>
          <w:color w:val="1F1A17"/>
          <w:sz w:val="24"/>
          <w:szCs w:val="18"/>
        </w:rPr>
        <w:t>The fees collected from the students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were deposited in the account of the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 and then those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were shared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with the franchisees on account of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Marketing and using franchisee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infrastructure. The revenue's case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was that the 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 was liable to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deduct tax under section 194-I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in respect of the payment made to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the franchisee under the head</w:t>
      </w:r>
    </w:p>
    <w:p w:rsid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r w:rsidRPr="00A60A00">
        <w:rPr>
          <w:rFonts w:ascii="Book Antiqua" w:hAnsi="Book Antiqua" w:cs="Candara"/>
          <w:color w:val="1F1A17"/>
          <w:sz w:val="24"/>
          <w:szCs w:val="18"/>
        </w:rPr>
        <w:t>“Infrastructural claims”.</w:t>
      </w:r>
    </w:p>
    <w:p w:rsidR="00E358D3" w:rsidRPr="00A60A00" w:rsidRDefault="00E358D3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</w:p>
    <w:p w:rsidR="00A60A00" w:rsidRDefault="00A60A00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r w:rsidRPr="00A60A00">
        <w:rPr>
          <w:rFonts w:ascii="Book Antiqua" w:hAnsi="Book Antiqua" w:cs="Candara"/>
          <w:color w:val="1F1A17"/>
          <w:sz w:val="24"/>
          <w:szCs w:val="18"/>
        </w:rPr>
        <w:t>The</w:t>
      </w:r>
      <w:r w:rsidR="00A763A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Delhi</w:t>
      </w:r>
      <w:r w:rsidR="008A7F69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High Court held that the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relation between the parties in the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present case was not of a 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lessor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 and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lessee. Only a limited license was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granted by the 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>-company to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the franchisee (i.e., the 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licencee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>) for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use by the licensee of the trademark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and trade name of the 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company for the education centre.</w:t>
      </w:r>
    </w:p>
    <w:p w:rsidR="00E358D3" w:rsidRPr="00A60A00" w:rsidRDefault="00E358D3" w:rsidP="00A60A0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</w:p>
    <w:p w:rsidR="008A7F69" w:rsidRDefault="00A60A00" w:rsidP="00C0005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  <w:r w:rsidRPr="00A60A00">
        <w:rPr>
          <w:rFonts w:ascii="Book Antiqua" w:hAnsi="Book Antiqua" w:cs="Candara"/>
          <w:color w:val="1F1A17"/>
          <w:sz w:val="24"/>
          <w:szCs w:val="18"/>
        </w:rPr>
        <w:t>The licensor had right to protect its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technical know-how and its trademark/trade name. The charges</w:t>
      </w:r>
      <w:r w:rsidR="008A7F69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which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were payable to the 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company by the licensee were not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fixed and were variable as per the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number of students. It was to be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noted that (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i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) the </w:t>
      </w:r>
      <w:proofErr w:type="spellStart"/>
      <w:r w:rsidRPr="00A60A00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Pr="00A60A00">
        <w:rPr>
          <w:rFonts w:ascii="Book Antiqua" w:hAnsi="Book Antiqua" w:cs="Candara"/>
          <w:color w:val="1F1A17"/>
          <w:sz w:val="24"/>
          <w:szCs w:val="18"/>
        </w:rPr>
        <w:t xml:space="preserve"> company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instead of giving a deposit which it</w:t>
      </w:r>
      <w:r w:rsidR="00E358D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A60A00">
        <w:rPr>
          <w:rFonts w:ascii="Book Antiqua" w:hAnsi="Book Antiqua" w:cs="Candara"/>
          <w:color w:val="1F1A17"/>
          <w:sz w:val="24"/>
          <w:szCs w:val="18"/>
        </w:rPr>
        <w:t>would have done if it was a tenant, in</w:t>
      </w:r>
      <w:r w:rsidR="008A7F69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8A7F69" w:rsidRPr="008A7F69">
        <w:rPr>
          <w:rFonts w:ascii="Book Antiqua" w:hAnsi="Book Antiqua" w:cs="Candara"/>
          <w:color w:val="1F1A17"/>
          <w:sz w:val="24"/>
          <w:szCs w:val="18"/>
        </w:rPr>
        <w:t>fact receives a security deposit from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8A7F69" w:rsidRPr="008A7F69">
        <w:rPr>
          <w:rFonts w:ascii="Book Antiqua" w:hAnsi="Book Antiqua" w:cs="Candara"/>
          <w:color w:val="1F1A17"/>
          <w:sz w:val="24"/>
          <w:szCs w:val="18"/>
        </w:rPr>
        <w:t xml:space="preserve">the licensee, (ii) the </w:t>
      </w:r>
      <w:proofErr w:type="spellStart"/>
      <w:r w:rsidR="008A7F69" w:rsidRPr="008A7F69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="008A7F69" w:rsidRPr="008A7F69">
        <w:rPr>
          <w:rFonts w:ascii="Book Antiqua" w:hAnsi="Book Antiqua" w:cs="Candara"/>
          <w:color w:val="1F1A17"/>
          <w:sz w:val="24"/>
          <w:szCs w:val="18"/>
        </w:rPr>
        <w:t xml:space="preserve"> never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8A7F69" w:rsidRPr="008A7F69">
        <w:rPr>
          <w:rFonts w:ascii="Book Antiqua" w:hAnsi="Book Antiqua" w:cs="Candara"/>
          <w:color w:val="1F1A17"/>
          <w:sz w:val="24"/>
          <w:szCs w:val="18"/>
        </w:rPr>
        <w:t>got possession of the premises, and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8A7F69" w:rsidRPr="008A7F69">
        <w:rPr>
          <w:rFonts w:ascii="Book Antiqua" w:hAnsi="Book Antiqua" w:cs="Candara"/>
          <w:color w:val="1F1A17"/>
          <w:sz w:val="24"/>
          <w:szCs w:val="18"/>
        </w:rPr>
        <w:t>(iii) there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8A7F69" w:rsidRPr="008A7F69">
        <w:rPr>
          <w:rFonts w:ascii="Book Antiqua" w:hAnsi="Book Antiqua" w:cs="Candara"/>
          <w:color w:val="1F1A17"/>
          <w:sz w:val="24"/>
          <w:szCs w:val="18"/>
        </w:rPr>
        <w:t>was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8A7F69" w:rsidRPr="008A7F69">
        <w:rPr>
          <w:rFonts w:ascii="Book Antiqua" w:hAnsi="Book Antiqua" w:cs="Candara"/>
          <w:color w:val="1F1A17"/>
          <w:sz w:val="24"/>
          <w:szCs w:val="18"/>
        </w:rPr>
        <w:t>no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8A7F69" w:rsidRPr="008A7F69">
        <w:rPr>
          <w:rFonts w:ascii="Book Antiqua" w:hAnsi="Book Antiqua" w:cs="Candara"/>
          <w:color w:val="1F1A17"/>
          <w:sz w:val="24"/>
          <w:szCs w:val="18"/>
        </w:rPr>
        <w:t>minimum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8A7F69" w:rsidRPr="008A7F69">
        <w:rPr>
          <w:rFonts w:ascii="Book Antiqua" w:hAnsi="Book Antiqua" w:cs="Candara"/>
          <w:color w:val="1F1A17"/>
          <w:sz w:val="24"/>
          <w:szCs w:val="18"/>
        </w:rPr>
        <w:t>guarantee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8A7F69" w:rsidRPr="008A7F69">
        <w:rPr>
          <w:rFonts w:ascii="Book Antiqua" w:hAnsi="Book Antiqua" w:cs="Candara"/>
          <w:color w:val="1F1A17"/>
          <w:sz w:val="24"/>
          <w:szCs w:val="18"/>
        </w:rPr>
        <w:t>in the agreement.</w:t>
      </w:r>
    </w:p>
    <w:p w:rsidR="00C0005B" w:rsidRPr="008A7F69" w:rsidRDefault="00C0005B" w:rsidP="00C0005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"/>
          <w:color w:val="1F1A17"/>
          <w:sz w:val="24"/>
          <w:szCs w:val="18"/>
        </w:rPr>
      </w:pPr>
    </w:p>
    <w:p w:rsidR="008A7F69" w:rsidRP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8A7F69">
        <w:rPr>
          <w:rFonts w:ascii="Book Antiqua" w:hAnsi="Book Antiqua" w:cs="Candara"/>
          <w:color w:val="1F1A17"/>
          <w:sz w:val="24"/>
          <w:szCs w:val="18"/>
        </w:rPr>
        <w:t>The agreement clearly showed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that the agreement was a franchise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agreement and it could not be said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that by the agreement, rent was in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fact being paid by the </w:t>
      </w:r>
      <w:proofErr w:type="spellStart"/>
      <w:r w:rsidRPr="008A7F69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company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to the licensee. No doubt,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charges had been broken up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under two heads viz. that of,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marketing claim and infrastructure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claim. However, the agreement was</w:t>
      </w:r>
    </w:p>
    <w:p w:rsid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proofErr w:type="gramStart"/>
      <w:r w:rsidRPr="008A7F69">
        <w:rPr>
          <w:rFonts w:ascii="Book Antiqua" w:hAnsi="Book Antiqua" w:cs="Candara"/>
          <w:color w:val="1F1A17"/>
          <w:sz w:val="24"/>
          <w:szCs w:val="18"/>
        </w:rPr>
        <w:t>an</w:t>
      </w:r>
      <w:proofErr w:type="gramEnd"/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 agreement as a whole and such a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composite agreement could not be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broken up. The provision of section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194-I could not be read to break up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composite contracts and when </w:t>
      </w:r>
      <w:r w:rsidRPr="008A7F69">
        <w:rPr>
          <w:rFonts w:ascii="Book Antiqua" w:hAnsi="Book Antiqua" w:cs="Candara"/>
          <w:color w:val="1F1A17"/>
          <w:sz w:val="24"/>
          <w:szCs w:val="18"/>
        </w:rPr>
        <w:lastRenderedPageBreak/>
        <w:t>that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was not the intention of the parties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themselves. Resultantly, the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proofErr w:type="spellStart"/>
      <w:r w:rsidRPr="008A7F69">
        <w:rPr>
          <w:rFonts w:ascii="Book Antiqua" w:hAnsi="Book Antiqua" w:cs="Candara"/>
          <w:color w:val="1F1A17"/>
          <w:sz w:val="24"/>
          <w:szCs w:val="18"/>
        </w:rPr>
        <w:t>assessee</w:t>
      </w:r>
      <w:proofErr w:type="spellEnd"/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 was not liable to deduct tax</w:t>
      </w:r>
      <w:r w:rsidR="00C0005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at source.</w:t>
      </w:r>
    </w:p>
    <w:p w:rsidR="00C0005B" w:rsidRDefault="00C0005B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AE72A3" w:rsidRDefault="00AE72A3" w:rsidP="00AE72A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  <w:r w:rsidRPr="00A60A00"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>Case Law</w:t>
      </w:r>
      <w:r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>-3:</w:t>
      </w:r>
      <w:r w:rsidRPr="00A60A00"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 xml:space="preserve"> </w:t>
      </w:r>
      <w:r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 xml:space="preserve"> </w:t>
      </w:r>
    </w:p>
    <w:p w:rsidR="00AE72A3" w:rsidRDefault="00AE72A3" w:rsidP="00AE72A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AE72A3" w:rsidRPr="00AE72A3" w:rsidRDefault="00AE72A3" w:rsidP="00AE72A3">
      <w:pPr>
        <w:autoSpaceDE w:val="0"/>
        <w:autoSpaceDN w:val="0"/>
        <w:adjustRightInd w:val="0"/>
        <w:spacing w:after="0" w:line="240" w:lineRule="auto"/>
        <w:rPr>
          <w:rFonts w:ascii="Book Antiqua" w:hAnsi="Book Antiqua" w:cs="Swiss721BT-Roman"/>
          <w:color w:val="5E2124"/>
          <w:sz w:val="24"/>
          <w:szCs w:val="18"/>
        </w:rPr>
      </w:pPr>
      <w:r w:rsidRPr="00AE72A3">
        <w:rPr>
          <w:rFonts w:ascii="Book Antiqua" w:hAnsi="Book Antiqua" w:cs="Swiss721BT-Roman"/>
          <w:color w:val="5E2124"/>
          <w:sz w:val="24"/>
          <w:szCs w:val="18"/>
        </w:rPr>
        <w:t>Section 194-J of the Income-tax Act, 1961 – Tax deducted at source – Fees for professional or technical services</w:t>
      </w:r>
    </w:p>
    <w:p w:rsidR="00AE72A3" w:rsidRDefault="00AE72A3" w:rsidP="00AE72A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-Bold"/>
          <w:bCs/>
          <w:color w:val="D5734F"/>
          <w:sz w:val="24"/>
          <w:szCs w:val="18"/>
        </w:rPr>
      </w:pPr>
      <w:r w:rsidRPr="00AE72A3">
        <w:rPr>
          <w:rFonts w:ascii="Book Antiqua" w:hAnsi="Book Antiqua" w:cs="Candara-Bold"/>
          <w:bCs/>
          <w:color w:val="D5734F"/>
          <w:sz w:val="24"/>
          <w:szCs w:val="18"/>
        </w:rPr>
        <w:t xml:space="preserve">The </w:t>
      </w:r>
      <w:proofErr w:type="spellStart"/>
      <w:r w:rsidRPr="00AE72A3">
        <w:rPr>
          <w:rFonts w:ascii="Book Antiqua" w:hAnsi="Book Antiqua" w:cs="Candara-Bold"/>
          <w:bCs/>
          <w:color w:val="D5734F"/>
          <w:sz w:val="24"/>
          <w:szCs w:val="18"/>
        </w:rPr>
        <w:t>Medi</w:t>
      </w:r>
      <w:proofErr w:type="spellEnd"/>
      <w:r w:rsidRPr="00AE72A3">
        <w:rPr>
          <w:rFonts w:ascii="Book Antiqua" w:hAnsi="Book Antiqua" w:cs="Candara-Bold"/>
          <w:bCs/>
          <w:color w:val="D5734F"/>
          <w:sz w:val="24"/>
          <w:szCs w:val="18"/>
        </w:rPr>
        <w:t xml:space="preserve"> Assist India TPA P. Ltd. vs.DCIT</w:t>
      </w:r>
      <w:r w:rsidR="00AE72A3" w:rsidRPr="00AE72A3">
        <w:rPr>
          <w:rFonts w:ascii="Book Antiqua" w:hAnsi="Book Antiqua" w:cs="Candara-Bold"/>
          <w:bCs/>
          <w:color w:val="D5734F"/>
          <w:sz w:val="24"/>
          <w:szCs w:val="18"/>
        </w:rPr>
        <w:t>, August</w:t>
      </w:r>
      <w:r w:rsidRPr="00AE72A3">
        <w:rPr>
          <w:rFonts w:ascii="Book Antiqua" w:hAnsi="Book Antiqua" w:cs="Candara-Bold"/>
          <w:bCs/>
          <w:color w:val="D5734F"/>
          <w:sz w:val="24"/>
          <w:szCs w:val="18"/>
        </w:rPr>
        <w:t xml:space="preserve"> 13, 2009 (KAR)</w:t>
      </w:r>
    </w:p>
    <w:p w:rsidR="00AE72A3" w:rsidRDefault="00AE72A3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-Bold"/>
          <w:bCs/>
          <w:color w:val="D5734F"/>
          <w:sz w:val="24"/>
          <w:szCs w:val="18"/>
        </w:rPr>
      </w:pPr>
    </w:p>
    <w:p w:rsidR="00AE72A3" w:rsidRDefault="00AE72A3" w:rsidP="00AE72A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00B0F0"/>
          <w:sz w:val="24"/>
          <w:szCs w:val="18"/>
          <w:u w:val="single"/>
        </w:rPr>
      </w:pPr>
      <w:r w:rsidRPr="00A60A00">
        <w:rPr>
          <w:rFonts w:ascii="Book Antiqua" w:hAnsi="Book Antiqua" w:cs="Candara-Bold"/>
          <w:b/>
          <w:bCs/>
          <w:color w:val="00B0F0"/>
          <w:sz w:val="24"/>
          <w:szCs w:val="18"/>
          <w:u w:val="single"/>
        </w:rPr>
        <w:t>Key Notes:</w:t>
      </w:r>
    </w:p>
    <w:p w:rsidR="00AE72A3" w:rsidRDefault="00AE72A3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-Bold"/>
          <w:bCs/>
          <w:color w:val="D5734F"/>
          <w:sz w:val="24"/>
          <w:szCs w:val="18"/>
        </w:rPr>
      </w:pPr>
    </w:p>
    <w:p w:rsidR="00AE72A3" w:rsidRPr="00B06163" w:rsidRDefault="00AE72A3" w:rsidP="00AE72A3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-Bold"/>
          <w:bCs/>
          <w:color w:val="00B0F0"/>
          <w:sz w:val="24"/>
          <w:szCs w:val="18"/>
        </w:rPr>
      </w:pPr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>In field of health insurance, it is Third Party Administrator (TPA), and not insurance company, who pays amounts to hospitals, TPA is required to deduct tax at source</w:t>
      </w:r>
    </w:p>
    <w:p w:rsidR="00AE72A3" w:rsidRPr="00B06163" w:rsidRDefault="00AE72A3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-Bold"/>
          <w:bCs/>
          <w:color w:val="00B0F0"/>
          <w:sz w:val="24"/>
          <w:szCs w:val="18"/>
        </w:rPr>
      </w:pPr>
      <w:proofErr w:type="gramStart"/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>under</w:t>
      </w:r>
      <w:proofErr w:type="gramEnd"/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 xml:space="preserve"> section 194J</w:t>
      </w:r>
    </w:p>
    <w:p w:rsidR="00AE72A3" w:rsidRPr="00B06163" w:rsidRDefault="00AE72A3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-Bold"/>
          <w:bCs/>
          <w:color w:val="00B0F0"/>
          <w:sz w:val="24"/>
          <w:szCs w:val="18"/>
        </w:rPr>
      </w:pPr>
    </w:p>
    <w:p w:rsid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8A7F69">
        <w:rPr>
          <w:rFonts w:ascii="Book Antiqua" w:hAnsi="Book Antiqua" w:cs="Candara"/>
          <w:color w:val="1F1A17"/>
          <w:sz w:val="24"/>
          <w:szCs w:val="18"/>
        </w:rPr>
        <w:t>The health insurance companies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issue cashless </w:t>
      </w:r>
      <w:proofErr w:type="spellStart"/>
      <w:r w:rsidRPr="008A7F69">
        <w:rPr>
          <w:rFonts w:ascii="Book Antiqua" w:hAnsi="Book Antiqua" w:cs="Candara"/>
          <w:color w:val="1F1A17"/>
          <w:sz w:val="24"/>
          <w:szCs w:val="18"/>
        </w:rPr>
        <w:t>mediclaim</w:t>
      </w:r>
      <w:proofErr w:type="spellEnd"/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 policies,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which are serviced through the Third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Party administrator (TPA). Any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policyholder enters into a contract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with the insurance company while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insurance company enters into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an agreement with the TPAs to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service their policies. The insurance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company enters into an </w:t>
      </w:r>
      <w:r w:rsidR="00CF472F">
        <w:rPr>
          <w:rFonts w:ascii="Book Antiqua" w:hAnsi="Book Antiqua" w:cs="Candara"/>
          <w:color w:val="1F1A17"/>
          <w:sz w:val="24"/>
          <w:szCs w:val="18"/>
        </w:rPr>
        <w:t>a</w:t>
      </w:r>
      <w:r w:rsidRPr="008A7F69">
        <w:rPr>
          <w:rFonts w:ascii="Book Antiqua" w:hAnsi="Book Antiqua" w:cs="Candara"/>
          <w:color w:val="1F1A17"/>
          <w:sz w:val="24"/>
          <w:szCs w:val="18"/>
        </w:rPr>
        <w:t>greement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with the TPAs for the purpose of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payment or reimbursing the amount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which is spent by the policy holder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.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TPAs have a network of hospitals.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After the treatment of the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policyholder, the hospital sends the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bill to the TPA. The TPA processes</w:t>
      </w:r>
      <w:r w:rsidR="00AE72A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claim and the payment is released to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hospital directly. The TPA gets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reimbursed of all the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amount of claim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processed. According to the TPA, the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payments are made in fulfillment of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contractual obligations between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insurance company and the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policy holder and not towards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rendering any professional services.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So, TPA cannot be held liable to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deduct tax at source under section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194J at time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of payment to hospitals.</w:t>
      </w:r>
    </w:p>
    <w:p w:rsidR="00CF472F" w:rsidRPr="008A7F69" w:rsidRDefault="00CF472F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8A7F69" w:rsidRP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8A7F69">
        <w:rPr>
          <w:rFonts w:ascii="Book Antiqua" w:hAnsi="Book Antiqua" w:cs="Candara"/>
          <w:color w:val="1F1A17"/>
          <w:sz w:val="24"/>
          <w:szCs w:val="18"/>
        </w:rPr>
        <w:t>The Karnataka High Court held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that a TPA is responsible for making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payment to the hospital for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rendering the medical service to the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policy holders. The liability of the</w:t>
      </w:r>
    </w:p>
    <w:p w:rsidR="008A7F69" w:rsidRP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proofErr w:type="gramStart"/>
      <w:r w:rsidRPr="008A7F69">
        <w:rPr>
          <w:rFonts w:ascii="Book Antiqua" w:hAnsi="Book Antiqua" w:cs="Candara"/>
          <w:color w:val="1F1A17"/>
          <w:sz w:val="24"/>
          <w:szCs w:val="18"/>
        </w:rPr>
        <w:t>insurer</w:t>
      </w:r>
      <w:proofErr w:type="gramEnd"/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 is only of replenishing of the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funds. After the transfer of funds the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control of the funds is with the TPA,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i.e., when once the amount is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deposited in the float fund account.</w:t>
      </w:r>
    </w:p>
    <w:p w:rsid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8A7F69">
        <w:rPr>
          <w:rFonts w:ascii="Book Antiqua" w:hAnsi="Book Antiqua" w:cs="Candara"/>
          <w:color w:val="1F1A17"/>
          <w:sz w:val="24"/>
          <w:szCs w:val="18"/>
        </w:rPr>
        <w:t>The application of the funds is left to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contracting party, i.e., the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insured and the TPA. </w:t>
      </w:r>
      <w:r w:rsidRPr="00FF27D9">
        <w:rPr>
          <w:rFonts w:ascii="Book Antiqua" w:hAnsi="Book Antiqua" w:cs="Candara"/>
          <w:b/>
          <w:color w:val="1F1A17"/>
          <w:sz w:val="24"/>
          <w:szCs w:val="18"/>
        </w:rPr>
        <w:t>The ultimate</w:t>
      </w:r>
      <w:r w:rsidR="00CF472F" w:rsidRPr="00FF27D9">
        <w:rPr>
          <w:rFonts w:ascii="Book Antiqua" w:hAnsi="Book Antiqua" w:cs="Candara"/>
          <w:b/>
          <w:color w:val="1F1A17"/>
          <w:sz w:val="24"/>
          <w:szCs w:val="18"/>
        </w:rPr>
        <w:t xml:space="preserve"> </w:t>
      </w:r>
      <w:r w:rsidRPr="00FF27D9">
        <w:rPr>
          <w:rFonts w:ascii="Book Antiqua" w:hAnsi="Book Antiqua" w:cs="Candara"/>
          <w:b/>
          <w:color w:val="1F1A17"/>
          <w:sz w:val="24"/>
          <w:szCs w:val="18"/>
        </w:rPr>
        <w:t>party who pays the amount to the</w:t>
      </w:r>
      <w:r w:rsidR="00CF472F" w:rsidRPr="00FF27D9">
        <w:rPr>
          <w:rFonts w:ascii="Book Antiqua" w:hAnsi="Book Antiqua" w:cs="Candara"/>
          <w:b/>
          <w:color w:val="1F1A17"/>
          <w:sz w:val="24"/>
          <w:szCs w:val="18"/>
        </w:rPr>
        <w:t xml:space="preserve"> </w:t>
      </w:r>
      <w:r w:rsidRPr="00FF27D9">
        <w:rPr>
          <w:rFonts w:ascii="Book Antiqua" w:hAnsi="Book Antiqua" w:cs="Candara"/>
          <w:b/>
          <w:color w:val="1F1A17"/>
          <w:sz w:val="24"/>
          <w:szCs w:val="18"/>
        </w:rPr>
        <w:t>hospital is the TPA</w:t>
      </w:r>
      <w:r w:rsidRPr="008A7F69">
        <w:rPr>
          <w:rFonts w:ascii="Book Antiqua" w:hAnsi="Book Antiqua" w:cs="Candara"/>
          <w:color w:val="1F1A17"/>
          <w:sz w:val="24"/>
          <w:szCs w:val="18"/>
        </w:rPr>
        <w:t>. In fact there is no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agreement between the insurer and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the hospitals. </w:t>
      </w:r>
      <w:r w:rsidRPr="00FF27D9">
        <w:rPr>
          <w:rFonts w:ascii="Book Antiqua" w:hAnsi="Book Antiqua" w:cs="Candara"/>
          <w:b/>
          <w:color w:val="1F1A17"/>
          <w:sz w:val="24"/>
          <w:szCs w:val="18"/>
        </w:rPr>
        <w:t>The agreement is</w:t>
      </w:r>
      <w:r w:rsidR="00CF472F" w:rsidRPr="00FF27D9">
        <w:rPr>
          <w:rFonts w:ascii="Book Antiqua" w:hAnsi="Book Antiqua" w:cs="Candara"/>
          <w:b/>
          <w:color w:val="1F1A17"/>
          <w:sz w:val="24"/>
          <w:szCs w:val="18"/>
        </w:rPr>
        <w:t xml:space="preserve"> </w:t>
      </w:r>
      <w:r w:rsidRPr="00FF27D9">
        <w:rPr>
          <w:rFonts w:ascii="Book Antiqua" w:hAnsi="Book Antiqua" w:cs="Candara"/>
          <w:b/>
          <w:color w:val="1F1A17"/>
          <w:sz w:val="24"/>
          <w:szCs w:val="18"/>
        </w:rPr>
        <w:t>essentially between the TPA and the</w:t>
      </w:r>
      <w:r w:rsidR="00CF472F" w:rsidRPr="00FF27D9">
        <w:rPr>
          <w:rFonts w:ascii="Book Antiqua" w:hAnsi="Book Antiqua" w:cs="Candara"/>
          <w:b/>
          <w:color w:val="1F1A17"/>
          <w:sz w:val="24"/>
          <w:szCs w:val="18"/>
        </w:rPr>
        <w:t xml:space="preserve"> </w:t>
      </w:r>
      <w:r w:rsidRPr="00FF27D9">
        <w:rPr>
          <w:rFonts w:ascii="Book Antiqua" w:hAnsi="Book Antiqua" w:cs="Candara"/>
          <w:b/>
          <w:color w:val="1F1A17"/>
          <w:sz w:val="24"/>
          <w:szCs w:val="18"/>
        </w:rPr>
        <w:t>hospitals.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 In this circumstance, it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cannot be said that the TPA who is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authority or the person to pay the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amount to the hospital is not</w:t>
      </w:r>
      <w:r w:rsidR="00CF472F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required to deduce the tax at source.</w:t>
      </w:r>
    </w:p>
    <w:p w:rsidR="00CF472F" w:rsidRDefault="00CF472F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CF472F" w:rsidRDefault="00CF472F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CF472F" w:rsidRDefault="00CF472F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CF472F" w:rsidRPr="008A7F69" w:rsidRDefault="00CF472F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CF472F" w:rsidRDefault="00CF472F" w:rsidP="00CF472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  <w:r w:rsidRPr="00A60A00"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lastRenderedPageBreak/>
        <w:t>Case Law</w:t>
      </w:r>
      <w:r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>-</w:t>
      </w:r>
      <w:r w:rsidR="00FF27D9"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>4</w:t>
      </w:r>
      <w:r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>:</w:t>
      </w:r>
      <w:r w:rsidRPr="00A60A00"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  <w:t xml:space="preserve"> </w:t>
      </w:r>
    </w:p>
    <w:p w:rsidR="00B06163" w:rsidRDefault="00B06163" w:rsidP="00CF472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7030A0"/>
          <w:sz w:val="24"/>
          <w:szCs w:val="18"/>
          <w:u w:val="single"/>
        </w:rPr>
      </w:pPr>
    </w:p>
    <w:p w:rsidR="00CF472F" w:rsidRPr="00B06163" w:rsidRDefault="00B06163" w:rsidP="00B06163">
      <w:pPr>
        <w:autoSpaceDE w:val="0"/>
        <w:autoSpaceDN w:val="0"/>
        <w:adjustRightInd w:val="0"/>
        <w:spacing w:after="0" w:line="240" w:lineRule="auto"/>
        <w:rPr>
          <w:rFonts w:ascii="Book Antiqua" w:hAnsi="Book Antiqua" w:cs="Swiss721BT-Roman"/>
          <w:color w:val="5E2124"/>
          <w:sz w:val="24"/>
          <w:szCs w:val="18"/>
        </w:rPr>
      </w:pPr>
      <w:r w:rsidRPr="00B06163">
        <w:rPr>
          <w:rFonts w:ascii="Book Antiqua" w:hAnsi="Book Antiqua" w:cs="Swiss721BT-Roman"/>
          <w:color w:val="5E2124"/>
          <w:sz w:val="24"/>
          <w:szCs w:val="18"/>
        </w:rPr>
        <w:t>Section 245Q of the Income-tax Act, 1961, read with Articles 5 and 7 of the DTAA between India and Germany – Application for advance ruling</w:t>
      </w:r>
    </w:p>
    <w:p w:rsidR="00CF472F" w:rsidRPr="00B06163" w:rsidRDefault="00CF472F" w:rsidP="00CF472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Swiss721BT-Roman"/>
          <w:color w:val="5E2124"/>
          <w:sz w:val="24"/>
          <w:szCs w:val="18"/>
        </w:rPr>
      </w:pPr>
      <w:r w:rsidRPr="00B06163">
        <w:rPr>
          <w:rFonts w:ascii="Book Antiqua" w:hAnsi="Book Antiqua" w:cs="Swiss721BT-Roman"/>
          <w:color w:val="5E2124"/>
          <w:sz w:val="24"/>
          <w:szCs w:val="18"/>
        </w:rPr>
        <w:t xml:space="preserve"> </w:t>
      </w:r>
    </w:p>
    <w:p w:rsidR="008A7F69" w:rsidRPr="00B06163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-Bold"/>
          <w:bCs/>
          <w:color w:val="D5734F"/>
          <w:sz w:val="24"/>
          <w:szCs w:val="18"/>
        </w:rPr>
      </w:pPr>
      <w:proofErr w:type="spellStart"/>
      <w:r w:rsidRPr="00B06163">
        <w:rPr>
          <w:rFonts w:ascii="Book Antiqua" w:hAnsi="Book Antiqua" w:cs="Candara-Bold"/>
          <w:bCs/>
          <w:color w:val="D5734F"/>
          <w:sz w:val="24"/>
          <w:szCs w:val="18"/>
        </w:rPr>
        <w:t>Pintsch</w:t>
      </w:r>
      <w:proofErr w:type="spellEnd"/>
      <w:r w:rsidRPr="00B06163">
        <w:rPr>
          <w:rFonts w:ascii="Book Antiqua" w:hAnsi="Book Antiqua" w:cs="Candara-Bold"/>
          <w:bCs/>
          <w:color w:val="D5734F"/>
          <w:sz w:val="24"/>
          <w:szCs w:val="18"/>
        </w:rPr>
        <w:t xml:space="preserve"> </w:t>
      </w:r>
      <w:proofErr w:type="spellStart"/>
      <w:r w:rsidRPr="00B06163">
        <w:rPr>
          <w:rFonts w:ascii="Book Antiqua" w:hAnsi="Book Antiqua" w:cs="Candara-Bold"/>
          <w:bCs/>
          <w:color w:val="D5734F"/>
          <w:sz w:val="24"/>
          <w:szCs w:val="18"/>
        </w:rPr>
        <w:t>Bamag</w:t>
      </w:r>
      <w:proofErr w:type="spellEnd"/>
      <w:r w:rsidRPr="00B06163">
        <w:rPr>
          <w:rFonts w:ascii="Book Antiqua" w:hAnsi="Book Antiqua" w:cs="Candara-Bold"/>
          <w:bCs/>
          <w:color w:val="D5734F"/>
          <w:sz w:val="24"/>
          <w:szCs w:val="18"/>
        </w:rPr>
        <w:t>, In re, September 11</w:t>
      </w:r>
      <w:r w:rsidR="00B06163" w:rsidRPr="00B06163">
        <w:rPr>
          <w:rFonts w:ascii="Book Antiqua" w:hAnsi="Book Antiqua" w:cs="Candara-Bold"/>
          <w:bCs/>
          <w:color w:val="D5734F"/>
          <w:sz w:val="24"/>
          <w:szCs w:val="18"/>
        </w:rPr>
        <w:t>, 2009</w:t>
      </w:r>
      <w:r w:rsidRPr="00B06163">
        <w:rPr>
          <w:rFonts w:ascii="Book Antiqua" w:hAnsi="Book Antiqua" w:cs="Candara-Bold"/>
          <w:bCs/>
          <w:color w:val="D5734F"/>
          <w:sz w:val="24"/>
          <w:szCs w:val="18"/>
        </w:rPr>
        <w:t xml:space="preserve"> (AAR)</w:t>
      </w:r>
    </w:p>
    <w:p w:rsidR="00B06163" w:rsidRPr="008A7F69" w:rsidRDefault="00B06163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B06163" w:rsidRDefault="00B06163" w:rsidP="00B0616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ndara-Bold"/>
          <w:b/>
          <w:bCs/>
          <w:color w:val="00B0F0"/>
          <w:sz w:val="24"/>
          <w:szCs w:val="18"/>
          <w:u w:val="single"/>
        </w:rPr>
      </w:pPr>
      <w:r w:rsidRPr="00A60A00">
        <w:rPr>
          <w:rFonts w:ascii="Book Antiqua" w:hAnsi="Book Antiqua" w:cs="Candara-Bold"/>
          <w:b/>
          <w:bCs/>
          <w:color w:val="00B0F0"/>
          <w:sz w:val="24"/>
          <w:szCs w:val="18"/>
          <w:u w:val="single"/>
        </w:rPr>
        <w:t>Key Notes:</w:t>
      </w:r>
    </w:p>
    <w:p w:rsidR="00B06163" w:rsidRDefault="00B06163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B06163" w:rsidRDefault="00B06163" w:rsidP="00B06163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-Bold"/>
          <w:bCs/>
          <w:color w:val="00B0F0"/>
          <w:sz w:val="24"/>
          <w:szCs w:val="18"/>
        </w:rPr>
      </w:pPr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>Indian sub-contractor's workplace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>cannot be treated as workplace of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>foreign enterprise and duration of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work</w:t>
      </w:r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 xml:space="preserve"> done by sub-contractor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>(whether more than sixty days or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>not) can also not be attributed to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>such</w:t>
      </w:r>
      <w:r>
        <w:rPr>
          <w:rFonts w:ascii="Book Antiqua" w:hAnsi="Book Antiqua" w:cs="Candara-Bold"/>
          <w:bCs/>
          <w:color w:val="00B0F0"/>
          <w:sz w:val="24"/>
          <w:szCs w:val="18"/>
        </w:rPr>
        <w:t xml:space="preserve"> </w:t>
      </w:r>
      <w:r w:rsidRPr="00B06163">
        <w:rPr>
          <w:rFonts w:ascii="Book Antiqua" w:hAnsi="Book Antiqua" w:cs="Candara-Bold"/>
          <w:bCs/>
          <w:color w:val="00B0F0"/>
          <w:sz w:val="24"/>
          <w:szCs w:val="18"/>
        </w:rPr>
        <w:t>non-resident</w:t>
      </w:r>
    </w:p>
    <w:p w:rsidR="00B06163" w:rsidRDefault="00B06163" w:rsidP="00B06163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-Bold"/>
          <w:bCs/>
          <w:color w:val="00B0F0"/>
          <w:sz w:val="24"/>
          <w:szCs w:val="18"/>
        </w:rPr>
      </w:pPr>
    </w:p>
    <w:p w:rsid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8A7F69">
        <w:rPr>
          <w:rFonts w:ascii="Book Antiqua" w:hAnsi="Book Antiqua" w:cs="Candara"/>
          <w:color w:val="1F1A17"/>
          <w:sz w:val="24"/>
          <w:szCs w:val="18"/>
        </w:rPr>
        <w:t>The applicant, a Germany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Company, is awarded a contract by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proofErr w:type="spellStart"/>
      <w:r w:rsidRPr="008A7F69">
        <w:rPr>
          <w:rFonts w:ascii="Book Antiqua" w:hAnsi="Book Antiqua" w:cs="Candara"/>
          <w:color w:val="1F1A17"/>
          <w:sz w:val="24"/>
          <w:szCs w:val="18"/>
        </w:rPr>
        <w:t>Tuticorin</w:t>
      </w:r>
      <w:proofErr w:type="spellEnd"/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 Port Trust ('TPT'). The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scope of work is “work design,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fabrication supply, installation,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maintenance, etc. The applicant has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sub-contracted most of the work to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an Indian sub-contractor. The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applicant undertakes the work of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study of the technical requirements,</w:t>
      </w:r>
      <w:r w:rsidR="00A763A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designing, </w:t>
      </w:r>
      <w:r w:rsidR="00A763A4" w:rsidRPr="008A7F69">
        <w:rPr>
          <w:rFonts w:ascii="Book Antiqua" w:hAnsi="Book Antiqua" w:cs="Candara"/>
          <w:color w:val="1F1A17"/>
          <w:sz w:val="24"/>
          <w:szCs w:val="18"/>
        </w:rPr>
        <w:t>and supply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 of official components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to sub-contractors supervision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of installation to be done by the subcontractor.</w:t>
      </w:r>
    </w:p>
    <w:p w:rsidR="00B06163" w:rsidRPr="008A7F69" w:rsidRDefault="00B06163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8A7F69">
        <w:rPr>
          <w:rFonts w:ascii="Book Antiqua" w:hAnsi="Book Antiqua" w:cs="Candara"/>
          <w:color w:val="1F1A17"/>
          <w:sz w:val="24"/>
          <w:szCs w:val="18"/>
        </w:rPr>
        <w:t>According to the applicant it has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no PE in India and that the supervisory</w:t>
      </w:r>
      <w:r w:rsidR="00B06163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operations which it will have to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carry out at the time of installation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and commissioning by the subcontractor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would be only for 2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months and therefore no PE exists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nor can be deemed to exist. Further,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under the terms of the DTAA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between India and Germany,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business profits received by the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applicant cannot be subjected to tax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in India.</w:t>
      </w:r>
    </w:p>
    <w:p w:rsidR="001713EA" w:rsidRPr="008A7F69" w:rsidRDefault="001713EA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8A7F69" w:rsidRP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8A7F69">
        <w:rPr>
          <w:rFonts w:ascii="Book Antiqua" w:hAnsi="Book Antiqua" w:cs="Candara"/>
          <w:color w:val="1F1A17"/>
          <w:sz w:val="24"/>
          <w:szCs w:val="18"/>
        </w:rPr>
        <w:t>The Authority for Advance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Rulings held that it is not possible to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hold that the place of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manufacture of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sub-contractor situated far away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from the installation site should</w:t>
      </w:r>
      <w:r w:rsidR="00CA79F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notionally be regarded as part of the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applicant's permanent establishment.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The </w:t>
      </w:r>
      <w:r w:rsidR="001713EA">
        <w:rPr>
          <w:rFonts w:ascii="Book Antiqua" w:hAnsi="Book Antiqua" w:cs="Candara"/>
          <w:color w:val="1F1A17"/>
          <w:sz w:val="24"/>
          <w:szCs w:val="18"/>
        </w:rPr>
        <w:t>l</w:t>
      </w:r>
      <w:r w:rsidRPr="008A7F69">
        <w:rPr>
          <w:rFonts w:ascii="Book Antiqua" w:hAnsi="Book Antiqua" w:cs="Candara"/>
          <w:color w:val="1F1A17"/>
          <w:sz w:val="24"/>
          <w:szCs w:val="18"/>
        </w:rPr>
        <w:t>anguage of the opening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proofErr w:type="spellStart"/>
      <w:r w:rsidRPr="008A7F69">
        <w:rPr>
          <w:rFonts w:ascii="Book Antiqua" w:hAnsi="Book Antiqua" w:cs="Candara"/>
          <w:color w:val="1F1A17"/>
          <w:sz w:val="24"/>
          <w:szCs w:val="18"/>
        </w:rPr>
        <w:t>para</w:t>
      </w:r>
      <w:proofErr w:type="spellEnd"/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 of Article 5 of the DTAA itself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furnishes a key to the correct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understanding of the concept of PE.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fixed place of business referred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to in </w:t>
      </w:r>
      <w:proofErr w:type="spellStart"/>
      <w:r w:rsidRPr="008A7F69">
        <w:rPr>
          <w:rFonts w:ascii="Book Antiqua" w:hAnsi="Book Antiqua" w:cs="Candara"/>
          <w:color w:val="1F1A17"/>
          <w:sz w:val="24"/>
          <w:szCs w:val="18"/>
        </w:rPr>
        <w:t>para</w:t>
      </w:r>
      <w:proofErr w:type="spellEnd"/>
      <w:r w:rsidRPr="008A7F69">
        <w:rPr>
          <w:rFonts w:ascii="Book Antiqua" w:hAnsi="Book Antiqua" w:cs="Candara"/>
          <w:color w:val="1F1A17"/>
          <w:sz w:val="24"/>
          <w:szCs w:val="18"/>
        </w:rPr>
        <w:t xml:space="preserve"> 1 of Article 5 is qualified by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words “through which the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business of an enterprise is carried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on”. The concept of PE conveys the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idea that the enterprise's presence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has to be “visible” through an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establishment in the other country.</w:t>
      </w:r>
    </w:p>
    <w:p w:rsidR="008A7F69" w:rsidRDefault="008A7F69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8A7F69">
        <w:rPr>
          <w:rFonts w:ascii="Book Antiqua" w:hAnsi="Book Antiqua" w:cs="Candara"/>
          <w:color w:val="1F1A17"/>
          <w:sz w:val="24"/>
          <w:szCs w:val="18"/>
        </w:rPr>
        <w:t>The objective presence of the foreign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enterprise in the other country as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reflected in a fixed place of business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is the real criterion for determining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existence or otherwise of PE in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that country.</w:t>
      </w:r>
    </w:p>
    <w:p w:rsidR="001713EA" w:rsidRPr="008A7F69" w:rsidRDefault="001713EA" w:rsidP="008A7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1713EA" w:rsidRDefault="008A7F69" w:rsidP="001713EA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8A7F69">
        <w:rPr>
          <w:rFonts w:ascii="Book Antiqua" w:hAnsi="Book Antiqua" w:cs="Candara"/>
          <w:color w:val="1F1A17"/>
          <w:sz w:val="24"/>
          <w:szCs w:val="18"/>
        </w:rPr>
        <w:t>The entirety of work of fabrication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and assembly is carried out by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the sub-contractor at the workshop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set up by him</w:t>
      </w:r>
      <w:r w:rsidR="00CA79F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at a place for away from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installation site and run by him</w:t>
      </w:r>
      <w:r w:rsidR="00F87EC5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independent of any control of the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applicant. Such a place of business of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8A7F69">
        <w:rPr>
          <w:rFonts w:ascii="Book Antiqua" w:hAnsi="Book Antiqua" w:cs="Candara"/>
          <w:color w:val="1F1A17"/>
          <w:sz w:val="24"/>
          <w:szCs w:val="18"/>
        </w:rPr>
        <w:t>sub- contractor cannot be regarded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1713EA" w:rsidRPr="001713EA">
        <w:rPr>
          <w:rFonts w:ascii="Book Antiqua" w:hAnsi="Book Antiqua" w:cs="Candara"/>
          <w:color w:val="1F1A17"/>
          <w:sz w:val="24"/>
          <w:szCs w:val="18"/>
        </w:rPr>
        <w:t>as the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1713EA" w:rsidRPr="001713EA">
        <w:rPr>
          <w:rFonts w:ascii="Book Antiqua" w:hAnsi="Book Antiqua" w:cs="Candara"/>
          <w:color w:val="1F1A17"/>
          <w:sz w:val="24"/>
          <w:szCs w:val="18"/>
        </w:rPr>
        <w:t>PE of applicant. In any case, the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1713EA" w:rsidRPr="001713EA">
        <w:rPr>
          <w:rFonts w:ascii="Book Antiqua" w:hAnsi="Book Antiqua" w:cs="Candara"/>
          <w:color w:val="1F1A17"/>
          <w:sz w:val="24"/>
          <w:szCs w:val="18"/>
        </w:rPr>
        <w:t>language of section 5(1) being clear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1713EA" w:rsidRPr="001713EA">
        <w:rPr>
          <w:rFonts w:ascii="Book Antiqua" w:hAnsi="Book Antiqua" w:cs="Candara"/>
          <w:color w:val="1F1A17"/>
          <w:sz w:val="24"/>
          <w:szCs w:val="18"/>
        </w:rPr>
        <w:t>and as the concept of PE does not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1713EA" w:rsidRPr="001713EA">
        <w:rPr>
          <w:rFonts w:ascii="Book Antiqua" w:hAnsi="Book Antiqua" w:cs="Candara"/>
          <w:color w:val="1F1A17"/>
          <w:sz w:val="24"/>
          <w:szCs w:val="18"/>
        </w:rPr>
        <w:t>take in the establishment of an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1713EA" w:rsidRPr="001713EA">
        <w:rPr>
          <w:rFonts w:ascii="Book Antiqua" w:hAnsi="Book Antiqua" w:cs="Candara"/>
          <w:color w:val="1F1A17"/>
          <w:sz w:val="24"/>
          <w:szCs w:val="18"/>
        </w:rPr>
        <w:lastRenderedPageBreak/>
        <w:t>independent contractor or agent. In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1713EA" w:rsidRPr="001713EA">
        <w:rPr>
          <w:rFonts w:ascii="Book Antiqua" w:hAnsi="Book Antiqua" w:cs="Candara"/>
          <w:color w:val="1F1A17"/>
          <w:sz w:val="24"/>
          <w:szCs w:val="18"/>
        </w:rPr>
        <w:t>the present case, the applicant is not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1713EA" w:rsidRPr="001713EA">
        <w:rPr>
          <w:rFonts w:ascii="Book Antiqua" w:hAnsi="Book Antiqua" w:cs="Candara"/>
          <w:color w:val="1F1A17"/>
          <w:sz w:val="24"/>
          <w:szCs w:val="18"/>
        </w:rPr>
        <w:t>relieved of the liabilities and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1713EA" w:rsidRPr="001713EA">
        <w:rPr>
          <w:rFonts w:ascii="Book Antiqua" w:hAnsi="Book Antiqua" w:cs="Candara"/>
          <w:color w:val="1F1A17"/>
          <w:sz w:val="24"/>
          <w:szCs w:val="18"/>
        </w:rPr>
        <w:t>obligations under the contract by</w:t>
      </w:r>
      <w:r w:rsidR="001713EA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="001713EA" w:rsidRPr="001713EA">
        <w:rPr>
          <w:rFonts w:ascii="Book Antiqua" w:hAnsi="Book Antiqua" w:cs="Candara"/>
          <w:color w:val="1F1A17"/>
          <w:sz w:val="24"/>
          <w:szCs w:val="18"/>
        </w:rPr>
        <w:t>reason of sub-contract.</w:t>
      </w:r>
    </w:p>
    <w:p w:rsidR="001713EA" w:rsidRPr="001713EA" w:rsidRDefault="001713EA" w:rsidP="001713EA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1713EA" w:rsidRDefault="001713EA" w:rsidP="001713EA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1713EA">
        <w:rPr>
          <w:rFonts w:ascii="Book Antiqua" w:hAnsi="Book Antiqua" w:cs="Candara"/>
          <w:color w:val="1F1A17"/>
          <w:sz w:val="24"/>
          <w:szCs w:val="18"/>
        </w:rPr>
        <w:t>It is difficult to infer that a fixed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place of business existed throughout,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with the applicant's personnel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making use of the same with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frequency and regularity. An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occasional or brief visit by some of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the employees of the applicant right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from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the beginning does not give rise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to inference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of the existence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of PE.</w:t>
      </w:r>
    </w:p>
    <w:p w:rsidR="00D507CB" w:rsidRPr="001713EA" w:rsidRDefault="00D507CB" w:rsidP="001713EA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1713EA" w:rsidRDefault="001713EA" w:rsidP="001713EA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  <w:r w:rsidRPr="001713EA">
        <w:rPr>
          <w:rFonts w:ascii="Book Antiqua" w:hAnsi="Book Antiqua" w:cs="Candara"/>
          <w:color w:val="1F1A17"/>
          <w:sz w:val="24"/>
          <w:szCs w:val="18"/>
        </w:rPr>
        <w:t>Taking an overall view, it appears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the need for setting up the PE would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arise sometime before the installation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and commissioning operations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begin. Since the duration of the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applicant's activities at the site/yard</w:t>
      </w:r>
      <w:r w:rsidR="00D507CB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as well as the supervisory activities at</w:t>
      </w:r>
      <w:r w:rsidR="006951E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the stage of installation and</w:t>
      </w:r>
      <w:r w:rsidR="006951E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commissioning will not exceed six</w:t>
      </w:r>
      <w:r w:rsidR="006951E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months, it is not possible to hold that</w:t>
      </w:r>
      <w:r w:rsidR="00CA79F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the applicant has or will have a PE in</w:t>
      </w:r>
      <w:r w:rsidR="006951E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India. Hence, its business profits</w:t>
      </w:r>
      <w:r w:rsidR="006951E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arising from the periodical payments</w:t>
      </w:r>
      <w:r w:rsidR="006951E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made by the port trust as a consideration</w:t>
      </w:r>
      <w:r w:rsidR="006951E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for the contract cannot be</w:t>
      </w:r>
      <w:r w:rsidR="00CA79F2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subjected to tax under the Income</w:t>
      </w:r>
      <w:r w:rsidR="006951E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tax</w:t>
      </w:r>
      <w:r w:rsidR="006951E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Act, 1961 in view of Article 7.1 of</w:t>
      </w:r>
      <w:r w:rsidR="006951E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the</w:t>
      </w:r>
      <w:r w:rsidR="00A763A4">
        <w:rPr>
          <w:rFonts w:ascii="Book Antiqua" w:hAnsi="Book Antiqua" w:cs="Candara"/>
          <w:color w:val="1F1A17"/>
          <w:sz w:val="24"/>
          <w:szCs w:val="18"/>
        </w:rPr>
        <w:t xml:space="preserve"> </w:t>
      </w:r>
      <w:r w:rsidRPr="001713EA">
        <w:rPr>
          <w:rFonts w:ascii="Book Antiqua" w:hAnsi="Book Antiqua" w:cs="Candara"/>
          <w:color w:val="1F1A17"/>
          <w:sz w:val="24"/>
          <w:szCs w:val="18"/>
        </w:rPr>
        <w:t>DTAA.</w:t>
      </w:r>
    </w:p>
    <w:p w:rsidR="006951E4" w:rsidRDefault="006951E4" w:rsidP="001713EA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p w:rsidR="006951E4" w:rsidRPr="001713EA" w:rsidRDefault="006951E4" w:rsidP="001713EA">
      <w:pPr>
        <w:autoSpaceDE w:val="0"/>
        <w:autoSpaceDN w:val="0"/>
        <w:adjustRightInd w:val="0"/>
        <w:spacing w:after="0" w:line="240" w:lineRule="auto"/>
        <w:rPr>
          <w:rFonts w:ascii="Book Antiqua" w:hAnsi="Book Antiqua" w:cs="Candara"/>
          <w:color w:val="1F1A17"/>
          <w:sz w:val="24"/>
          <w:szCs w:val="18"/>
        </w:rPr>
      </w:pPr>
    </w:p>
    <w:sectPr w:rsidR="006951E4" w:rsidRPr="001713EA" w:rsidSect="00A20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ndar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ndar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wiss721BT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60A00"/>
    <w:rsid w:val="001713EA"/>
    <w:rsid w:val="004F1C42"/>
    <w:rsid w:val="006951E4"/>
    <w:rsid w:val="00771EFD"/>
    <w:rsid w:val="008A7F69"/>
    <w:rsid w:val="00A20C59"/>
    <w:rsid w:val="00A60A00"/>
    <w:rsid w:val="00A763A4"/>
    <w:rsid w:val="00AE72A3"/>
    <w:rsid w:val="00B06163"/>
    <w:rsid w:val="00C0005B"/>
    <w:rsid w:val="00CA79F2"/>
    <w:rsid w:val="00CF472F"/>
    <w:rsid w:val="00D507CB"/>
    <w:rsid w:val="00E358D3"/>
    <w:rsid w:val="00F87EC5"/>
    <w:rsid w:val="00FF2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A606E-5F8B-47B0-BAA1-83B58F7D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mv15856</dc:creator>
  <cp:keywords/>
  <dc:description/>
  <cp:lastModifiedBy>mv15856</cp:lastModifiedBy>
  <cp:revision>18</cp:revision>
  <dcterms:created xsi:type="dcterms:W3CDTF">2009-12-14T09:38:00Z</dcterms:created>
  <dcterms:modified xsi:type="dcterms:W3CDTF">2009-12-14T11:17:00Z</dcterms:modified>
</cp:coreProperties>
</file>