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2F2F2" w:themeFill="background1" w:themeFillShade="F2"/>
        <w:tblCellMar>
          <w:left w:w="0" w:type="dxa"/>
          <w:right w:w="0" w:type="dxa"/>
        </w:tblCellMar>
        <w:tblLook w:val="04A0"/>
      </w:tblPr>
      <w:tblGrid>
        <w:gridCol w:w="9360"/>
      </w:tblGrid>
      <w:tr w:rsidR="007E0BC6" w:rsidRPr="007E0BC6" w:rsidTr="007E0BC6">
        <w:tc>
          <w:tcPr>
            <w:tcW w:w="5000" w:type="pct"/>
            <w:tcBorders>
              <w:top w:val="nil"/>
              <w:left w:val="nil"/>
              <w:bottom w:val="nil"/>
              <w:right w:val="nil"/>
            </w:tcBorders>
            <w:shd w:val="clear" w:color="auto" w:fill="F2F2F2" w:themeFill="background1" w:themeFillShade="F2"/>
            <w:vAlign w:val="center"/>
            <w:hideMark/>
          </w:tcPr>
          <w:p w:rsidR="007E0BC6" w:rsidRPr="007E0BC6" w:rsidRDefault="007E0BC6" w:rsidP="007E0BC6">
            <w:pPr>
              <w:spacing w:before="50" w:after="50" w:line="240" w:lineRule="auto"/>
              <w:jc w:val="center"/>
              <w:rPr>
                <w:rFonts w:ascii="Verdana" w:eastAsia="Times New Roman" w:hAnsi="Verdana" w:cs="Times New Roman"/>
                <w:b/>
                <w:bCs/>
                <w:color w:val="000000" w:themeColor="text1"/>
                <w:sz w:val="27"/>
                <w:szCs w:val="27"/>
              </w:rPr>
            </w:pPr>
            <w:r w:rsidRPr="007E0BC6">
              <w:rPr>
                <w:rFonts w:ascii="Verdana" w:eastAsia="Times New Roman" w:hAnsi="Verdana" w:cs="Times New Roman"/>
                <w:b/>
                <w:bCs/>
                <w:caps/>
                <w:color w:val="000000" w:themeColor="text1"/>
                <w:sz w:val="27"/>
                <w:szCs w:val="27"/>
              </w:rPr>
              <w:t>Important DUE DATES</w:t>
            </w:r>
          </w:p>
        </w:tc>
      </w:tr>
    </w:tbl>
    <w:p w:rsidR="007E0BC6" w:rsidRPr="007E0BC6" w:rsidRDefault="007E0BC6" w:rsidP="007E0BC6">
      <w:pPr>
        <w:spacing w:before="84" w:after="84" w:line="240" w:lineRule="auto"/>
        <w:jc w:val="center"/>
        <w:rPr>
          <w:rFonts w:ascii="Times New Roman" w:eastAsia="Times New Roman" w:hAnsi="Times New Roman" w:cs="Times New Roman"/>
          <w:color w:val="F2F2F2" w:themeColor="background1" w:themeShade="F2"/>
          <w:sz w:val="24"/>
          <w:szCs w:val="24"/>
        </w:rPr>
      </w:pPr>
      <w:r w:rsidRPr="007E0BC6">
        <w:rPr>
          <w:rFonts w:ascii="Times New Roman" w:eastAsia="Times New Roman" w:hAnsi="Times New Roman" w:cs="Times New Roman"/>
          <w:color w:val="F2F2F2" w:themeColor="background1" w:themeShade="F2"/>
          <w:sz w:val="24"/>
          <w:szCs w:val="24"/>
        </w:rPr>
        <w:t> </w:t>
      </w:r>
    </w:p>
    <w:tbl>
      <w:tblPr>
        <w:tblW w:w="4500" w:type="pct"/>
        <w:jc w:val="center"/>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2868"/>
        <w:gridCol w:w="1067"/>
        <w:gridCol w:w="632"/>
        <w:gridCol w:w="629"/>
        <w:gridCol w:w="553"/>
        <w:gridCol w:w="679"/>
        <w:gridCol w:w="552"/>
        <w:gridCol w:w="589"/>
        <w:gridCol w:w="560"/>
        <w:gridCol w:w="783"/>
      </w:tblGrid>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Nature</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Details</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April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June</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July</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Sept.</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Oct.</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Dec.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Jan.</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March</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TDS RETURNS</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Form No.</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Salaries &amp; other than Salaries</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 24Q,26Q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Quarter ending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June</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September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December</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March</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Payments to Non Residents / NORs (Quarterly)</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27Q</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Payment to Non-Resident/NOR</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Quarter ending</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June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September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December</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March</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Quarterly return of non-deduction at source by a banking company from interest on time deposit for each quarter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26QAA </w:t>
            </w:r>
          </w:p>
        </w:tc>
        <w:tc>
          <w:tcPr>
            <w:tcW w:w="121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June/September/December</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31</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31</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31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13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March</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21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12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bl>
    <w:p w:rsidR="007E0BC6" w:rsidRDefault="007E0BC6" w:rsidP="007E0BC6">
      <w:pPr>
        <w:spacing w:before="100" w:beforeAutospacing="1" w:after="100" w:afterAutospacing="1" w:line="240" w:lineRule="auto"/>
        <w:rPr>
          <w:rFonts w:ascii="Verdana" w:eastAsia="Times New Roman" w:hAnsi="Verdana" w:cs="Times New Roman"/>
          <w:b/>
          <w:bCs/>
          <w:sz w:val="20"/>
          <w:szCs w:val="20"/>
        </w:rPr>
      </w:pPr>
    </w:p>
    <w:p w:rsidR="007E0BC6" w:rsidRDefault="007E0BC6" w:rsidP="007E0BC6">
      <w:pPr>
        <w:spacing w:before="100" w:beforeAutospacing="1" w:after="100" w:afterAutospacing="1" w:line="240" w:lineRule="auto"/>
        <w:rPr>
          <w:rFonts w:ascii="Verdana" w:eastAsia="Times New Roman" w:hAnsi="Verdana" w:cs="Times New Roman"/>
          <w:b/>
          <w:bCs/>
          <w:sz w:val="20"/>
          <w:szCs w:val="20"/>
        </w:rPr>
      </w:pPr>
    </w:p>
    <w:p w:rsidR="007E0BC6" w:rsidRDefault="007E0BC6" w:rsidP="007E0BC6">
      <w:pPr>
        <w:spacing w:before="100" w:beforeAutospacing="1" w:after="100" w:afterAutospacing="1" w:line="240" w:lineRule="auto"/>
        <w:rPr>
          <w:rFonts w:ascii="Verdana" w:eastAsia="Times New Roman" w:hAnsi="Verdana" w:cs="Times New Roman"/>
          <w:b/>
          <w:bCs/>
          <w:sz w:val="20"/>
          <w:szCs w:val="20"/>
        </w:rPr>
      </w:pPr>
    </w:p>
    <w:p w:rsidR="007E0BC6" w:rsidRDefault="007E0BC6" w:rsidP="007E0BC6">
      <w:pPr>
        <w:spacing w:before="100" w:beforeAutospacing="1" w:after="100" w:afterAutospacing="1" w:line="240" w:lineRule="auto"/>
        <w:rPr>
          <w:rFonts w:ascii="Verdana" w:eastAsia="Times New Roman" w:hAnsi="Verdana" w:cs="Times New Roman"/>
          <w:b/>
          <w:bCs/>
          <w:sz w:val="20"/>
          <w:szCs w:val="20"/>
        </w:rPr>
      </w:pPr>
    </w:p>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b/>
          <w:bCs/>
          <w:sz w:val="20"/>
          <w:szCs w:val="20"/>
        </w:rPr>
        <w:lastRenderedPageBreak/>
        <w:t>RETURNS OF INCOME (ROI) AND WEALTH (ROW)</w:t>
      </w:r>
    </w:p>
    <w:tbl>
      <w:tblPr>
        <w:tblW w:w="4500" w:type="pct"/>
        <w:jc w:val="center"/>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337"/>
        <w:gridCol w:w="2006"/>
        <w:gridCol w:w="798"/>
        <w:gridCol w:w="683"/>
        <w:gridCol w:w="676"/>
        <w:gridCol w:w="605"/>
        <w:gridCol w:w="709"/>
        <w:gridCol w:w="592"/>
        <w:gridCol w:w="633"/>
        <w:gridCol w:w="595"/>
        <w:gridCol w:w="790"/>
      </w:tblGrid>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INCOME</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 Form No.</w:t>
            </w:r>
            <w:r w:rsidRPr="007E0BC6">
              <w:rPr>
                <w:rFonts w:ascii="Verdana" w:eastAsia="Times New Roman" w:hAnsi="Verdana" w:cs="Times New Roman"/>
                <w:b/>
                <w:bCs/>
                <w:i/>
                <w:iCs/>
                <w:sz w:val="20"/>
                <w:szCs w:val="20"/>
              </w:rPr>
              <w:t xml:space="preserve"> </w:t>
            </w:r>
            <w:r w:rsidRPr="007E0BC6">
              <w:rPr>
                <w:rFonts w:ascii="Verdana" w:eastAsia="Times New Roman" w:hAnsi="Verdana" w:cs="Times New Roman"/>
                <w:b/>
                <w:bCs/>
                <w:i/>
                <w:iCs/>
                <w:sz w:val="20"/>
                <w:szCs w:val="20"/>
              </w:rPr>
              <w:br/>
              <w:t xml:space="preserve">ROI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ROW</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June</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July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Sept.</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Oct.</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Dec.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Jan.</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March</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1</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Companies other than those claiming exemption u /s. 11</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ITR- 6*</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BA</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2</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Individuals &amp; HUF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Individuals and HUF having proprietary business or profession</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ITR- 4</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BA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If under audit</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not under audit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31 </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Individuals and HUF being partners in firm not having proprietary business or profession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ITR- 3</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BA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partner where partnership firm under audit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30</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partner where partnership firm not under audit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31</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Individuals and HUF having sources of income other than business or profession  </w:t>
            </w:r>
          </w:p>
        </w:tc>
        <w:tc>
          <w:tcPr>
            <w:tcW w:w="117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ITR- 2</w:t>
            </w:r>
          </w:p>
        </w:tc>
        <w:tc>
          <w:tcPr>
            <w:tcW w:w="90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BA </w:t>
            </w:r>
          </w:p>
        </w:tc>
        <w:tc>
          <w:tcPr>
            <w:tcW w:w="102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31</w:t>
            </w:r>
          </w:p>
        </w:tc>
        <w:tc>
          <w:tcPr>
            <w:tcW w:w="93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nil"/>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Individuals having only income from salary and interest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ITR- 1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BA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31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FIRMS/AOP/BOI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ITR- 5 *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N.A.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under audit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lastRenderedPageBreak/>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not under audit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31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4</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Charitable and religious Trusts, non profit organisations, political parties</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ITR- 7 *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N.A.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under audit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rPr>
          <w:jc w:val="center"/>
        </w:trPr>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411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If not under audit </w:t>
            </w:r>
          </w:p>
        </w:tc>
        <w:tc>
          <w:tcPr>
            <w:tcW w:w="117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31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4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bl>
    <w:p w:rsidR="007E0BC6" w:rsidRDefault="007E0BC6" w:rsidP="007E0BC6">
      <w:pPr>
        <w:spacing w:beforeAutospacing="1" w:after="100" w:afterAutospacing="1" w:line="240" w:lineRule="auto"/>
        <w:rPr>
          <w:rFonts w:ascii="Verdana" w:eastAsia="Times New Roman" w:hAnsi="Verdana" w:cs="Times New Roman"/>
          <w:sz w:val="20"/>
          <w:szCs w:val="20"/>
        </w:rPr>
      </w:pPr>
    </w:p>
    <w:p w:rsidR="007E0BC6" w:rsidRDefault="007E0BC6" w:rsidP="007E0BC6">
      <w:pPr>
        <w:spacing w:beforeAutospacing="1" w:after="100" w:afterAutospacing="1" w:line="240" w:lineRule="auto"/>
        <w:rPr>
          <w:rFonts w:ascii="Verdana" w:eastAsia="Times New Roman" w:hAnsi="Verdana" w:cs="Times New Roman"/>
          <w:sz w:val="20"/>
          <w:szCs w:val="20"/>
        </w:rPr>
      </w:pPr>
    </w:p>
    <w:p w:rsidR="007E0BC6" w:rsidRPr="007E0BC6" w:rsidRDefault="007E0BC6" w:rsidP="007E0BC6">
      <w:pPr>
        <w:spacing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br/>
        <w:t xml:space="preserve">Belated returns can be filed before March 31, of the assessment year to avoid any penalty u/s 271F of Rs. 5,000. </w:t>
      </w:r>
    </w:p>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Belated returns for an assessment year can be filed up to one year after the end of the assessment year or before completion of assessment whichever is earlier. </w:t>
      </w:r>
    </w:p>
    <w:tbl>
      <w:tblPr>
        <w:tblW w:w="4500" w:type="pct"/>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343"/>
        <w:gridCol w:w="1324"/>
        <w:gridCol w:w="1330"/>
        <w:gridCol w:w="855"/>
        <w:gridCol w:w="632"/>
        <w:gridCol w:w="629"/>
        <w:gridCol w:w="553"/>
        <w:gridCol w:w="679"/>
        <w:gridCol w:w="552"/>
        <w:gridCol w:w="589"/>
        <w:gridCol w:w="560"/>
        <w:gridCol w:w="783"/>
      </w:tblGrid>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 xml:space="preserve">ADVANCE TAX PAYMENTS </w:t>
            </w:r>
          </w:p>
        </w:tc>
        <w:tc>
          <w:tcPr>
            <w:tcW w:w="2985" w:type="dxa"/>
            <w:gridSpan w:val="3"/>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AGGREGATE TAX PAYABLE</w:t>
            </w:r>
            <w:r w:rsidRPr="007E0BC6">
              <w:rPr>
                <w:rFonts w:ascii="Verdana" w:eastAsia="Times New Roman" w:hAnsi="Verdana" w:cs="Times New Roman"/>
                <w:b/>
                <w:bCs/>
                <w:sz w:val="20"/>
                <w:szCs w:val="20"/>
              </w:rPr>
              <w:br/>
              <w:t>UP TO DUE DATE</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a)</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5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Companies</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Others</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April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June</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July</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Sept.</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Oct.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Dec.</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Jan.</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March</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 First Instalment  </w:t>
            </w:r>
          </w:p>
        </w:tc>
        <w:tc>
          <w:tcPr>
            <w:tcW w:w="105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NIL</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2 Second Instalment </w:t>
            </w:r>
          </w:p>
        </w:tc>
        <w:tc>
          <w:tcPr>
            <w:tcW w:w="105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45%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30%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3 Third Instalment </w:t>
            </w:r>
          </w:p>
        </w:tc>
        <w:tc>
          <w:tcPr>
            <w:tcW w:w="105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75%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60%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220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4 Final Instalment </w:t>
            </w:r>
          </w:p>
        </w:tc>
        <w:tc>
          <w:tcPr>
            <w:tcW w:w="105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100% </w:t>
            </w:r>
          </w:p>
        </w:tc>
        <w:tc>
          <w:tcPr>
            <w:tcW w:w="90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100%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3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r>
    </w:tbl>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bl>
      <w:tblPr>
        <w:tblW w:w="4500" w:type="pct"/>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336"/>
        <w:gridCol w:w="2850"/>
        <w:gridCol w:w="1266"/>
        <w:gridCol w:w="650"/>
        <w:gridCol w:w="642"/>
        <w:gridCol w:w="531"/>
        <w:gridCol w:w="597"/>
        <w:gridCol w:w="478"/>
        <w:gridCol w:w="612"/>
        <w:gridCol w:w="462"/>
      </w:tblGrid>
      <w:tr w:rsidR="007E0BC6" w:rsidRPr="007E0BC6" w:rsidTr="007E0BC6">
        <w:tc>
          <w:tcPr>
            <w:tcW w:w="0" w:type="auto"/>
            <w:gridSpan w:val="2"/>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RETURNS OF TAX COLLECTON AT SOURCE</w:t>
            </w:r>
          </w:p>
        </w:tc>
        <w:tc>
          <w:tcPr>
            <w:tcW w:w="19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b/>
                <w:bCs/>
                <w:i/>
                <w:iCs/>
                <w:sz w:val="20"/>
                <w:szCs w:val="20"/>
              </w:rPr>
              <w:t xml:space="preserve">Form No. </w:t>
            </w:r>
          </w:p>
        </w:tc>
        <w:tc>
          <w:tcPr>
            <w:tcW w:w="10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a)</w:t>
            </w:r>
          </w:p>
        </w:tc>
        <w:tc>
          <w:tcPr>
            <w:tcW w:w="3255" w:type="dxa"/>
            <w:tcBorders>
              <w:top w:val="nil"/>
              <w:left w:val="nil"/>
              <w:bottom w:val="outset" w:sz="6" w:space="0" w:color="111111"/>
              <w:right w:val="nil"/>
            </w:tcBorders>
            <w:hideMark/>
          </w:tcPr>
          <w:p w:rsidR="007E0BC6" w:rsidRPr="007E0BC6" w:rsidRDefault="007E0BC6" w:rsidP="007E0BC6">
            <w:pPr>
              <w:spacing w:after="0"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Return for the Quarter ending March 31, 2010</w:t>
            </w:r>
          </w:p>
        </w:tc>
        <w:tc>
          <w:tcPr>
            <w:tcW w:w="19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27EQ </w:t>
            </w:r>
          </w:p>
        </w:tc>
        <w:tc>
          <w:tcPr>
            <w:tcW w:w="10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102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9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8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200" w:type="pct"/>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b)</w:t>
            </w:r>
          </w:p>
        </w:tc>
        <w:tc>
          <w:tcPr>
            <w:tcW w:w="3255" w:type="dxa"/>
            <w:tcBorders>
              <w:top w:val="nil"/>
              <w:left w:val="nil"/>
              <w:bottom w:val="outset" w:sz="6" w:space="0" w:color="111111"/>
              <w:right w:val="nil"/>
            </w:tcBorders>
            <w:hideMark/>
          </w:tcPr>
          <w:p w:rsidR="007E0BC6" w:rsidRPr="007E0BC6" w:rsidRDefault="007E0BC6" w:rsidP="007E0BC6">
            <w:pPr>
              <w:spacing w:after="0"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Quarterly Returns   </w:t>
            </w:r>
          </w:p>
        </w:tc>
        <w:tc>
          <w:tcPr>
            <w:tcW w:w="19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27EQ</w:t>
            </w:r>
          </w:p>
        </w:tc>
        <w:tc>
          <w:tcPr>
            <w:tcW w:w="103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102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99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3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15</w:t>
            </w:r>
          </w:p>
        </w:tc>
        <w:tc>
          <w:tcPr>
            <w:tcW w:w="88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60"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15 </w:t>
            </w:r>
          </w:p>
        </w:tc>
        <w:tc>
          <w:tcPr>
            <w:tcW w:w="855" w:type="dxa"/>
            <w:tcBorders>
              <w:top w:val="nil"/>
              <w:left w:val="nil"/>
              <w:bottom w:val="outset" w:sz="6" w:space="0" w:color="111111"/>
              <w:right w:val="nil"/>
            </w:tcBorders>
            <w:hideMark/>
          </w:tcPr>
          <w:p w:rsidR="007E0BC6" w:rsidRPr="007E0BC6" w:rsidRDefault="007E0BC6" w:rsidP="007E0BC6">
            <w:pPr>
              <w:spacing w:after="0" w:line="240" w:lineRule="auto"/>
              <w:jc w:val="center"/>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bl>
    <w:p w:rsidR="007E0BC6" w:rsidRDefault="007E0BC6" w:rsidP="007E0BC6">
      <w:pPr>
        <w:spacing w:before="100" w:beforeAutospacing="1" w:after="100" w:afterAutospacing="1" w:line="240" w:lineRule="auto"/>
        <w:rPr>
          <w:rFonts w:ascii="Verdana" w:eastAsia="Times New Roman" w:hAnsi="Verdana" w:cs="Times New Roman"/>
          <w:b/>
          <w:bCs/>
          <w:caps/>
          <w:sz w:val="20"/>
          <w:szCs w:val="20"/>
        </w:rPr>
      </w:pPr>
      <w:r w:rsidRPr="007E0BC6">
        <w:rPr>
          <w:rFonts w:ascii="Verdana" w:eastAsia="Times New Roman" w:hAnsi="Verdana" w:cs="Times New Roman"/>
          <w:b/>
          <w:bCs/>
          <w:caps/>
          <w:sz w:val="20"/>
          <w:szCs w:val="20"/>
        </w:rPr>
        <w:t> </w:t>
      </w:r>
    </w:p>
    <w:p w:rsidR="007E0BC6" w:rsidRDefault="007E0BC6" w:rsidP="007E0BC6">
      <w:pPr>
        <w:spacing w:before="100" w:beforeAutospacing="1" w:after="100" w:afterAutospacing="1" w:line="240" w:lineRule="auto"/>
        <w:rPr>
          <w:rFonts w:ascii="Verdana" w:eastAsia="Times New Roman" w:hAnsi="Verdana" w:cs="Times New Roman"/>
          <w:b/>
          <w:bCs/>
          <w:caps/>
          <w:sz w:val="20"/>
          <w:szCs w:val="20"/>
        </w:rPr>
      </w:pPr>
    </w:p>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b/>
          <w:bCs/>
          <w:caps/>
          <w:sz w:val="20"/>
          <w:szCs w:val="20"/>
        </w:rPr>
        <w:t>DATES FOR DEPOSIT OF TAX and submission of forms for tax DEDUCTED / collected AT SOURCE</w:t>
      </w:r>
    </w:p>
    <w:tbl>
      <w:tblPr>
        <w:tblW w:w="4000" w:type="pct"/>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1797"/>
        <w:gridCol w:w="5691"/>
      </w:tblGrid>
      <w:tr w:rsidR="007E0BC6" w:rsidRPr="007E0BC6" w:rsidTr="007E0BC6">
        <w:tc>
          <w:tcPr>
            <w:tcW w:w="12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TDS - Salaries</w:t>
            </w:r>
          </w:p>
        </w:tc>
        <w:tc>
          <w:tcPr>
            <w:tcW w:w="85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Within 7 days from the end of the month in which it was deducted.</w:t>
            </w:r>
          </w:p>
        </w:tc>
      </w:tr>
      <w:tr w:rsidR="007E0BC6" w:rsidRPr="007E0BC6" w:rsidTr="007E0BC6">
        <w:tc>
          <w:tcPr>
            <w:tcW w:w="12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TDS - Other than Salaries</w:t>
            </w:r>
          </w:p>
        </w:tc>
        <w:tc>
          <w:tcPr>
            <w:tcW w:w="85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Within 7 days from the end of the month in which it was deducted.</w:t>
            </w:r>
          </w:p>
        </w:tc>
      </w:tr>
      <w:tr w:rsidR="007E0BC6" w:rsidRPr="007E0BC6" w:rsidTr="007E0BC6">
        <w:tc>
          <w:tcPr>
            <w:tcW w:w="12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85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If the amount is credited on March 31, then before May 31.</w:t>
            </w:r>
          </w:p>
        </w:tc>
      </w:tr>
      <w:tr w:rsidR="007E0BC6" w:rsidRPr="007E0BC6" w:rsidTr="007E0BC6">
        <w:tc>
          <w:tcPr>
            <w:tcW w:w="12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Tax Collected at Source </w:t>
            </w:r>
          </w:p>
        </w:tc>
        <w:tc>
          <w:tcPr>
            <w:tcW w:w="85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Within 7 days from the end of the month in which it was collected.</w:t>
            </w:r>
          </w:p>
        </w:tc>
      </w:tr>
      <w:tr w:rsidR="007E0BC6" w:rsidRPr="007E0BC6" w:rsidTr="007E0BC6">
        <w:tc>
          <w:tcPr>
            <w:tcW w:w="1200" w:type="pct"/>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Form 15H and Form 15-I</w:t>
            </w:r>
          </w:p>
        </w:tc>
        <w:tc>
          <w:tcPr>
            <w:tcW w:w="8595" w:type="dxa"/>
            <w:tcBorders>
              <w:top w:val="nil"/>
              <w:left w:val="nil"/>
              <w:bottom w:val="nil"/>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Within 7 days from the end of the month in which it is received.</w:t>
            </w:r>
          </w:p>
        </w:tc>
      </w:tr>
      <w:tr w:rsidR="007E0BC6" w:rsidRPr="007E0BC6" w:rsidTr="007E0BC6">
        <w:tc>
          <w:tcPr>
            <w:tcW w:w="1200" w:type="pct"/>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Form 15J</w:t>
            </w:r>
          </w:p>
        </w:tc>
        <w:tc>
          <w:tcPr>
            <w:tcW w:w="8595" w:type="dxa"/>
            <w:tcBorders>
              <w:top w:val="nil"/>
              <w:left w:val="nil"/>
              <w:bottom w:val="outset" w:sz="6" w:space="0" w:color="111111"/>
              <w:right w:val="nil"/>
            </w:tcBorders>
            <w:hideMark/>
          </w:tcPr>
          <w:p w:rsidR="007E0BC6" w:rsidRPr="007E0BC6" w:rsidRDefault="007E0BC6" w:rsidP="007E0BC6">
            <w:pPr>
              <w:spacing w:before="84" w:after="84" w:line="240" w:lineRule="auto"/>
              <w:ind w:left="50" w:right="50"/>
              <w:rPr>
                <w:rFonts w:ascii="Times New Roman" w:eastAsia="Times New Roman" w:hAnsi="Times New Roman" w:cs="Times New Roman"/>
                <w:sz w:val="24"/>
                <w:szCs w:val="24"/>
              </w:rPr>
            </w:pPr>
            <w:r w:rsidRPr="007E0BC6">
              <w:rPr>
                <w:rFonts w:ascii="Verdana" w:eastAsia="Times New Roman" w:hAnsi="Verdana" w:cs="Times New Roman"/>
                <w:sz w:val="20"/>
                <w:szCs w:val="20"/>
              </w:rPr>
              <w:t>On or before 30th June following the financial year in which Form 15J received.</w:t>
            </w:r>
          </w:p>
        </w:tc>
      </w:tr>
    </w:tbl>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Note: TDS payments (Other than Salaries) in respect of payments/credits made during April 1 &amp; February 28, where TDS is not deducted or after deduction not paid, to avoid disallowance of expenditure under section 40(a</w:t>
      </w:r>
      <w:proofErr w:type="gramStart"/>
      <w:r w:rsidRPr="007E0BC6">
        <w:rPr>
          <w:rFonts w:ascii="Verdana" w:eastAsia="Times New Roman" w:hAnsi="Verdana" w:cs="Times New Roman"/>
          <w:sz w:val="20"/>
          <w:szCs w:val="20"/>
        </w:rPr>
        <w:t>)(</w:t>
      </w:r>
      <w:proofErr w:type="gramEnd"/>
      <w:r w:rsidRPr="007E0BC6">
        <w:rPr>
          <w:rFonts w:ascii="Verdana" w:eastAsia="Times New Roman" w:hAnsi="Verdana" w:cs="Times New Roman"/>
          <w:sz w:val="20"/>
          <w:szCs w:val="20"/>
        </w:rPr>
        <w:t>i) to be paid by March 31 and in respect of credits / payments made during March can be paid up to due date of filing return of income u/s 139(1).</w:t>
      </w:r>
    </w:p>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FILING OF APPEALS</w:t>
      </w:r>
    </w:p>
    <w:tbl>
      <w:tblPr>
        <w:tblW w:w="4650" w:type="pct"/>
        <w:tblBorders>
          <w:top w:val="outset" w:sz="6" w:space="0" w:color="111111"/>
          <w:left w:val="outset" w:sz="2" w:space="0" w:color="111111"/>
          <w:bottom w:val="outset" w:sz="6" w:space="0" w:color="111111"/>
          <w:right w:val="outset" w:sz="2" w:space="0" w:color="111111"/>
        </w:tblBorders>
        <w:tblCellMar>
          <w:left w:w="0" w:type="dxa"/>
          <w:right w:w="0" w:type="dxa"/>
        </w:tblCellMar>
        <w:tblLook w:val="04A0"/>
      </w:tblPr>
      <w:tblGrid>
        <w:gridCol w:w="2786"/>
        <w:gridCol w:w="5919"/>
      </w:tblGrid>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Appeal to Commissioner of Income-tax (Appeals)</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 Form 35, within 30 days from the date of receipt of the order to be appealed against </w:t>
            </w:r>
            <w:r w:rsidRPr="007E0BC6">
              <w:rPr>
                <w:rFonts w:ascii="Verdana" w:eastAsia="Times New Roman" w:hAnsi="Verdana" w:cs="Times New Roman"/>
                <w:sz w:val="20"/>
                <w:szCs w:val="20"/>
              </w:rPr>
              <w:br/>
              <w:t> </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Appeal to Income-tax Appellate Tribunal</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In Form 36, within 60 days from the date of receipt of order to be appealed against </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Appeal before High Court</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within 120 days from the date of receipt of order to be appealed against </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Filing of Memorandum of Cross Objections</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In Form 36A, within 30 days from the date of receipt of the notice/Form 36</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Times New Roman" w:eastAsia="Times New Roman" w:hAnsi="Times New Roman" w:cs="Times New Roman"/>
                <w:sz w:val="24"/>
                <w:szCs w:val="24"/>
              </w:rPr>
              <w:t> </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PAYMENT OF DIVIDEND DISTRIBUTION TAX UNDER SECTION 115-O</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Within 14 days from the date of declaration of dividend.</w:t>
            </w:r>
          </w:p>
        </w:tc>
      </w:tr>
      <w:tr w:rsidR="007E0BC6" w:rsidRPr="007E0BC6" w:rsidTr="007E0BC6">
        <w:tc>
          <w:tcPr>
            <w:tcW w:w="1600" w:type="pct"/>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Annual Information returns</w:t>
            </w:r>
          </w:p>
        </w:tc>
        <w:tc>
          <w:tcPr>
            <w:tcW w:w="9285" w:type="dxa"/>
            <w:tcBorders>
              <w:top w:val="nil"/>
              <w:left w:val="nil"/>
              <w:bottom w:val="outset" w:sz="6" w:space="0" w:color="111111"/>
              <w:right w:val="nil"/>
            </w:tcBorders>
            <w:hideMark/>
          </w:tcPr>
          <w:p w:rsidR="007E0BC6" w:rsidRPr="007E0BC6" w:rsidRDefault="007E0BC6" w:rsidP="007E0BC6">
            <w:pPr>
              <w:spacing w:before="117" w:after="117" w:line="240" w:lineRule="auto"/>
              <w:rPr>
                <w:rFonts w:ascii="Times New Roman" w:eastAsia="Times New Roman" w:hAnsi="Times New Roman" w:cs="Times New Roman"/>
                <w:sz w:val="24"/>
                <w:szCs w:val="24"/>
              </w:rPr>
            </w:pPr>
            <w:r w:rsidRPr="007E0BC6">
              <w:rPr>
                <w:rFonts w:ascii="Verdana" w:eastAsia="Times New Roman" w:hAnsi="Verdana" w:cs="Times New Roman"/>
                <w:sz w:val="20"/>
                <w:szCs w:val="20"/>
              </w:rPr>
              <w:t>Before August 31 after the end of the year</w:t>
            </w:r>
          </w:p>
        </w:tc>
      </w:tr>
    </w:tbl>
    <w:p w:rsidR="007E0BC6" w:rsidRDefault="007E0BC6" w:rsidP="007E0BC6">
      <w:pPr>
        <w:spacing w:before="100" w:beforeAutospacing="1" w:after="100" w:afterAutospacing="1" w:line="240" w:lineRule="auto"/>
        <w:rPr>
          <w:rFonts w:ascii="Verdana" w:eastAsia="Times New Roman" w:hAnsi="Verdana" w:cs="Times New Roman"/>
          <w:b/>
          <w:bCs/>
          <w:sz w:val="20"/>
          <w:szCs w:val="20"/>
        </w:rPr>
      </w:pPr>
    </w:p>
    <w:p w:rsidR="007E0BC6" w:rsidRPr="007E0BC6" w:rsidRDefault="007E0BC6" w:rsidP="007E0BC6">
      <w:pPr>
        <w:spacing w:before="100" w:beforeAutospacing="1" w:after="100" w:afterAutospacing="1" w:line="240" w:lineRule="auto"/>
        <w:rPr>
          <w:rFonts w:ascii="Times New Roman" w:eastAsia="Times New Roman" w:hAnsi="Times New Roman" w:cs="Times New Roman"/>
          <w:sz w:val="24"/>
          <w:szCs w:val="24"/>
        </w:rPr>
      </w:pPr>
      <w:r w:rsidRPr="007E0BC6">
        <w:rPr>
          <w:rFonts w:ascii="Verdana" w:eastAsia="Times New Roman" w:hAnsi="Verdana" w:cs="Times New Roman"/>
          <w:b/>
          <w:bCs/>
          <w:sz w:val="20"/>
          <w:szCs w:val="20"/>
        </w:rPr>
        <w:t>General Notes</w:t>
      </w:r>
    </w:p>
    <w:p w:rsidR="007E0BC6" w:rsidRPr="007E0BC6" w:rsidRDefault="007E0BC6" w:rsidP="007E0BC6">
      <w:pPr>
        <w:numPr>
          <w:ilvl w:val="0"/>
          <w:numId w:val="1"/>
        </w:numPr>
        <w:spacing w:before="100" w:beforeAutospacing="1" w:after="100" w:afterAutospacing="1" w:line="240" w:lineRule="auto"/>
        <w:ind w:left="1440"/>
        <w:rPr>
          <w:rFonts w:ascii="Verdana" w:eastAsia="Times New Roman" w:hAnsi="Verdana" w:cs="Times New Roman"/>
          <w:sz w:val="20"/>
          <w:szCs w:val="20"/>
        </w:rPr>
      </w:pPr>
      <w:r w:rsidRPr="007E0BC6">
        <w:rPr>
          <w:rFonts w:ascii="Verdana" w:eastAsia="Times New Roman" w:hAnsi="Verdana" w:cs="Times New Roman"/>
          <w:sz w:val="20"/>
          <w:szCs w:val="20"/>
        </w:rPr>
        <w:t>TDS certificates can be issued within one month from the end of the month in which tax is deducted at source. In case where amount is credited to the account of the recipient as on the last date of the accounting year, the certificate should be issued within 7 days from the date of payment of TDS. However on request from deductee, a consolidated certificate for year can be issued within 30 days from the end of year in which deducted. In case of TCS consolidated TCS certificates to be issued every half yearly within 30 days from the end of half year.</w:t>
      </w:r>
      <w:r w:rsidRPr="007E0BC6">
        <w:rPr>
          <w:rFonts w:ascii="Verdana" w:eastAsia="Times New Roman" w:hAnsi="Verdana" w:cs="Times New Roman"/>
          <w:sz w:val="20"/>
          <w:szCs w:val="20"/>
        </w:rPr>
        <w:br/>
        <w:t xml:space="preserve">  </w:t>
      </w:r>
    </w:p>
    <w:p w:rsidR="007E0BC6" w:rsidRPr="007E0BC6" w:rsidRDefault="007E0BC6" w:rsidP="007E0BC6">
      <w:pPr>
        <w:numPr>
          <w:ilvl w:val="0"/>
          <w:numId w:val="1"/>
        </w:numPr>
        <w:spacing w:before="100" w:beforeAutospacing="1" w:after="100" w:afterAutospacing="1" w:line="240" w:lineRule="auto"/>
        <w:ind w:left="1440"/>
        <w:rPr>
          <w:rFonts w:ascii="Verdana" w:eastAsia="Times New Roman" w:hAnsi="Verdana" w:cs="Times New Roman"/>
          <w:sz w:val="20"/>
          <w:szCs w:val="20"/>
        </w:rPr>
      </w:pPr>
      <w:r w:rsidRPr="007E0BC6">
        <w:rPr>
          <w:rFonts w:ascii="Verdana" w:eastAsia="Times New Roman" w:hAnsi="Verdana" w:cs="Times New Roman"/>
          <w:sz w:val="20"/>
          <w:szCs w:val="20"/>
        </w:rPr>
        <w:t xml:space="preserve">Quarterly TDS statements is required to be filed in electronically only by following : </w:t>
      </w:r>
    </w:p>
    <w:p w:rsidR="007E0BC6" w:rsidRPr="007E0BC6" w:rsidRDefault="007E0BC6" w:rsidP="007E0BC6">
      <w:pPr>
        <w:numPr>
          <w:ilvl w:val="0"/>
          <w:numId w:val="2"/>
        </w:numPr>
        <w:spacing w:before="134" w:after="134" w:line="240" w:lineRule="auto"/>
        <w:ind w:left="2160"/>
        <w:rPr>
          <w:rFonts w:ascii="Times New Roman" w:eastAsia="Times New Roman" w:hAnsi="Times New Roman" w:cs="Times New Roman"/>
          <w:sz w:val="24"/>
          <w:szCs w:val="24"/>
        </w:rPr>
      </w:pPr>
      <w:r w:rsidRPr="007E0BC6">
        <w:rPr>
          <w:rFonts w:ascii="Verdana" w:eastAsia="Times New Roman" w:hAnsi="Verdana" w:cs="Times New Roman"/>
          <w:sz w:val="20"/>
          <w:szCs w:val="20"/>
        </w:rPr>
        <w:t>Company</w:t>
      </w:r>
      <w:r w:rsidRPr="007E0BC6">
        <w:rPr>
          <w:rFonts w:ascii="Times New Roman" w:eastAsia="Times New Roman" w:hAnsi="Times New Roman" w:cs="Times New Roman"/>
          <w:sz w:val="24"/>
          <w:szCs w:val="24"/>
        </w:rPr>
        <w:t xml:space="preserve"> </w:t>
      </w:r>
    </w:p>
    <w:p w:rsidR="007E0BC6" w:rsidRPr="007E0BC6" w:rsidRDefault="007E0BC6" w:rsidP="007E0BC6">
      <w:pPr>
        <w:numPr>
          <w:ilvl w:val="0"/>
          <w:numId w:val="2"/>
        </w:numPr>
        <w:spacing w:before="134" w:after="134" w:line="240" w:lineRule="auto"/>
        <w:ind w:left="2160"/>
        <w:rPr>
          <w:rFonts w:ascii="Times New Roman" w:eastAsia="Times New Roman" w:hAnsi="Times New Roman" w:cs="Times New Roman"/>
          <w:sz w:val="24"/>
          <w:szCs w:val="24"/>
        </w:rPr>
      </w:pPr>
      <w:r w:rsidRPr="007E0BC6">
        <w:rPr>
          <w:rFonts w:ascii="Verdana" w:eastAsia="Times New Roman" w:hAnsi="Verdana" w:cs="Times New Roman"/>
          <w:sz w:val="20"/>
          <w:szCs w:val="20"/>
        </w:rPr>
        <w:t xml:space="preserve">Government deductor </w:t>
      </w:r>
    </w:p>
    <w:p w:rsidR="007E0BC6" w:rsidRPr="007E0BC6" w:rsidRDefault="007E0BC6" w:rsidP="007E0BC6">
      <w:pPr>
        <w:numPr>
          <w:ilvl w:val="0"/>
          <w:numId w:val="2"/>
        </w:numPr>
        <w:spacing w:before="134" w:after="134" w:line="240" w:lineRule="auto"/>
        <w:ind w:left="2160"/>
        <w:rPr>
          <w:rFonts w:ascii="Times New Roman" w:eastAsia="Times New Roman" w:hAnsi="Times New Roman" w:cs="Times New Roman"/>
          <w:sz w:val="24"/>
          <w:szCs w:val="24"/>
        </w:rPr>
      </w:pPr>
      <w:proofErr w:type="gramStart"/>
      <w:r w:rsidRPr="007E0BC6">
        <w:rPr>
          <w:rFonts w:ascii="Verdana" w:eastAsia="Times New Roman" w:hAnsi="Verdana" w:cs="Times New Roman"/>
          <w:sz w:val="20"/>
          <w:szCs w:val="20"/>
        </w:rPr>
        <w:t>a</w:t>
      </w:r>
      <w:proofErr w:type="gramEnd"/>
      <w:r w:rsidRPr="007E0BC6">
        <w:rPr>
          <w:rFonts w:ascii="Verdana" w:eastAsia="Times New Roman" w:hAnsi="Verdana" w:cs="Times New Roman"/>
          <w:sz w:val="20"/>
          <w:szCs w:val="20"/>
        </w:rPr>
        <w:t xml:space="preserve"> person required to get his accounts audited under section 44AB in the immediately preceding financial year. </w:t>
      </w:r>
    </w:p>
    <w:p w:rsidR="007E0BC6" w:rsidRPr="007E0BC6" w:rsidRDefault="007E0BC6" w:rsidP="007E0BC6">
      <w:pPr>
        <w:numPr>
          <w:ilvl w:val="0"/>
          <w:numId w:val="2"/>
        </w:numPr>
        <w:spacing w:before="134" w:after="134" w:line="240" w:lineRule="auto"/>
        <w:ind w:left="2160"/>
        <w:rPr>
          <w:rFonts w:ascii="Times New Roman" w:eastAsia="Times New Roman" w:hAnsi="Times New Roman" w:cs="Times New Roman"/>
          <w:sz w:val="24"/>
          <w:szCs w:val="24"/>
        </w:rPr>
      </w:pPr>
      <w:proofErr w:type="gramStart"/>
      <w:r w:rsidRPr="007E0BC6">
        <w:rPr>
          <w:rFonts w:ascii="Verdana" w:eastAsia="Times New Roman" w:hAnsi="Verdana" w:cs="Times New Roman"/>
          <w:sz w:val="20"/>
          <w:szCs w:val="20"/>
        </w:rPr>
        <w:t>the</w:t>
      </w:r>
      <w:proofErr w:type="gramEnd"/>
      <w:r w:rsidRPr="007E0BC6">
        <w:rPr>
          <w:rFonts w:ascii="Verdana" w:eastAsia="Times New Roman" w:hAnsi="Verdana" w:cs="Times New Roman"/>
          <w:sz w:val="20"/>
          <w:szCs w:val="20"/>
        </w:rPr>
        <w:t xml:space="preserve"> number of deductees’ records in a quarterly statement for any quarter of the immediately preceding financial year is equal to or more than fifty. </w:t>
      </w:r>
    </w:p>
    <w:p w:rsidR="007E0BC6" w:rsidRPr="007E0BC6" w:rsidRDefault="007E0BC6" w:rsidP="007E0BC6">
      <w:pPr>
        <w:numPr>
          <w:ilvl w:val="0"/>
          <w:numId w:val="3"/>
        </w:numPr>
        <w:spacing w:before="100" w:beforeAutospacing="1" w:after="100" w:afterAutospacing="1" w:line="240" w:lineRule="auto"/>
        <w:ind w:left="1440"/>
        <w:rPr>
          <w:rFonts w:ascii="Verdana" w:eastAsia="Times New Roman" w:hAnsi="Verdana" w:cs="Times New Roman"/>
          <w:sz w:val="20"/>
          <w:szCs w:val="20"/>
        </w:rPr>
      </w:pPr>
      <w:r w:rsidRPr="007E0BC6">
        <w:rPr>
          <w:rFonts w:ascii="Verdana" w:eastAsia="Times New Roman" w:hAnsi="Verdana" w:cs="Times New Roman"/>
          <w:sz w:val="20"/>
          <w:szCs w:val="20"/>
        </w:rPr>
        <w:t xml:space="preserve">Next working day will be considered as due date, if the due date falls on Holiday or Sunday – Circular No. 639 </w:t>
      </w:r>
      <w:proofErr w:type="gramStart"/>
      <w:r w:rsidRPr="007E0BC6">
        <w:rPr>
          <w:rFonts w:ascii="Verdana" w:eastAsia="Times New Roman" w:hAnsi="Verdana" w:cs="Times New Roman"/>
          <w:sz w:val="20"/>
          <w:szCs w:val="20"/>
        </w:rPr>
        <w:t>dt</w:t>
      </w:r>
      <w:proofErr w:type="gramEnd"/>
      <w:r w:rsidRPr="007E0BC6">
        <w:rPr>
          <w:rFonts w:ascii="Verdana" w:eastAsia="Times New Roman" w:hAnsi="Verdana" w:cs="Times New Roman"/>
          <w:sz w:val="20"/>
          <w:szCs w:val="20"/>
        </w:rPr>
        <w:t>. 13-11-1992.</w:t>
      </w:r>
      <w:r w:rsidRPr="007E0BC6">
        <w:rPr>
          <w:rFonts w:ascii="Verdana" w:eastAsia="Times New Roman" w:hAnsi="Verdana" w:cs="Times New Roman"/>
          <w:sz w:val="20"/>
          <w:szCs w:val="20"/>
        </w:rPr>
        <w:br/>
        <w:t xml:space="preserve">  </w:t>
      </w:r>
    </w:p>
    <w:p w:rsidR="007E0BC6" w:rsidRPr="007E0BC6" w:rsidRDefault="007E0BC6" w:rsidP="007E0BC6">
      <w:pPr>
        <w:numPr>
          <w:ilvl w:val="0"/>
          <w:numId w:val="3"/>
        </w:numPr>
        <w:spacing w:before="100" w:beforeAutospacing="1" w:after="100" w:afterAutospacing="1" w:line="240" w:lineRule="auto"/>
        <w:ind w:left="1440"/>
        <w:rPr>
          <w:rFonts w:ascii="Verdana" w:eastAsia="Times New Roman" w:hAnsi="Verdana" w:cs="Times New Roman"/>
          <w:sz w:val="20"/>
          <w:szCs w:val="20"/>
        </w:rPr>
      </w:pPr>
      <w:r w:rsidRPr="007E0BC6">
        <w:rPr>
          <w:rFonts w:ascii="Verdana" w:eastAsia="Times New Roman" w:hAnsi="Verdana" w:cs="Times New Roman"/>
          <w:sz w:val="20"/>
          <w:szCs w:val="20"/>
        </w:rPr>
        <w:t xml:space="preserve">If the due date of installment payable, the bank is closed due to </w:t>
      </w:r>
      <w:proofErr w:type="gramStart"/>
      <w:r w:rsidRPr="007E0BC6">
        <w:rPr>
          <w:rFonts w:ascii="Verdana" w:eastAsia="Times New Roman" w:hAnsi="Verdana" w:cs="Times New Roman"/>
          <w:sz w:val="20"/>
          <w:szCs w:val="20"/>
        </w:rPr>
        <w:t>holiday,</w:t>
      </w:r>
      <w:proofErr w:type="gramEnd"/>
      <w:r w:rsidRPr="007E0BC6">
        <w:rPr>
          <w:rFonts w:ascii="Verdana" w:eastAsia="Times New Roman" w:hAnsi="Verdana" w:cs="Times New Roman"/>
          <w:sz w:val="20"/>
          <w:szCs w:val="20"/>
        </w:rPr>
        <w:t xml:space="preserve"> payment can be made on next working day.</w:t>
      </w:r>
      <w:r w:rsidRPr="007E0BC6">
        <w:rPr>
          <w:rFonts w:ascii="Verdana" w:eastAsia="Times New Roman" w:hAnsi="Verdana" w:cs="Times New Roman"/>
          <w:sz w:val="20"/>
          <w:szCs w:val="20"/>
        </w:rPr>
        <w:br/>
        <w:t xml:space="preserve">  </w:t>
      </w:r>
    </w:p>
    <w:p w:rsidR="007E0BC6" w:rsidRPr="007E0BC6" w:rsidRDefault="007E0BC6" w:rsidP="007E0BC6">
      <w:pPr>
        <w:numPr>
          <w:ilvl w:val="0"/>
          <w:numId w:val="3"/>
        </w:numPr>
        <w:spacing w:before="100" w:beforeAutospacing="1" w:after="100" w:afterAutospacing="1" w:line="240" w:lineRule="auto"/>
        <w:ind w:left="1440"/>
        <w:rPr>
          <w:rFonts w:ascii="Verdana" w:eastAsia="Times New Roman" w:hAnsi="Verdana" w:cs="Times New Roman"/>
          <w:sz w:val="20"/>
          <w:szCs w:val="20"/>
        </w:rPr>
      </w:pPr>
      <w:r w:rsidRPr="007E0BC6">
        <w:rPr>
          <w:rFonts w:ascii="Verdana" w:eastAsia="Times New Roman" w:hAnsi="Verdana" w:cs="Times New Roman"/>
          <w:sz w:val="20"/>
          <w:szCs w:val="20"/>
        </w:rPr>
        <w:t xml:space="preserve">Interest payable for failure to deduct/collect or pay tax, shall be paid before submission of quarterly return. </w:t>
      </w:r>
    </w:p>
    <w:p w:rsidR="00D07A6A" w:rsidRDefault="00D07A6A"/>
    <w:sectPr w:rsidR="00D07A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1405E"/>
    <w:multiLevelType w:val="multilevel"/>
    <w:tmpl w:val="059E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973997"/>
    <w:multiLevelType w:val="multilevel"/>
    <w:tmpl w:val="48CE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CE0613"/>
    <w:multiLevelType w:val="multilevel"/>
    <w:tmpl w:val="78B8A0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7E0BC6"/>
    <w:rsid w:val="007E0BC6"/>
    <w:rsid w:val="00D07A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0B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4009848">
      <w:bodyDiv w:val="1"/>
      <w:marLeft w:val="0"/>
      <w:marRight w:val="0"/>
      <w:marTop w:val="0"/>
      <w:marBottom w:val="0"/>
      <w:divBdr>
        <w:top w:val="none" w:sz="0" w:space="0" w:color="auto"/>
        <w:left w:val="none" w:sz="0" w:space="0" w:color="auto"/>
        <w:bottom w:val="none" w:sz="0" w:space="0" w:color="auto"/>
        <w:right w:val="none" w:sz="0" w:space="0" w:color="auto"/>
      </w:divBdr>
      <w:divsChild>
        <w:div w:id="77721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47605992">
          <w:blockQuote w:val="1"/>
          <w:marLeft w:val="720"/>
          <w:marRight w:val="720"/>
          <w:marTop w:val="100"/>
          <w:marBottom w:val="100"/>
          <w:divBdr>
            <w:top w:val="none" w:sz="0" w:space="0" w:color="auto"/>
            <w:left w:val="none" w:sz="0" w:space="0" w:color="auto"/>
            <w:bottom w:val="none" w:sz="0" w:space="0" w:color="auto"/>
            <w:right w:val="none" w:sz="0" w:space="0" w:color="auto"/>
          </w:divBdr>
        </w:div>
        <w:div w:id="244724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179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dc:creator>
  <cp:keywords/>
  <dc:description/>
  <cp:lastModifiedBy>PRINCE</cp:lastModifiedBy>
  <cp:revision>2</cp:revision>
  <dcterms:created xsi:type="dcterms:W3CDTF">2009-11-21T12:52:00Z</dcterms:created>
  <dcterms:modified xsi:type="dcterms:W3CDTF">2009-11-21T12:54:00Z</dcterms:modified>
</cp:coreProperties>
</file>