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FDC" w:rsidRPr="00D03FDC" w:rsidRDefault="00D03FDC" w:rsidP="00D03FDC">
      <w:pPr>
        <w:pStyle w:val="NormalWeb"/>
        <w:jc w:val="center"/>
        <w:rPr>
          <w:b/>
          <w:sz w:val="32"/>
          <w:szCs w:val="32"/>
          <w:u w:val="single"/>
        </w:rPr>
      </w:pPr>
      <w:r w:rsidRPr="00D03FDC">
        <w:rPr>
          <w:b/>
          <w:sz w:val="32"/>
          <w:szCs w:val="32"/>
          <w:u w:val="single"/>
        </w:rPr>
        <w:t>PR</w:t>
      </w:r>
      <w:r>
        <w:rPr>
          <w:b/>
          <w:sz w:val="32"/>
          <w:szCs w:val="32"/>
          <w:u w:val="single"/>
        </w:rPr>
        <w:t>OCEDURE</w:t>
      </w:r>
      <w:r w:rsidRPr="00D03FDC">
        <w:rPr>
          <w:b/>
          <w:sz w:val="32"/>
          <w:szCs w:val="32"/>
          <w:u w:val="single"/>
        </w:rPr>
        <w:t xml:space="preserve"> FOR ONLINE REGISTRATION OF TAN’S</w:t>
      </w:r>
    </w:p>
    <w:p w:rsidR="00D03FDC" w:rsidRDefault="00D03FDC" w:rsidP="00D03FDC">
      <w:pPr>
        <w:pStyle w:val="NormalWeb"/>
        <w:jc w:val="both"/>
      </w:pPr>
    </w:p>
    <w:p w:rsidR="00D03FDC" w:rsidRDefault="00D03FDC" w:rsidP="00D03FDC">
      <w:pPr>
        <w:pStyle w:val="NormalWeb"/>
        <w:jc w:val="both"/>
      </w:pPr>
    </w:p>
    <w:p w:rsidR="00D03FDC" w:rsidRDefault="00D03FDC" w:rsidP="00D03FDC">
      <w:pPr>
        <w:pStyle w:val="NormalWeb"/>
        <w:jc w:val="both"/>
      </w:pPr>
      <w:r>
        <w:t xml:space="preserve">The income </w:t>
      </w:r>
      <w:r>
        <w:rPr>
          <w:rStyle w:val="ilad1"/>
        </w:rPr>
        <w:t>tax department</w:t>
      </w:r>
      <w:r>
        <w:t xml:space="preserve"> has asked all </w:t>
      </w:r>
      <w:proofErr w:type="spellStart"/>
      <w:r>
        <w:t>deductors</w:t>
      </w:r>
      <w:proofErr w:type="spellEnd"/>
      <w:r>
        <w:t xml:space="preserve"> to register their TAN on NSDL web site. Once registered, the </w:t>
      </w:r>
      <w:proofErr w:type="spellStart"/>
      <w:r>
        <w:t>deductors</w:t>
      </w:r>
      <w:proofErr w:type="spellEnd"/>
      <w:r>
        <w:t xml:space="preserve"> will be provided</w:t>
      </w:r>
      <w:proofErr w:type="gramStart"/>
      <w:r>
        <w:t>  User</w:t>
      </w:r>
      <w:proofErr w:type="gramEnd"/>
      <w:r>
        <w:t xml:space="preserve"> ID and password for authenticated access.</w:t>
      </w:r>
    </w:p>
    <w:p w:rsidR="00D03FDC" w:rsidRDefault="00D03FDC" w:rsidP="00D03FDC">
      <w:pPr>
        <w:pStyle w:val="NormalWeb"/>
        <w:jc w:val="both"/>
      </w:pPr>
      <w:r>
        <w:rPr>
          <w:rStyle w:val="Strong"/>
        </w:rPr>
        <w:t>Benefit of registration</w:t>
      </w:r>
    </w:p>
    <w:p w:rsidR="00D03FDC" w:rsidRDefault="00D03FDC" w:rsidP="00D03FDC">
      <w:pPr>
        <w:pStyle w:val="NormalWeb"/>
        <w:jc w:val="both"/>
      </w:pPr>
      <w:r>
        <w:t xml:space="preserve">The access will result in the following benefits to the </w:t>
      </w:r>
      <w:proofErr w:type="spellStart"/>
      <w:r>
        <w:t>deductors</w:t>
      </w:r>
      <w:proofErr w:type="spellEnd"/>
      <w:r>
        <w:t>:</w:t>
      </w:r>
    </w:p>
    <w:p w:rsidR="00D03FDC" w:rsidRDefault="00D03FDC" w:rsidP="00D03FDC">
      <w:pPr>
        <w:pStyle w:val="NormalWeb"/>
        <w:jc w:val="both"/>
      </w:pPr>
      <w:r>
        <w:t>•    View of status of all statements filed;</w:t>
      </w:r>
    </w:p>
    <w:p w:rsidR="00D03FDC" w:rsidRDefault="00D03FDC" w:rsidP="00D03FDC">
      <w:pPr>
        <w:pStyle w:val="NormalWeb"/>
        <w:jc w:val="both"/>
      </w:pPr>
      <w:r>
        <w:t xml:space="preserve">•    </w:t>
      </w:r>
      <w:r>
        <w:rPr>
          <w:rStyle w:val="ilad1"/>
        </w:rPr>
        <w:t>Download</w:t>
      </w:r>
      <w:r>
        <w:t xml:space="preserve"> of consolidated quarterly e-TDS / TCS </w:t>
      </w:r>
      <w:r>
        <w:rPr>
          <w:rStyle w:val="ilad1"/>
        </w:rPr>
        <w:t>statement</w:t>
      </w:r>
      <w:r>
        <w:t xml:space="preserve"> for preparation of </w:t>
      </w:r>
      <w:r>
        <w:rPr>
          <w:rStyle w:val="ilad1"/>
        </w:rPr>
        <w:t>correction</w:t>
      </w:r>
      <w:r>
        <w:t xml:space="preserve"> statement; and</w:t>
      </w:r>
    </w:p>
    <w:p w:rsidR="00D03FDC" w:rsidRDefault="00D03FDC" w:rsidP="00D03FDC">
      <w:pPr>
        <w:pStyle w:val="NormalWeb"/>
        <w:jc w:val="both"/>
      </w:pPr>
      <w:r>
        <w:t xml:space="preserve">•    </w:t>
      </w:r>
      <w:proofErr w:type="gramStart"/>
      <w:r>
        <w:t>other</w:t>
      </w:r>
      <w:proofErr w:type="gramEnd"/>
      <w:r>
        <w:t xml:space="preserve"> functionalities related to quarterly TDS /TCS statement.</w:t>
      </w:r>
    </w:p>
    <w:p w:rsidR="00D03FDC" w:rsidRDefault="00D03FDC" w:rsidP="00D03FDC">
      <w:pPr>
        <w:pStyle w:val="NormalWeb"/>
        <w:jc w:val="both"/>
      </w:pPr>
      <w:r>
        <w:rPr>
          <w:rStyle w:val="Strong"/>
        </w:rPr>
        <w:t>Before registration</w:t>
      </w:r>
    </w:p>
    <w:p w:rsidR="00D03FDC" w:rsidRDefault="00D03FDC" w:rsidP="00D03FDC">
      <w:pPr>
        <w:pStyle w:val="NormalWeb"/>
        <w:jc w:val="both"/>
      </w:pPr>
      <w:r>
        <w:t>•    Keep</w:t>
      </w:r>
      <w:proofErr w:type="gramStart"/>
      <w:r>
        <w:t>  Provisional</w:t>
      </w:r>
      <w:proofErr w:type="gramEnd"/>
      <w:r>
        <w:t xml:space="preserve"> Receipt  Number (PRN)  of any </w:t>
      </w:r>
      <w:proofErr w:type="spellStart"/>
      <w:r>
        <w:t>eTDS</w:t>
      </w:r>
      <w:proofErr w:type="spellEnd"/>
      <w:r>
        <w:t xml:space="preserve"> Statement filed on or after 01-04-2008.</w:t>
      </w:r>
    </w:p>
    <w:p w:rsidR="00D03FDC" w:rsidRDefault="00D03FDC" w:rsidP="00D03FDC">
      <w:pPr>
        <w:pStyle w:val="NormalWeb"/>
        <w:jc w:val="both"/>
      </w:pPr>
      <w:r>
        <w:t>•    Go to “Quarterly Statement Status”. Enter TAN and PRN Number. Ensure that this statement is accepted by TIN. You will have to enter details of such statement during registration.</w:t>
      </w:r>
    </w:p>
    <w:p w:rsidR="00D03FDC" w:rsidRDefault="00D03FDC" w:rsidP="00D03FDC">
      <w:pPr>
        <w:pStyle w:val="NormalWeb"/>
        <w:jc w:val="both"/>
      </w:pPr>
      <w:r>
        <w:t>•    Keep PAN details</w:t>
      </w:r>
    </w:p>
    <w:p w:rsidR="00D03FDC" w:rsidRDefault="00D03FDC" w:rsidP="00D03FDC">
      <w:pPr>
        <w:pStyle w:val="NormalWeb"/>
        <w:jc w:val="both"/>
      </w:pPr>
      <w:r>
        <w:rPr>
          <w:noProof/>
        </w:rPr>
        <w:drawing>
          <wp:inline distT="0" distB="0" distL="0" distR="0">
            <wp:extent cx="3752850" cy="2762250"/>
            <wp:effectExtent l="1905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4" cstate="print"/>
                    <a:srcRect/>
                    <a:stretch>
                      <a:fillRect/>
                    </a:stretch>
                  </pic:blipFill>
                  <pic:spPr bwMode="auto">
                    <a:xfrm>
                      <a:off x="0" y="0"/>
                      <a:ext cx="3752850" cy="2762250"/>
                    </a:xfrm>
                    <a:prstGeom prst="rect">
                      <a:avLst/>
                    </a:prstGeom>
                    <a:noFill/>
                    <a:ln w="9525">
                      <a:noFill/>
                      <a:miter lim="800000"/>
                      <a:headEnd/>
                      <a:tailEnd/>
                    </a:ln>
                  </pic:spPr>
                </pic:pic>
              </a:graphicData>
            </a:graphic>
          </wp:inline>
        </w:drawing>
      </w:r>
    </w:p>
    <w:p w:rsidR="00D03FDC" w:rsidRDefault="00D03FDC" w:rsidP="00D03FDC">
      <w:pPr>
        <w:pStyle w:val="NormalWeb"/>
        <w:jc w:val="both"/>
      </w:pPr>
      <w:r>
        <w:rPr>
          <w:rStyle w:val="ilad1"/>
          <w:b/>
          <w:bCs/>
        </w:rPr>
        <w:lastRenderedPageBreak/>
        <w:t>Registration Form</w:t>
      </w:r>
    </w:p>
    <w:p w:rsidR="00D03FDC" w:rsidRDefault="00D03FDC" w:rsidP="00D03FDC">
      <w:pPr>
        <w:pStyle w:val="NormalWeb"/>
        <w:jc w:val="both"/>
      </w:pPr>
      <w:r>
        <w:t xml:space="preserve">TAN registration should be done online at the website of the Tax </w:t>
      </w:r>
      <w:r>
        <w:rPr>
          <w:rStyle w:val="ilad1"/>
        </w:rPr>
        <w:t>Information</w:t>
      </w:r>
      <w:r>
        <w:t xml:space="preserve"> Network www.tin-nsdl.com. </w:t>
      </w:r>
      <w:proofErr w:type="spellStart"/>
      <w:r>
        <w:t>Deductors</w:t>
      </w:r>
      <w:proofErr w:type="spellEnd"/>
      <w:r>
        <w:t xml:space="preserve"> must register all active TANs.</w:t>
      </w:r>
    </w:p>
    <w:p w:rsidR="00D03FDC" w:rsidRDefault="00D03FDC" w:rsidP="00D03FDC">
      <w:pPr>
        <w:pStyle w:val="NormalWeb"/>
        <w:jc w:val="both"/>
      </w:pPr>
      <w:r>
        <w:t xml:space="preserve">Use the following link to register the </w:t>
      </w:r>
      <w:proofErr w:type="gramStart"/>
      <w:r>
        <w:t>TAN :</w:t>
      </w:r>
      <w:proofErr w:type="gramEnd"/>
      <w:r>
        <w:t xml:space="preserve"> </w:t>
      </w:r>
      <w:hyperlink r:id="rId5" w:history="1">
        <w:r>
          <w:rPr>
            <w:rStyle w:val="Hyperlink"/>
          </w:rPr>
          <w:t>http://www.tin-nsdl.com/onlinetanintro.asp</w:t>
        </w:r>
      </w:hyperlink>
      <w:r>
        <w:t xml:space="preserve">. Online form will appear. The details to be filled in are explained </w:t>
      </w:r>
      <w:proofErr w:type="gramStart"/>
      <w:r>
        <w:t>below :</w:t>
      </w:r>
      <w:proofErr w:type="gramEnd"/>
    </w:p>
    <w:p w:rsidR="00D03FDC" w:rsidRDefault="00D03FDC" w:rsidP="00D03FDC">
      <w:pPr>
        <w:pStyle w:val="NormalWeb"/>
        <w:jc w:val="both"/>
      </w:pPr>
      <w:r>
        <w:rPr>
          <w:rStyle w:val="Emphasis"/>
          <w:b/>
          <w:bCs/>
        </w:rPr>
        <w:t xml:space="preserve">Details of </w:t>
      </w:r>
      <w:proofErr w:type="spellStart"/>
      <w:r>
        <w:rPr>
          <w:rStyle w:val="Emphasis"/>
          <w:b/>
          <w:bCs/>
        </w:rPr>
        <w:t>Deductor</w:t>
      </w:r>
      <w:proofErr w:type="spellEnd"/>
    </w:p>
    <w:p w:rsidR="00D03FDC" w:rsidRDefault="00D03FDC" w:rsidP="00D03FDC">
      <w:pPr>
        <w:pStyle w:val="NormalWeb"/>
        <w:jc w:val="both"/>
      </w:pPr>
      <w:r>
        <w:t>• Enter TAN and Company Name</w:t>
      </w:r>
    </w:p>
    <w:p w:rsidR="00D03FDC" w:rsidRDefault="00D03FDC" w:rsidP="00D03FDC">
      <w:pPr>
        <w:pStyle w:val="NormalWeb"/>
        <w:jc w:val="both"/>
      </w:pPr>
      <w:r>
        <w:t xml:space="preserve">• Enter PAN. Mention “PANNOTREQD”, in case PAN is not available i.e. </w:t>
      </w:r>
      <w:proofErr w:type="spellStart"/>
      <w:r>
        <w:t>deductor</w:t>
      </w:r>
      <w:proofErr w:type="spellEnd"/>
      <w:r>
        <w:t xml:space="preserve"> is not required to have PAN as per the statute.</w:t>
      </w:r>
    </w:p>
    <w:p w:rsidR="00D03FDC" w:rsidRDefault="00D03FDC" w:rsidP="00D03FDC">
      <w:pPr>
        <w:pStyle w:val="NormalWeb"/>
        <w:jc w:val="both"/>
      </w:pPr>
      <w:r>
        <w:t xml:space="preserve">• Select appropriate </w:t>
      </w:r>
      <w:proofErr w:type="spellStart"/>
      <w:r>
        <w:t>deductor</w:t>
      </w:r>
      <w:proofErr w:type="spellEnd"/>
      <w:r>
        <w:t xml:space="preserve"> category from the dropdown.</w:t>
      </w:r>
    </w:p>
    <w:p w:rsidR="00D03FDC" w:rsidRDefault="00D03FDC" w:rsidP="00D03FDC">
      <w:pPr>
        <w:pStyle w:val="NormalWeb"/>
        <w:jc w:val="both"/>
      </w:pPr>
      <w:r>
        <w:t xml:space="preserve">• For </w:t>
      </w:r>
      <w:proofErr w:type="spellStart"/>
      <w:r>
        <w:t>Govt</w:t>
      </w:r>
      <w:proofErr w:type="spellEnd"/>
      <w:r>
        <w:t xml:space="preserve"> </w:t>
      </w:r>
      <w:proofErr w:type="spellStart"/>
      <w:proofErr w:type="gramStart"/>
      <w:r>
        <w:t>deductors</w:t>
      </w:r>
      <w:proofErr w:type="spellEnd"/>
      <w:proofErr w:type="gramEnd"/>
      <w:r>
        <w:t xml:space="preserve"> additional information is required to be filled in</w:t>
      </w:r>
    </w:p>
    <w:p w:rsidR="00D03FDC" w:rsidRDefault="00D03FDC" w:rsidP="00D03FDC">
      <w:pPr>
        <w:pStyle w:val="NormalWeb"/>
        <w:jc w:val="both"/>
      </w:pPr>
      <w:r>
        <w:t xml:space="preserve">1. PAO Code and DDO Code are mandatory for </w:t>
      </w:r>
      <w:proofErr w:type="spellStart"/>
      <w:r>
        <w:t>deductor</w:t>
      </w:r>
      <w:proofErr w:type="spellEnd"/>
      <w:r>
        <w:t xml:space="preserve"> category “Central Government”.</w:t>
      </w:r>
    </w:p>
    <w:p w:rsidR="00D03FDC" w:rsidRDefault="00D03FDC" w:rsidP="00D03FDC">
      <w:pPr>
        <w:pStyle w:val="NormalWeb"/>
        <w:jc w:val="both"/>
      </w:pPr>
      <w:r>
        <w:t>2. If PAO Code is not available then mention value “PAOCDNOTAVBL”.</w:t>
      </w:r>
    </w:p>
    <w:p w:rsidR="00D03FDC" w:rsidRDefault="00D03FDC" w:rsidP="00D03FDC">
      <w:pPr>
        <w:pStyle w:val="NormalWeb"/>
        <w:jc w:val="both"/>
      </w:pPr>
      <w:r>
        <w:t>3. If DDO Code is not available then mention value “DDOCDNOTAVBL”.</w:t>
      </w:r>
    </w:p>
    <w:p w:rsidR="00D03FDC" w:rsidRDefault="00D03FDC" w:rsidP="00D03FDC">
      <w:pPr>
        <w:pStyle w:val="NormalWeb"/>
        <w:jc w:val="both"/>
      </w:pPr>
      <w:r>
        <w:t>4. For PAO/ DDO Registration number, mention registration number allotted, if any, by Central Record Keeping Agency (CRA) under New Pension Scheme (NPS).</w:t>
      </w:r>
    </w:p>
    <w:p w:rsidR="00D03FDC" w:rsidRDefault="00D03FDC" w:rsidP="00D03FDC">
      <w:pPr>
        <w:pStyle w:val="NormalWeb"/>
        <w:jc w:val="both"/>
      </w:pPr>
      <w:r>
        <w:rPr>
          <w:rStyle w:val="Emphasis"/>
          <w:b/>
          <w:bCs/>
        </w:rPr>
        <w:t xml:space="preserve">Contact Details of </w:t>
      </w:r>
      <w:proofErr w:type="spellStart"/>
      <w:r>
        <w:rPr>
          <w:rStyle w:val="Emphasis"/>
          <w:b/>
          <w:bCs/>
        </w:rPr>
        <w:t>Deductor</w:t>
      </w:r>
      <w:proofErr w:type="spellEnd"/>
    </w:p>
    <w:p w:rsidR="00D03FDC" w:rsidRDefault="00D03FDC" w:rsidP="00D03FDC">
      <w:pPr>
        <w:pStyle w:val="NormalWeb"/>
        <w:jc w:val="both"/>
      </w:pPr>
      <w:r>
        <w:t xml:space="preserve">• Mention complete address and contact details of </w:t>
      </w:r>
      <w:proofErr w:type="spellStart"/>
      <w:r>
        <w:t>deductor</w:t>
      </w:r>
      <w:proofErr w:type="spellEnd"/>
      <w:r>
        <w:t>.</w:t>
      </w:r>
    </w:p>
    <w:p w:rsidR="00D03FDC" w:rsidRDefault="00D03FDC" w:rsidP="00D03FDC">
      <w:pPr>
        <w:pStyle w:val="NormalWeb"/>
        <w:jc w:val="both"/>
      </w:pPr>
      <w:r>
        <w:t xml:space="preserve">• Provide valid email id and </w:t>
      </w:r>
      <w:r>
        <w:rPr>
          <w:rStyle w:val="ilad1"/>
        </w:rPr>
        <w:t>telephone</w:t>
      </w:r>
      <w:r>
        <w:t xml:space="preserve"> no. / Mobile no.</w:t>
      </w:r>
    </w:p>
    <w:p w:rsidR="00D03FDC" w:rsidRDefault="00D03FDC" w:rsidP="00D03FDC">
      <w:pPr>
        <w:pStyle w:val="NormalWeb"/>
        <w:jc w:val="both"/>
      </w:pPr>
      <w:r>
        <w:t>• Provide details of responsible person and designation.</w:t>
      </w:r>
    </w:p>
    <w:p w:rsidR="00D03FDC" w:rsidRDefault="00D03FDC" w:rsidP="00D03FDC">
      <w:pPr>
        <w:pStyle w:val="NormalWeb"/>
        <w:jc w:val="both"/>
      </w:pPr>
      <w:r>
        <w:rPr>
          <w:rStyle w:val="Emphasis"/>
          <w:b/>
          <w:bCs/>
        </w:rPr>
        <w:t>Statement Details</w:t>
      </w:r>
    </w:p>
    <w:p w:rsidR="00D03FDC" w:rsidRDefault="00D03FDC" w:rsidP="00D03FDC">
      <w:pPr>
        <w:pStyle w:val="NormalWeb"/>
        <w:jc w:val="both"/>
      </w:pPr>
      <w:r>
        <w:t>• Mention details of any regular e-TDS / TCS quarterly statement accepted in TIN on or after April 01, 2008.</w:t>
      </w:r>
    </w:p>
    <w:p w:rsidR="00D03FDC" w:rsidRDefault="00D03FDC" w:rsidP="00D03FDC">
      <w:pPr>
        <w:pStyle w:val="NormalWeb"/>
        <w:jc w:val="both"/>
      </w:pPr>
      <w:r>
        <w:rPr>
          <w:rStyle w:val="Strong"/>
        </w:rPr>
        <w:t>Generation of Acknowledgement</w:t>
      </w:r>
    </w:p>
    <w:p w:rsidR="00D03FDC" w:rsidRDefault="00D03FDC" w:rsidP="00D03FDC">
      <w:pPr>
        <w:pStyle w:val="NormalWeb"/>
        <w:jc w:val="both"/>
      </w:pPr>
      <w:r>
        <w:t>• After filling up the information, click “submit”. On submission of details if system shows any errors, rectify and re-submit the form.</w:t>
      </w:r>
    </w:p>
    <w:p w:rsidR="00D03FDC" w:rsidRDefault="00D03FDC" w:rsidP="00D03FDC">
      <w:pPr>
        <w:pStyle w:val="NormalWeb"/>
        <w:jc w:val="both"/>
      </w:pPr>
      <w:r>
        <w:lastRenderedPageBreak/>
        <w:t>• A confirmation screen with all the data filled by the user will be displayed. The same can be either confirmed or edited.</w:t>
      </w:r>
    </w:p>
    <w:p w:rsidR="00D03FDC" w:rsidRDefault="00D03FDC" w:rsidP="00D03FDC">
      <w:pPr>
        <w:pStyle w:val="NormalWeb"/>
        <w:jc w:val="both"/>
      </w:pPr>
      <w:r>
        <w:t>• On confirmation, an acknowledgement number will be displayed.</w:t>
      </w:r>
    </w:p>
    <w:p w:rsidR="00D03FDC" w:rsidRDefault="00D03FDC" w:rsidP="00D03FDC">
      <w:pPr>
        <w:pStyle w:val="NormalWeb"/>
        <w:jc w:val="both"/>
      </w:pPr>
      <w:r>
        <w:t>• Print the acknowledgment and preserve the same for future use.</w:t>
      </w:r>
    </w:p>
    <w:p w:rsidR="00D03FDC" w:rsidRDefault="00D03FDC" w:rsidP="00D03FDC">
      <w:pPr>
        <w:pStyle w:val="NormalWeb"/>
        <w:jc w:val="both"/>
      </w:pPr>
      <w:r>
        <w:t>• For future correspondence mention the TAN registration number provided by TIN along with the TAN.</w:t>
      </w:r>
    </w:p>
    <w:p w:rsidR="00D03FDC" w:rsidRDefault="00D03FDC" w:rsidP="00D03FDC">
      <w:pPr>
        <w:pStyle w:val="NormalWeb"/>
        <w:jc w:val="both"/>
      </w:pPr>
      <w:r>
        <w:t>• You can re-generate the “Acknowledgement for TAN Registration” by registering again.</w:t>
      </w:r>
    </w:p>
    <w:p w:rsidR="00D03FDC" w:rsidRDefault="00D03FDC" w:rsidP="00D03FDC">
      <w:pPr>
        <w:pStyle w:val="NormalWeb"/>
        <w:jc w:val="both"/>
      </w:pPr>
      <w:r>
        <w:rPr>
          <w:rStyle w:val="Strong"/>
        </w:rPr>
        <w:t>Comments</w:t>
      </w:r>
    </w:p>
    <w:p w:rsidR="00D03FDC" w:rsidRDefault="00D03FDC" w:rsidP="00D03FDC">
      <w:pPr>
        <w:pStyle w:val="NormalWeb"/>
        <w:jc w:val="both"/>
      </w:pPr>
      <w:r>
        <w:t xml:space="preserve">This is very useful facility and will make the task of </w:t>
      </w:r>
      <w:proofErr w:type="spellStart"/>
      <w:r>
        <w:t>deductor</w:t>
      </w:r>
      <w:proofErr w:type="spellEnd"/>
      <w:r>
        <w:t xml:space="preserve"> simpler.</w:t>
      </w:r>
    </w:p>
    <w:p w:rsidR="00D03FDC" w:rsidRDefault="00D03FDC" w:rsidP="00D03FDC">
      <w:pPr>
        <w:pStyle w:val="NormalWeb"/>
        <w:jc w:val="both"/>
      </w:pPr>
      <w:r>
        <w:t xml:space="preserve">• The biggest advantage is ability to retrieve </w:t>
      </w:r>
      <w:proofErr w:type="spellStart"/>
      <w:r>
        <w:t>eTDS</w:t>
      </w:r>
      <w:proofErr w:type="spellEnd"/>
      <w:r>
        <w:t xml:space="preserve"> Statement filed earlier. Several </w:t>
      </w:r>
      <w:proofErr w:type="spellStart"/>
      <w:r>
        <w:t>deductors</w:t>
      </w:r>
      <w:proofErr w:type="spellEnd"/>
      <w:r>
        <w:t xml:space="preserve"> do not keep </w:t>
      </w:r>
      <w:proofErr w:type="gramStart"/>
      <w:r>
        <w:t>backup</w:t>
      </w:r>
      <w:proofErr w:type="gramEnd"/>
      <w:r>
        <w:t xml:space="preserve"> of </w:t>
      </w:r>
      <w:proofErr w:type="spellStart"/>
      <w:r>
        <w:t>eTDS</w:t>
      </w:r>
      <w:proofErr w:type="spellEnd"/>
      <w:r>
        <w:t xml:space="preserve"> statement FVU files and when a correction is to be filed, they have no recourse.</w:t>
      </w:r>
    </w:p>
    <w:p w:rsidR="00D03FDC" w:rsidRDefault="00D03FDC" w:rsidP="00D03FDC">
      <w:pPr>
        <w:pStyle w:val="NormalWeb"/>
        <w:jc w:val="both"/>
      </w:pPr>
      <w:r>
        <w:t xml:space="preserve">• Another problem being faced by </w:t>
      </w:r>
      <w:proofErr w:type="spellStart"/>
      <w:r>
        <w:t>deductors</w:t>
      </w:r>
      <w:proofErr w:type="spellEnd"/>
      <w:r>
        <w:t xml:space="preserve"> is to keep track of original FVU and correction FVU. Many times several correction statements need to be filed e.g. when valid PAN become available. Hopefully, NSDL should be able to provide the updated FVU online for further creation of</w:t>
      </w:r>
      <w:proofErr w:type="gramStart"/>
      <w:r>
        <w:t>  correction</w:t>
      </w:r>
      <w:proofErr w:type="gramEnd"/>
      <w:r>
        <w:t>.</w:t>
      </w:r>
    </w:p>
    <w:p w:rsidR="00D03FDC" w:rsidRDefault="00D03FDC" w:rsidP="00D03FDC">
      <w:pPr>
        <w:pStyle w:val="NormalWeb"/>
        <w:jc w:val="both"/>
      </w:pPr>
      <w:r>
        <w:t xml:space="preserve">• At present, a </w:t>
      </w:r>
      <w:proofErr w:type="spellStart"/>
      <w:r>
        <w:t>deductor</w:t>
      </w:r>
      <w:proofErr w:type="spellEnd"/>
      <w:r>
        <w:t xml:space="preserve"> has to go to several links for information retrieval e.g. Challan Status Enquiry, quarterly statement status, </w:t>
      </w:r>
      <w:proofErr w:type="spellStart"/>
      <w:r>
        <w:t>eTDS</w:t>
      </w:r>
      <w:proofErr w:type="spellEnd"/>
      <w:r>
        <w:t xml:space="preserve"> online filing. With this new facility it is expected that all these services will be available in a single window.</w:t>
      </w:r>
    </w:p>
    <w:p w:rsidR="00660C3C" w:rsidRDefault="00D03FDC"/>
    <w:sectPr w:rsidR="00660C3C" w:rsidSect="00D26D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3FDC"/>
    <w:rsid w:val="00D03FDC"/>
    <w:rsid w:val="00D26D60"/>
    <w:rsid w:val="00ED1F0C"/>
    <w:rsid w:val="00FC7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D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3FDC"/>
    <w:rPr>
      <w:color w:val="0000FF"/>
      <w:u w:val="single"/>
    </w:rPr>
  </w:style>
  <w:style w:type="paragraph" w:styleId="NormalWeb">
    <w:name w:val="Normal (Web)"/>
    <w:basedOn w:val="Normal"/>
    <w:uiPriority w:val="99"/>
    <w:semiHidden/>
    <w:unhideWhenUsed/>
    <w:rsid w:val="00D03F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sid w:val="00D03FDC"/>
  </w:style>
  <w:style w:type="character" w:styleId="Strong">
    <w:name w:val="Strong"/>
    <w:basedOn w:val="DefaultParagraphFont"/>
    <w:uiPriority w:val="22"/>
    <w:qFormat/>
    <w:rsid w:val="00D03FDC"/>
    <w:rPr>
      <w:b/>
      <w:bCs/>
    </w:rPr>
  </w:style>
  <w:style w:type="character" w:styleId="Emphasis">
    <w:name w:val="Emphasis"/>
    <w:basedOn w:val="DefaultParagraphFont"/>
    <w:uiPriority w:val="20"/>
    <w:qFormat/>
    <w:rsid w:val="00D03FDC"/>
    <w:rPr>
      <w:i/>
      <w:iCs/>
    </w:rPr>
  </w:style>
  <w:style w:type="paragraph" w:styleId="BalloonText">
    <w:name w:val="Balloon Text"/>
    <w:basedOn w:val="Normal"/>
    <w:link w:val="BalloonTextChar"/>
    <w:uiPriority w:val="99"/>
    <w:semiHidden/>
    <w:unhideWhenUsed/>
    <w:rsid w:val="00D03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F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360437">
      <w:bodyDiv w:val="1"/>
      <w:marLeft w:val="0"/>
      <w:marRight w:val="0"/>
      <w:marTop w:val="0"/>
      <w:marBottom w:val="0"/>
      <w:divBdr>
        <w:top w:val="none" w:sz="0" w:space="0" w:color="auto"/>
        <w:left w:val="none" w:sz="0" w:space="0" w:color="auto"/>
        <w:bottom w:val="none" w:sz="0" w:space="0" w:color="auto"/>
        <w:right w:val="none" w:sz="0" w:space="0" w:color="auto"/>
      </w:divBdr>
      <w:divsChild>
        <w:div w:id="1055394647">
          <w:marLeft w:val="0"/>
          <w:marRight w:val="0"/>
          <w:marTop w:val="0"/>
          <w:marBottom w:val="0"/>
          <w:divBdr>
            <w:top w:val="none" w:sz="0" w:space="0" w:color="auto"/>
            <w:left w:val="none" w:sz="0" w:space="0" w:color="auto"/>
            <w:bottom w:val="none" w:sz="0" w:space="0" w:color="auto"/>
            <w:right w:val="none" w:sz="0" w:space="0" w:color="auto"/>
          </w:divBdr>
          <w:divsChild>
            <w:div w:id="1775594025">
              <w:marLeft w:val="0"/>
              <w:marRight w:val="0"/>
              <w:marTop w:val="0"/>
              <w:marBottom w:val="0"/>
              <w:divBdr>
                <w:top w:val="none" w:sz="0" w:space="0" w:color="auto"/>
                <w:left w:val="none" w:sz="0" w:space="0" w:color="auto"/>
                <w:bottom w:val="none" w:sz="0" w:space="0" w:color="auto"/>
                <w:right w:val="none" w:sz="0" w:space="0" w:color="auto"/>
              </w:divBdr>
              <w:divsChild>
                <w:div w:id="718744912">
                  <w:marLeft w:val="0"/>
                  <w:marRight w:val="0"/>
                  <w:marTop w:val="0"/>
                  <w:marBottom w:val="0"/>
                  <w:divBdr>
                    <w:top w:val="none" w:sz="0" w:space="0" w:color="auto"/>
                    <w:left w:val="none" w:sz="0" w:space="0" w:color="auto"/>
                    <w:bottom w:val="none" w:sz="0" w:space="0" w:color="auto"/>
                    <w:right w:val="none" w:sz="0" w:space="0" w:color="auto"/>
                  </w:divBdr>
                  <w:divsChild>
                    <w:div w:id="184758753">
                      <w:marLeft w:val="0"/>
                      <w:marRight w:val="0"/>
                      <w:marTop w:val="0"/>
                      <w:marBottom w:val="0"/>
                      <w:divBdr>
                        <w:top w:val="none" w:sz="0" w:space="0" w:color="auto"/>
                        <w:left w:val="none" w:sz="0" w:space="0" w:color="auto"/>
                        <w:bottom w:val="none" w:sz="0" w:space="0" w:color="auto"/>
                        <w:right w:val="none" w:sz="0" w:space="0" w:color="auto"/>
                      </w:divBdr>
                      <w:divsChild>
                        <w:div w:id="309477854">
                          <w:marLeft w:val="0"/>
                          <w:marRight w:val="0"/>
                          <w:marTop w:val="0"/>
                          <w:marBottom w:val="0"/>
                          <w:divBdr>
                            <w:top w:val="none" w:sz="0" w:space="0" w:color="auto"/>
                            <w:left w:val="none" w:sz="0" w:space="0" w:color="auto"/>
                            <w:bottom w:val="none" w:sz="0" w:space="0" w:color="auto"/>
                            <w:right w:val="none" w:sz="0" w:space="0" w:color="auto"/>
                          </w:divBdr>
                          <w:divsChild>
                            <w:div w:id="29348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in-nsdl.com/onlinetanintro.as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yateshrenuke</dc:creator>
  <cp:keywords/>
  <dc:description/>
  <cp:lastModifiedBy>yateshrenuke</cp:lastModifiedBy>
  <cp:revision>1</cp:revision>
  <dcterms:created xsi:type="dcterms:W3CDTF">2009-11-21T06:10:00Z</dcterms:created>
  <dcterms:modified xsi:type="dcterms:W3CDTF">2009-11-21T06:11:00Z</dcterms:modified>
</cp:coreProperties>
</file>